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CA" w:rsidRPr="00A60BDA" w:rsidRDefault="00804D09" w:rsidP="008E7D63">
      <w:pPr>
        <w:widowControl w:val="0"/>
        <w:autoSpaceDE w:val="0"/>
        <w:autoSpaceDN w:val="0"/>
        <w:adjustRightInd w:val="0"/>
        <w:spacing w:line="288" w:lineRule="atLeast"/>
        <w:ind w:left="-770"/>
        <w:jc w:val="center"/>
        <w:rPr>
          <w:lang w:val="es-ES_tradnl"/>
        </w:rPr>
      </w:pPr>
      <w:r w:rsidRPr="00A60BDA">
        <w:rPr>
          <w:rFonts w:ascii="Calibri" w:hAnsi="Calibri"/>
          <w:noProof/>
          <w:lang w:val="en-GB" w:eastAsia="en-GB" w:bidi="ar-SA"/>
        </w:rPr>
        <w:drawing>
          <wp:inline distT="0" distB="0" distL="0" distR="0" wp14:anchorId="6590379A" wp14:editId="68B1EA5B">
            <wp:extent cx="6520180" cy="158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0180" cy="1582420"/>
                    </a:xfrm>
                    <a:prstGeom prst="rect">
                      <a:avLst/>
                    </a:prstGeom>
                    <a:noFill/>
                    <a:ln>
                      <a:noFill/>
                    </a:ln>
                  </pic:spPr>
                </pic:pic>
              </a:graphicData>
            </a:graphic>
          </wp:inline>
        </w:drawing>
      </w:r>
    </w:p>
    <w:tbl>
      <w:tblPr>
        <w:tblW w:w="0" w:type="auto"/>
        <w:tblInd w:w="108" w:type="dxa"/>
        <w:tblLayout w:type="fixed"/>
        <w:tblLook w:val="0000" w:firstRow="0" w:lastRow="0" w:firstColumn="0" w:lastColumn="0" w:noHBand="0" w:noVBand="0"/>
      </w:tblPr>
      <w:tblGrid>
        <w:gridCol w:w="5168"/>
        <w:gridCol w:w="4119"/>
      </w:tblGrid>
      <w:tr w:rsidR="002575CA" w:rsidRPr="00A60BDA">
        <w:trPr>
          <w:trHeight w:val="1"/>
        </w:trPr>
        <w:tc>
          <w:tcPr>
            <w:tcW w:w="5168" w:type="dxa"/>
            <w:tcBorders>
              <w:top w:val="nil"/>
              <w:left w:val="nil"/>
              <w:bottom w:val="nil"/>
              <w:right w:val="nil"/>
            </w:tcBorders>
            <w:shd w:val="clear" w:color="000000" w:fill="FFFFFF"/>
          </w:tcPr>
          <w:p w:rsidR="002575CA" w:rsidRPr="00A60BDA" w:rsidRDefault="002575CA" w:rsidP="008E7D63">
            <w:pPr>
              <w:widowControl w:val="0"/>
              <w:autoSpaceDE w:val="0"/>
              <w:autoSpaceDN w:val="0"/>
              <w:adjustRightInd w:val="0"/>
              <w:spacing w:line="240" w:lineRule="auto"/>
              <w:rPr>
                <w:rFonts w:ascii="Calibri" w:hAnsi="Calibri" w:cs="Calibri"/>
                <w:lang w:val="es-ES_tradnl"/>
              </w:rPr>
            </w:pPr>
            <w:r w:rsidRPr="00A60BDA">
              <w:rPr>
                <w:rFonts w:ascii="Verdana" w:hAnsi="Verdana"/>
                <w:b/>
                <w:sz w:val="18"/>
                <w:lang w:val="es-ES_tradnl"/>
              </w:rPr>
              <w:t>N.º 51/2016</w:t>
            </w:r>
          </w:p>
        </w:tc>
        <w:tc>
          <w:tcPr>
            <w:tcW w:w="4119" w:type="dxa"/>
            <w:tcBorders>
              <w:top w:val="nil"/>
              <w:left w:val="nil"/>
              <w:bottom w:val="nil"/>
              <w:right w:val="nil"/>
            </w:tcBorders>
            <w:shd w:val="clear" w:color="000000" w:fill="FFFFFF"/>
          </w:tcPr>
          <w:p w:rsidR="002575CA" w:rsidRPr="00A60BDA" w:rsidRDefault="002575CA" w:rsidP="008E7D63">
            <w:pPr>
              <w:widowControl w:val="0"/>
              <w:autoSpaceDE w:val="0"/>
              <w:autoSpaceDN w:val="0"/>
              <w:adjustRightInd w:val="0"/>
              <w:spacing w:line="240" w:lineRule="auto"/>
              <w:jc w:val="right"/>
              <w:rPr>
                <w:rFonts w:ascii="Calibri" w:hAnsi="Calibri" w:cs="Calibri"/>
                <w:lang w:val="es-ES_tradnl"/>
              </w:rPr>
            </w:pPr>
            <w:r w:rsidRPr="00A60BDA">
              <w:rPr>
                <w:rFonts w:ascii="Verdana" w:hAnsi="Verdana"/>
                <w:b/>
                <w:sz w:val="18"/>
                <w:lang w:val="es-ES_tradnl"/>
              </w:rPr>
              <w:t>15 de julio de 2016</w:t>
            </w:r>
          </w:p>
        </w:tc>
      </w:tr>
    </w:tbl>
    <w:p w:rsidR="002575CA" w:rsidRPr="00A60BDA" w:rsidRDefault="002575CA" w:rsidP="008E7D63">
      <w:pPr>
        <w:widowControl w:val="0"/>
        <w:autoSpaceDE w:val="0"/>
        <w:autoSpaceDN w:val="0"/>
        <w:adjustRightInd w:val="0"/>
        <w:spacing w:line="240" w:lineRule="auto"/>
        <w:rPr>
          <w:rFonts w:ascii="Verdana" w:hAnsi="Verdana"/>
          <w:sz w:val="20"/>
          <w:lang w:val="es-ES_tradnl"/>
        </w:rPr>
      </w:pPr>
    </w:p>
    <w:p w:rsidR="002575CA" w:rsidRPr="00A60BDA" w:rsidRDefault="002575CA" w:rsidP="008E7D63">
      <w:pPr>
        <w:widowControl w:val="0"/>
        <w:autoSpaceDE w:val="0"/>
        <w:autoSpaceDN w:val="0"/>
        <w:adjustRightInd w:val="0"/>
        <w:spacing w:line="288" w:lineRule="atLeast"/>
        <w:ind w:left="-284" w:right="-285"/>
        <w:jc w:val="center"/>
        <w:rPr>
          <w:rFonts w:ascii="Verdana" w:hAnsi="Verdana"/>
          <w:b/>
          <w:lang w:val="es-ES_tradnl"/>
        </w:rPr>
      </w:pPr>
    </w:p>
    <w:p w:rsidR="002575CA" w:rsidRPr="00A60BDA" w:rsidRDefault="002575CA" w:rsidP="008E7D63">
      <w:pPr>
        <w:widowControl w:val="0"/>
        <w:autoSpaceDE w:val="0"/>
        <w:autoSpaceDN w:val="0"/>
        <w:adjustRightInd w:val="0"/>
        <w:spacing w:line="288" w:lineRule="atLeast"/>
        <w:ind w:left="-284" w:right="-285"/>
        <w:jc w:val="center"/>
        <w:rPr>
          <w:rFonts w:ascii="Verdana" w:hAnsi="Verdana"/>
          <w:b/>
          <w:sz w:val="28"/>
          <w:lang w:val="es-ES_tradnl"/>
        </w:rPr>
      </w:pPr>
      <w:r w:rsidRPr="00A60BDA">
        <w:rPr>
          <w:rFonts w:ascii="Verdana" w:hAnsi="Verdana"/>
          <w:b/>
          <w:sz w:val="28"/>
          <w:lang w:val="es-ES_tradnl"/>
        </w:rPr>
        <w:t>En el Día Mundial de las Habilidades de la Juventud en 2016, el CESE aboga por una ofensiva en materia de cualificaciones para luchar contra el desempleo juvenil y la inadecuación de las cualificaciones en el mercado de trabajo</w:t>
      </w:r>
    </w:p>
    <w:p w:rsidR="002575CA" w:rsidRPr="00A60BDA" w:rsidRDefault="002575CA" w:rsidP="008E7D63">
      <w:pPr>
        <w:widowControl w:val="0"/>
        <w:autoSpaceDE w:val="0"/>
        <w:autoSpaceDN w:val="0"/>
        <w:adjustRightInd w:val="0"/>
        <w:spacing w:line="288" w:lineRule="atLeast"/>
        <w:ind w:left="-284" w:right="-285"/>
        <w:jc w:val="center"/>
        <w:rPr>
          <w:rFonts w:ascii="Verdana" w:hAnsi="Verdana"/>
          <w:b/>
          <w:lang w:val="es-ES_tradnl"/>
        </w:rPr>
      </w:pPr>
    </w:p>
    <w:p w:rsidR="002575CA" w:rsidRPr="00A60BDA" w:rsidRDefault="002575CA" w:rsidP="008E7D63">
      <w:pPr>
        <w:widowControl w:val="0"/>
        <w:autoSpaceDE w:val="0"/>
        <w:autoSpaceDN w:val="0"/>
        <w:adjustRightInd w:val="0"/>
        <w:spacing w:line="240" w:lineRule="auto"/>
        <w:rPr>
          <w:rFonts w:ascii="Calibri" w:hAnsi="Calibri"/>
          <w:lang w:val="es-ES_tradnl"/>
        </w:rPr>
      </w:pPr>
      <w:r w:rsidRPr="00A60BDA">
        <w:rPr>
          <w:rFonts w:ascii="Calibri" w:hAnsi="Calibri"/>
          <w:lang w:val="es-ES_tradnl"/>
        </w:rPr>
        <w:t xml:space="preserve">Según las cifras de </w:t>
      </w:r>
      <w:proofErr w:type="spellStart"/>
      <w:r w:rsidRPr="00A60BDA">
        <w:rPr>
          <w:rFonts w:ascii="Calibri" w:hAnsi="Calibri"/>
          <w:lang w:val="es-ES_tradnl"/>
        </w:rPr>
        <w:t>Eurostat</w:t>
      </w:r>
      <w:proofErr w:type="spellEnd"/>
      <w:r w:rsidRPr="00A60BDA">
        <w:rPr>
          <w:rFonts w:ascii="Calibri" w:hAnsi="Calibri"/>
          <w:lang w:val="es-ES_tradnl"/>
        </w:rPr>
        <w:t xml:space="preserve">, en mayo de 2016 había </w:t>
      </w:r>
      <w:r w:rsidRPr="00A60BDA">
        <w:rPr>
          <w:rFonts w:ascii="Calibri" w:hAnsi="Calibri"/>
          <w:b/>
          <w:lang w:val="es-ES_tradnl"/>
        </w:rPr>
        <w:t>4 197 000 jóve</w:t>
      </w:r>
      <w:r w:rsidR="009D09FC" w:rsidRPr="00A60BDA">
        <w:rPr>
          <w:rFonts w:ascii="Calibri" w:hAnsi="Calibri"/>
          <w:b/>
          <w:lang w:val="es-ES_tradnl"/>
        </w:rPr>
        <w:t>nes desempleados</w:t>
      </w:r>
      <w:r w:rsidR="009D09FC" w:rsidRPr="00A60BDA">
        <w:rPr>
          <w:rFonts w:ascii="Calibri" w:hAnsi="Calibri"/>
          <w:lang w:val="es-ES_tradnl"/>
        </w:rPr>
        <w:t xml:space="preserve"> (18,6 %) en la </w:t>
      </w:r>
      <w:r w:rsidRPr="00A60BDA">
        <w:rPr>
          <w:rFonts w:ascii="Calibri" w:hAnsi="Calibri"/>
          <w:lang w:val="es-ES_tradnl"/>
        </w:rPr>
        <w:t xml:space="preserve">UE-28. A pesar de una mejora con respecto al año anterior (20,3 %), la cifra sigue siendo dramática y demuestra que la amenaza de una «generación perdida», que se cierne desde el comienzo de la crisis económica y financiera, sigue acechando peligrosamente a Europa. A pesar de ello, las empresas de la UE tienen dificultades para encontrar jóvenes con las cualificaciones necesarias. </w:t>
      </w:r>
    </w:p>
    <w:p w:rsidR="002575CA" w:rsidRPr="00A60BDA" w:rsidRDefault="002575CA" w:rsidP="008E7D63">
      <w:pPr>
        <w:widowControl w:val="0"/>
        <w:autoSpaceDE w:val="0"/>
        <w:autoSpaceDN w:val="0"/>
        <w:adjustRightInd w:val="0"/>
        <w:spacing w:line="240" w:lineRule="auto"/>
        <w:rPr>
          <w:rFonts w:ascii="Calibri" w:hAnsi="Calibri"/>
          <w:lang w:val="es-ES_tradnl"/>
        </w:rPr>
      </w:pPr>
    </w:p>
    <w:p w:rsidR="002575CA" w:rsidRPr="00A60BDA" w:rsidRDefault="002575CA" w:rsidP="008E7D63">
      <w:pPr>
        <w:widowControl w:val="0"/>
        <w:autoSpaceDE w:val="0"/>
        <w:autoSpaceDN w:val="0"/>
        <w:adjustRightInd w:val="0"/>
        <w:spacing w:line="240" w:lineRule="auto"/>
        <w:rPr>
          <w:lang w:val="es-ES_tradnl"/>
        </w:rPr>
      </w:pPr>
      <w:r w:rsidRPr="00A60BDA">
        <w:rPr>
          <w:rFonts w:ascii="Calibri" w:hAnsi="Calibri"/>
          <w:lang w:val="es-ES_tradnl"/>
        </w:rPr>
        <w:t xml:space="preserve">Para hacer frente a este doble problema, el CESE considera que se necesita </w:t>
      </w:r>
      <w:r w:rsidRPr="00A60BDA">
        <w:rPr>
          <w:rFonts w:ascii="Calibri" w:hAnsi="Calibri"/>
          <w:b/>
          <w:lang w:val="es-ES_tradnl"/>
        </w:rPr>
        <w:t>una ofensiva europea de competencias</w:t>
      </w:r>
      <w:r w:rsidRPr="00A60BDA">
        <w:rPr>
          <w:rFonts w:ascii="Calibri" w:hAnsi="Calibri"/>
          <w:lang w:val="es-ES_tradnl"/>
        </w:rPr>
        <w:t xml:space="preserve">. Dicha ofensiva se dirigiría a </w:t>
      </w:r>
      <w:r w:rsidRPr="00A60BDA">
        <w:rPr>
          <w:rFonts w:ascii="Calibri" w:hAnsi="Calibri"/>
          <w:b/>
          <w:lang w:val="es-ES_tradnl"/>
        </w:rPr>
        <w:t>luchar contra el desfase entre las cualificaciones demandadas en el mercado de trabajo y las verdaderas cualificaciones de los jóvenes cuando acceden al mismo</w:t>
      </w:r>
      <w:r w:rsidRPr="00A60BDA">
        <w:rPr>
          <w:rFonts w:ascii="Calibri" w:hAnsi="Calibri"/>
          <w:lang w:val="es-ES_tradnl"/>
        </w:rPr>
        <w:t xml:space="preserve">. El CESE está convencido de que, entre los elementos clave de una estrategia para resolver este acuciante problema, habría que incluir </w:t>
      </w:r>
      <w:r w:rsidRPr="00A60BDA">
        <w:rPr>
          <w:rFonts w:ascii="Calibri" w:hAnsi="Calibri"/>
          <w:b/>
          <w:lang w:val="es-ES_tradnl"/>
        </w:rPr>
        <w:t>una educación en materia de emprendimiento, la mejora de las TIC y de las competencias genéricas, un buen sistema de aprendizaje y medidas que faciliten la movilidad</w:t>
      </w:r>
      <w:r w:rsidRPr="00A60BDA">
        <w:rPr>
          <w:rFonts w:ascii="Calibri" w:hAnsi="Calibri"/>
          <w:lang w:val="es-ES_tradnl"/>
        </w:rPr>
        <w:t>.</w:t>
      </w:r>
    </w:p>
    <w:p w:rsidR="002575CA" w:rsidRPr="00A60BDA" w:rsidRDefault="002575CA" w:rsidP="008E7D63">
      <w:pPr>
        <w:widowControl w:val="0"/>
        <w:autoSpaceDE w:val="0"/>
        <w:autoSpaceDN w:val="0"/>
        <w:adjustRightInd w:val="0"/>
        <w:spacing w:line="288" w:lineRule="atLeast"/>
        <w:rPr>
          <w:rFonts w:ascii="Verdana" w:hAnsi="Verdana"/>
          <w:i/>
          <w:sz w:val="18"/>
          <w:lang w:val="es-ES_tradnl"/>
        </w:rPr>
      </w:pPr>
    </w:p>
    <w:p w:rsidR="002575CA" w:rsidRPr="00A60BDA" w:rsidRDefault="002575CA" w:rsidP="008E7D63">
      <w:pPr>
        <w:widowControl w:val="0"/>
        <w:autoSpaceDE w:val="0"/>
        <w:autoSpaceDN w:val="0"/>
        <w:adjustRightInd w:val="0"/>
        <w:spacing w:line="240" w:lineRule="auto"/>
        <w:rPr>
          <w:rFonts w:ascii="Calibri" w:hAnsi="Calibri"/>
          <w:lang w:val="es-ES_tradnl"/>
        </w:rPr>
      </w:pPr>
      <w:r w:rsidRPr="00A60BDA">
        <w:rPr>
          <w:rFonts w:ascii="Calibri" w:hAnsi="Calibri"/>
          <w:lang w:val="es-ES_tradnl"/>
        </w:rPr>
        <w:t xml:space="preserve">La educación en materia de emprendimiento debería tener como objetivo brindar a todos los alumnos la oportunidad de desarrollar la gama de cualificaciones y competencias que demandan los empresarios, incluidos el sentido de la iniciativa, la capacidad de pasar de las ideas a la práctica, la </w:t>
      </w:r>
      <w:proofErr w:type="gramStart"/>
      <w:r w:rsidRPr="00A60BDA">
        <w:rPr>
          <w:rFonts w:ascii="Calibri" w:hAnsi="Calibri"/>
          <w:lang w:val="es-ES_tradnl"/>
        </w:rPr>
        <w:t>creatividad</w:t>
      </w:r>
      <w:proofErr w:type="gramEnd"/>
      <w:r w:rsidRPr="00A60BDA">
        <w:rPr>
          <w:rFonts w:ascii="Calibri" w:hAnsi="Calibri"/>
          <w:lang w:val="es-ES_tradnl"/>
        </w:rPr>
        <w:t xml:space="preserve">, la innovación, la asunción de riesgos, la gestión, la comunicación y la experiencia en trabajo de equipo. Debería incluirse en todos los niveles de la educación y formación con el fin de permitir el continuo desarrollo de esas competencias a lo largo del plan de estudios. En la actualidad, los conocimientos y cualificaciones digitales son parte esencial de la vida social y económica de todo el mundo y, por ende, deberían cubrir todas las fases y formas de educación. </w:t>
      </w:r>
    </w:p>
    <w:p w:rsidR="002575CA" w:rsidRPr="00A60BDA" w:rsidRDefault="002575CA" w:rsidP="008E7D63">
      <w:pPr>
        <w:widowControl w:val="0"/>
        <w:autoSpaceDE w:val="0"/>
        <w:autoSpaceDN w:val="0"/>
        <w:adjustRightInd w:val="0"/>
        <w:spacing w:line="240" w:lineRule="auto"/>
        <w:rPr>
          <w:rFonts w:asciiTheme="minorHAnsi" w:hAnsiTheme="minorHAnsi"/>
          <w:lang w:val="es-ES_tradnl"/>
        </w:rPr>
      </w:pPr>
    </w:p>
    <w:p w:rsidR="002575CA" w:rsidRPr="00A60BDA" w:rsidRDefault="002575CA" w:rsidP="008E7D63">
      <w:pPr>
        <w:widowControl w:val="0"/>
        <w:autoSpaceDE w:val="0"/>
        <w:autoSpaceDN w:val="0"/>
        <w:adjustRightInd w:val="0"/>
        <w:spacing w:line="240" w:lineRule="auto"/>
        <w:rPr>
          <w:rFonts w:asciiTheme="minorHAnsi" w:hAnsiTheme="minorHAnsi"/>
          <w:lang w:val="es-ES_tradnl"/>
        </w:rPr>
      </w:pPr>
      <w:r w:rsidRPr="00A60BDA">
        <w:rPr>
          <w:rFonts w:asciiTheme="minorHAnsi" w:hAnsiTheme="minorHAnsi"/>
          <w:lang w:val="es-ES_tradnl"/>
        </w:rPr>
        <w:t xml:space="preserve">El buen funcionamiento de la formación de aprendices y otras formas óptimas de aprendizaje basadas en el trabajo puede ayudar a los jóvenes en la transición de la escuela a la vida laboral. Los sistemas de aprendizaje duales han demostrado ser muy eficaces a este respecto y los Estados miembros que no dispongan de tales sistemas deberían sopesar los costes inherentes a su desarrollo, en comparación con los beneficios para la competitividad de las empresas y las oportunidades de empleo para los jóvenes. Las asociaciones entre las escuelas, los centros de formación, los sindicatos y la comunidad empresarial también son importantes, y los empresarios participarán en mayor medida en los regímenes de aprendizaje cuando estos respondan realmente a sus necesidades. A partir de 2017, el CESE tiene previsto apoyar la creación de estas asociaciones en el marco de un proyecto conjunto con el </w:t>
      </w:r>
      <w:proofErr w:type="spellStart"/>
      <w:r w:rsidRPr="00A60BDA">
        <w:rPr>
          <w:rFonts w:asciiTheme="minorHAnsi" w:hAnsiTheme="minorHAnsi"/>
          <w:lang w:val="es-ES_tradnl"/>
        </w:rPr>
        <w:t>Cedefop</w:t>
      </w:r>
      <w:proofErr w:type="spellEnd"/>
      <w:r w:rsidRPr="00A60BDA">
        <w:rPr>
          <w:rFonts w:asciiTheme="minorHAnsi" w:hAnsiTheme="minorHAnsi"/>
          <w:lang w:val="es-ES_tradnl"/>
        </w:rPr>
        <w:t>.</w:t>
      </w:r>
    </w:p>
    <w:p w:rsidR="002575CA" w:rsidRPr="00A60BDA" w:rsidRDefault="002575CA" w:rsidP="008E7D63">
      <w:pPr>
        <w:widowControl w:val="0"/>
        <w:autoSpaceDE w:val="0"/>
        <w:autoSpaceDN w:val="0"/>
        <w:adjustRightInd w:val="0"/>
        <w:spacing w:line="240" w:lineRule="auto"/>
        <w:rPr>
          <w:rFonts w:asciiTheme="minorHAnsi" w:hAnsiTheme="minorHAnsi"/>
          <w:lang w:val="es-ES_tradnl"/>
        </w:rPr>
      </w:pPr>
    </w:p>
    <w:p w:rsidR="002575CA" w:rsidRPr="00A60BDA" w:rsidRDefault="002575CA" w:rsidP="008E7D63">
      <w:pPr>
        <w:widowControl w:val="0"/>
        <w:autoSpaceDE w:val="0"/>
        <w:autoSpaceDN w:val="0"/>
        <w:adjustRightInd w:val="0"/>
        <w:spacing w:line="240" w:lineRule="auto"/>
        <w:rPr>
          <w:rFonts w:asciiTheme="minorHAnsi" w:hAnsiTheme="minorHAnsi"/>
          <w:lang w:val="es-ES_tradnl"/>
        </w:rPr>
      </w:pPr>
      <w:r w:rsidRPr="00A60BDA">
        <w:rPr>
          <w:rFonts w:asciiTheme="minorHAnsi" w:hAnsiTheme="minorHAnsi"/>
          <w:lang w:val="es-ES_tradnl"/>
        </w:rPr>
        <w:t xml:space="preserve">La movilidad es otro elemento clave para adecuar la empleabilidad de los jóvenes solicitantes de empleo a las necesidades del mercado. Las competencias lingüísticas son fundamentales para garantizar que los ciudadanos europeos puedan desplazarse, trabajar y aprender libremente, como </w:t>
      </w:r>
      <w:r w:rsidRPr="00A60BDA">
        <w:rPr>
          <w:rFonts w:asciiTheme="minorHAnsi" w:hAnsiTheme="minorHAnsi"/>
          <w:lang w:val="es-ES_tradnl"/>
        </w:rPr>
        <w:lastRenderedPageBreak/>
        <w:t xml:space="preserve">también lo es el reconocimiento y la transparencia de las competencias y cualificaciones. Un Espacio Europeo de las Aptitudes y Cualificaciones </w:t>
      </w:r>
      <w:proofErr w:type="gramStart"/>
      <w:r w:rsidRPr="00A60BDA">
        <w:rPr>
          <w:rFonts w:asciiTheme="minorHAnsi" w:hAnsiTheme="minorHAnsi"/>
          <w:lang w:val="es-ES_tradnl"/>
        </w:rPr>
        <w:t>sería</w:t>
      </w:r>
      <w:proofErr w:type="gramEnd"/>
      <w:r w:rsidRPr="00A60BDA">
        <w:rPr>
          <w:rFonts w:asciiTheme="minorHAnsi" w:hAnsiTheme="minorHAnsi"/>
          <w:lang w:val="es-ES_tradnl"/>
        </w:rPr>
        <w:t xml:space="preserve"> crucial en este sentido.</w:t>
      </w:r>
    </w:p>
    <w:p w:rsidR="002575CA" w:rsidRPr="00A60BDA" w:rsidRDefault="002575CA" w:rsidP="008E7D63">
      <w:pPr>
        <w:widowControl w:val="0"/>
        <w:autoSpaceDE w:val="0"/>
        <w:autoSpaceDN w:val="0"/>
        <w:adjustRightInd w:val="0"/>
        <w:spacing w:line="240" w:lineRule="auto"/>
        <w:rPr>
          <w:rFonts w:asciiTheme="minorHAnsi" w:hAnsiTheme="minorHAnsi"/>
          <w:lang w:val="es-ES_tradnl"/>
        </w:rPr>
      </w:pPr>
    </w:p>
    <w:p w:rsidR="002575CA" w:rsidRPr="00A60BDA" w:rsidRDefault="002575CA" w:rsidP="008E7D63">
      <w:pPr>
        <w:widowControl w:val="0"/>
        <w:autoSpaceDE w:val="0"/>
        <w:autoSpaceDN w:val="0"/>
        <w:adjustRightInd w:val="0"/>
        <w:spacing w:line="240" w:lineRule="auto"/>
        <w:rPr>
          <w:rFonts w:asciiTheme="minorHAnsi" w:hAnsiTheme="minorHAnsi"/>
          <w:lang w:val="es-ES_tradnl"/>
        </w:rPr>
      </w:pPr>
      <w:r w:rsidRPr="00A60BDA">
        <w:rPr>
          <w:rFonts w:asciiTheme="minorHAnsi" w:hAnsiTheme="minorHAnsi"/>
          <w:lang w:val="es-ES_tradnl"/>
        </w:rPr>
        <w:t>Por último, el CESE considera que la inversión en la mejora de la empleabilidad de los jóvenes mediante la mejora de las capacidades es fundamental para el futuro de las economías y las sociedades europeas y, por lo tanto, recomienda que los recursos de los Estados miembros asignados a la educación de calidad, no deberían considerarse un gasto, sino una inversión esencial para construir un futuro mejor para todos.</w:t>
      </w:r>
    </w:p>
    <w:p w:rsidR="00A51520" w:rsidRPr="00A60BDA" w:rsidRDefault="00A51520" w:rsidP="008E7D63">
      <w:pPr>
        <w:widowControl w:val="0"/>
        <w:autoSpaceDE w:val="0"/>
        <w:autoSpaceDN w:val="0"/>
        <w:adjustRightInd w:val="0"/>
        <w:spacing w:line="240" w:lineRule="auto"/>
        <w:rPr>
          <w:rFonts w:asciiTheme="minorHAnsi" w:hAnsiTheme="minorHAnsi"/>
          <w:lang w:val="es-ES_tradnl"/>
        </w:rPr>
      </w:pPr>
    </w:p>
    <w:p w:rsidR="00A51520" w:rsidRPr="00A60BDA" w:rsidRDefault="00A51520" w:rsidP="008E7D63">
      <w:pPr>
        <w:widowControl w:val="0"/>
        <w:autoSpaceDE w:val="0"/>
        <w:autoSpaceDN w:val="0"/>
        <w:adjustRightInd w:val="0"/>
        <w:spacing w:line="240" w:lineRule="auto"/>
        <w:rPr>
          <w:rFonts w:asciiTheme="minorHAnsi" w:hAnsiTheme="minorHAnsi"/>
          <w:lang w:val="es-ES_tradnl"/>
        </w:rPr>
      </w:pPr>
      <w:r w:rsidRPr="00A60BDA">
        <w:rPr>
          <w:rFonts w:asciiTheme="minorHAnsi" w:hAnsiTheme="minorHAnsi"/>
          <w:lang w:val="es-ES_tradnl"/>
        </w:rPr>
        <w:t>El Comité acoge con satisfacción la publicación de la nueva Agenda de Competencias para Europa por la Comisión y está preparando un dictamen a este respecto.</w:t>
      </w:r>
    </w:p>
    <w:p w:rsidR="002575CA" w:rsidRPr="00A60BDA" w:rsidRDefault="002575CA" w:rsidP="008E7D63">
      <w:pPr>
        <w:widowControl w:val="0"/>
        <w:autoSpaceDE w:val="0"/>
        <w:autoSpaceDN w:val="0"/>
        <w:adjustRightInd w:val="0"/>
        <w:spacing w:line="240" w:lineRule="auto"/>
        <w:rPr>
          <w:rFonts w:asciiTheme="minorHAnsi" w:hAnsiTheme="minorHAnsi"/>
          <w:lang w:val="es-ES_tradnl"/>
        </w:rPr>
      </w:pPr>
    </w:p>
    <w:p w:rsidR="002575CA" w:rsidRPr="00A60BDA" w:rsidRDefault="002575CA" w:rsidP="008E7D63">
      <w:pPr>
        <w:widowControl w:val="0"/>
        <w:autoSpaceDE w:val="0"/>
        <w:autoSpaceDN w:val="0"/>
        <w:adjustRightInd w:val="0"/>
        <w:spacing w:line="240" w:lineRule="auto"/>
        <w:rPr>
          <w:rFonts w:asciiTheme="minorHAnsi" w:hAnsiTheme="minorHAnsi"/>
          <w:lang w:val="es-ES_tradnl"/>
        </w:rPr>
      </w:pPr>
      <w:r w:rsidRPr="00A60BDA">
        <w:rPr>
          <w:rFonts w:asciiTheme="minorHAnsi" w:hAnsiTheme="minorHAnsi"/>
          <w:lang w:val="es-ES_tradnl"/>
        </w:rPr>
        <w:t xml:space="preserve">«Mejorar las competencias y la empleabilidad de los jóvenes no es solo para los jóvenes. Es una responsabilidad que debería ser abordada y compartida por todas las partes interesadas: gobiernos, escuelas y universidades, interlocutores sociales y otros. Los empresarios, los trabajadores y la sociedad civil organizada saben qué cualificaciones se necesitan en el mundo del trabajo y aceptan de buen grado compartir su reserva de experiencia y riqueza de ideas para garantizar que la próxima generación de Europa tenga las competencias necesarias para conformar activamente su propio presente y futuro», afirma </w:t>
      </w:r>
      <w:proofErr w:type="spellStart"/>
      <w:r w:rsidRPr="00A60BDA">
        <w:rPr>
          <w:rFonts w:asciiTheme="minorHAnsi" w:hAnsiTheme="minorHAnsi"/>
          <w:lang w:val="es-ES_tradnl"/>
        </w:rPr>
        <w:t>Vladimíra</w:t>
      </w:r>
      <w:proofErr w:type="spellEnd"/>
      <w:r w:rsidRPr="00A60BDA">
        <w:rPr>
          <w:rFonts w:asciiTheme="minorHAnsi" w:hAnsiTheme="minorHAnsi"/>
          <w:lang w:val="es-ES_tradnl"/>
        </w:rPr>
        <w:t xml:space="preserve"> </w:t>
      </w:r>
      <w:proofErr w:type="spellStart"/>
      <w:r w:rsidRPr="00A60BDA">
        <w:rPr>
          <w:rFonts w:asciiTheme="minorHAnsi" w:hAnsiTheme="minorHAnsi"/>
          <w:lang w:val="es-ES_tradnl"/>
        </w:rPr>
        <w:t>Drbalová</w:t>
      </w:r>
      <w:proofErr w:type="spellEnd"/>
      <w:r w:rsidRPr="00A60BDA">
        <w:rPr>
          <w:rFonts w:asciiTheme="minorHAnsi" w:hAnsiTheme="minorHAnsi"/>
          <w:lang w:val="es-ES_tradnl"/>
        </w:rPr>
        <w:t>, ponente de varios dictámenes del CESE al respecto.</w:t>
      </w:r>
    </w:p>
    <w:p w:rsidR="002575CA" w:rsidRPr="00A60BDA" w:rsidRDefault="002575CA" w:rsidP="008E7D63">
      <w:pPr>
        <w:widowControl w:val="0"/>
        <w:autoSpaceDE w:val="0"/>
        <w:autoSpaceDN w:val="0"/>
        <w:adjustRightInd w:val="0"/>
        <w:spacing w:line="240" w:lineRule="auto"/>
        <w:rPr>
          <w:rFonts w:asciiTheme="minorHAnsi" w:hAnsiTheme="minorHAnsi"/>
          <w:lang w:val="es-ES_tradnl"/>
        </w:rPr>
      </w:pPr>
    </w:p>
    <w:p w:rsidR="002575CA" w:rsidRPr="00A60BDA" w:rsidRDefault="002575CA" w:rsidP="008E7D63">
      <w:pPr>
        <w:widowControl w:val="0"/>
        <w:autoSpaceDE w:val="0"/>
        <w:autoSpaceDN w:val="0"/>
        <w:adjustRightInd w:val="0"/>
        <w:spacing w:line="240" w:lineRule="auto"/>
        <w:rPr>
          <w:rFonts w:asciiTheme="minorHAnsi" w:hAnsiTheme="minorHAnsi"/>
          <w:lang w:val="es-ES_tradnl"/>
        </w:rPr>
      </w:pPr>
      <w:r w:rsidRPr="00A60BDA">
        <w:rPr>
          <w:rFonts w:asciiTheme="minorHAnsi" w:hAnsiTheme="minorHAnsi"/>
          <w:lang w:val="es-ES_tradnl"/>
        </w:rPr>
        <w:t>Dictámenes y estudios recientes del CESE sobre las cualificaciones y la empleabilidad:</w:t>
      </w:r>
    </w:p>
    <w:p w:rsidR="002575CA" w:rsidRPr="00A60BDA" w:rsidRDefault="00BE41E0" w:rsidP="008E7D63">
      <w:pPr>
        <w:widowControl w:val="0"/>
        <w:autoSpaceDE w:val="0"/>
        <w:autoSpaceDN w:val="0"/>
        <w:adjustRightInd w:val="0"/>
        <w:spacing w:line="240" w:lineRule="auto"/>
        <w:rPr>
          <w:rFonts w:asciiTheme="minorHAnsi" w:hAnsiTheme="minorHAnsi"/>
          <w:u w:val="single"/>
          <w:lang w:val="es-ES_tradnl"/>
        </w:rPr>
      </w:pPr>
      <w:hyperlink r:id="rId13" w:history="1">
        <w:r w:rsidR="002575CA" w:rsidRPr="00BE41E0">
          <w:rPr>
            <w:rStyle w:val="Hyperlink"/>
            <w:rFonts w:asciiTheme="minorHAnsi" w:hAnsiTheme="minorHAnsi"/>
            <w:lang w:val="es-ES_tradnl"/>
          </w:rPr>
          <w:t>Mejorar los resultados de los sistemas nacionales de formación dual</w:t>
        </w:r>
      </w:hyperlink>
      <w:r w:rsidR="002575CA" w:rsidRPr="00A60BDA">
        <w:rPr>
          <w:rFonts w:asciiTheme="minorHAnsi" w:hAnsiTheme="minorHAnsi"/>
          <w:u w:val="single"/>
          <w:lang w:val="es-ES_tradnl"/>
        </w:rPr>
        <w:t xml:space="preserve"> (2015)</w:t>
      </w:r>
    </w:p>
    <w:p w:rsidR="002575CA" w:rsidRPr="00A60BDA" w:rsidRDefault="00BE41E0" w:rsidP="008E7D63">
      <w:pPr>
        <w:widowControl w:val="0"/>
        <w:autoSpaceDE w:val="0"/>
        <w:autoSpaceDN w:val="0"/>
        <w:adjustRightInd w:val="0"/>
        <w:spacing w:line="240" w:lineRule="auto"/>
        <w:rPr>
          <w:rFonts w:asciiTheme="minorHAnsi" w:hAnsiTheme="minorHAnsi"/>
          <w:u w:val="single"/>
          <w:lang w:val="es-ES_tradnl"/>
        </w:rPr>
      </w:pPr>
      <w:hyperlink r:id="rId14">
        <w:r w:rsidR="00950350" w:rsidRPr="00A60BDA">
          <w:rPr>
            <w:rFonts w:asciiTheme="minorHAnsi" w:hAnsiTheme="minorHAnsi"/>
            <w:u w:val="single"/>
            <w:lang w:val="es-ES_tradnl"/>
          </w:rPr>
          <w:t>Promover la creatividad, el espíritu empresarial y la movilidad en la educación y la formación</w:t>
        </w:r>
      </w:hyperlink>
      <w:r w:rsidR="00950350" w:rsidRPr="00A60BDA">
        <w:rPr>
          <w:rFonts w:asciiTheme="minorHAnsi" w:hAnsiTheme="minorHAnsi"/>
          <w:u w:val="single"/>
          <w:lang w:val="es-ES_tradnl"/>
        </w:rPr>
        <w:t xml:space="preserve"> (2015)</w:t>
      </w:r>
    </w:p>
    <w:p w:rsidR="002575CA" w:rsidRPr="00A60BDA" w:rsidRDefault="00BE41E0" w:rsidP="008E7D63">
      <w:pPr>
        <w:widowControl w:val="0"/>
        <w:autoSpaceDE w:val="0"/>
        <w:autoSpaceDN w:val="0"/>
        <w:adjustRightInd w:val="0"/>
        <w:spacing w:line="240" w:lineRule="auto"/>
        <w:rPr>
          <w:rFonts w:asciiTheme="minorHAnsi" w:hAnsiTheme="minorHAnsi"/>
          <w:u w:val="single"/>
          <w:lang w:val="es-ES_tradnl"/>
        </w:rPr>
      </w:pPr>
      <w:hyperlink r:id="rId15">
        <w:r w:rsidR="00950350" w:rsidRPr="00A60BDA">
          <w:rPr>
            <w:rFonts w:asciiTheme="minorHAnsi" w:hAnsiTheme="minorHAnsi"/>
            <w:u w:val="single"/>
            <w:lang w:val="es-ES_tradnl"/>
          </w:rPr>
          <w:t>El desarrollo y la formación profesional en las zonas rurales</w:t>
        </w:r>
      </w:hyperlink>
      <w:r w:rsidR="00950350" w:rsidRPr="00A60BDA">
        <w:rPr>
          <w:rFonts w:asciiTheme="minorHAnsi" w:hAnsiTheme="minorHAnsi"/>
          <w:u w:val="single"/>
          <w:lang w:val="es-ES_tradnl"/>
        </w:rPr>
        <w:t xml:space="preserve"> (2015)</w:t>
      </w:r>
    </w:p>
    <w:p w:rsidR="002575CA" w:rsidRPr="00A60BDA" w:rsidRDefault="00BE41E0" w:rsidP="008E7D63">
      <w:pPr>
        <w:widowControl w:val="0"/>
        <w:autoSpaceDE w:val="0"/>
        <w:autoSpaceDN w:val="0"/>
        <w:adjustRightInd w:val="0"/>
        <w:spacing w:line="240" w:lineRule="auto"/>
        <w:rPr>
          <w:rFonts w:asciiTheme="minorHAnsi" w:hAnsiTheme="minorHAnsi"/>
          <w:u w:val="single"/>
          <w:lang w:val="es-ES_tradnl"/>
        </w:rPr>
      </w:pPr>
      <w:hyperlink r:id="rId16">
        <w:r w:rsidR="00950350" w:rsidRPr="00A60BDA">
          <w:rPr>
            <w:rFonts w:asciiTheme="minorHAnsi" w:hAnsiTheme="minorHAnsi"/>
            <w:u w:val="single"/>
            <w:lang w:val="es-ES_tradnl"/>
          </w:rPr>
          <w:t>Reconocimiento de las capacidades y competencias adquiridas a través del aprendizaje no formal e informal</w:t>
        </w:r>
      </w:hyperlink>
      <w:r w:rsidR="00950350" w:rsidRPr="00A60BDA">
        <w:rPr>
          <w:rFonts w:asciiTheme="minorHAnsi" w:hAnsiTheme="minorHAnsi"/>
          <w:u w:val="single"/>
          <w:lang w:val="es-ES_tradnl"/>
        </w:rPr>
        <w:t xml:space="preserve"> (2015)</w:t>
      </w:r>
    </w:p>
    <w:p w:rsidR="002575CA" w:rsidRPr="00A60BDA" w:rsidRDefault="00BE41E0" w:rsidP="008E7D63">
      <w:pPr>
        <w:widowControl w:val="0"/>
        <w:autoSpaceDE w:val="0"/>
        <w:autoSpaceDN w:val="0"/>
        <w:adjustRightInd w:val="0"/>
        <w:spacing w:line="240" w:lineRule="auto"/>
        <w:rPr>
          <w:rFonts w:asciiTheme="minorHAnsi" w:hAnsiTheme="minorHAnsi"/>
          <w:u w:val="single"/>
          <w:lang w:val="es-ES_tradnl"/>
        </w:rPr>
      </w:pPr>
      <w:hyperlink r:id="rId17">
        <w:r w:rsidR="00950350" w:rsidRPr="00A60BDA">
          <w:rPr>
            <w:rFonts w:asciiTheme="minorHAnsi" w:hAnsiTheme="minorHAnsi"/>
            <w:u w:val="single"/>
            <w:lang w:val="es-ES_tradnl"/>
          </w:rPr>
          <w:t>La aplicación de las políticas de empleo juvenil de la UE desde la perspectiva de la sociedad civil</w:t>
        </w:r>
      </w:hyperlink>
      <w:r w:rsidR="00950350" w:rsidRPr="00A60BDA">
        <w:rPr>
          <w:rFonts w:asciiTheme="minorHAnsi" w:hAnsiTheme="minorHAnsi"/>
          <w:u w:val="single"/>
          <w:lang w:val="es-ES_tradnl"/>
        </w:rPr>
        <w:t xml:space="preserve"> (2014)</w:t>
      </w:r>
    </w:p>
    <w:p w:rsidR="002575CA" w:rsidRPr="00A60BDA" w:rsidRDefault="00BE41E0" w:rsidP="008E7D63">
      <w:pPr>
        <w:widowControl w:val="0"/>
        <w:autoSpaceDE w:val="0"/>
        <w:autoSpaceDN w:val="0"/>
        <w:adjustRightInd w:val="0"/>
        <w:spacing w:line="240" w:lineRule="auto"/>
        <w:rPr>
          <w:rFonts w:asciiTheme="minorHAnsi" w:hAnsiTheme="minorHAnsi"/>
          <w:u w:val="single"/>
          <w:lang w:val="es-ES_tradnl"/>
        </w:rPr>
      </w:pPr>
      <w:hyperlink r:id="rId18">
        <w:r w:rsidR="00950350" w:rsidRPr="00A60BDA">
          <w:rPr>
            <w:rFonts w:asciiTheme="minorHAnsi" w:hAnsiTheme="minorHAnsi"/>
            <w:u w:val="single"/>
            <w:lang w:val="es-ES_tradnl"/>
          </w:rPr>
          <w:t>Empleabilidad de los jóvenes</w:t>
        </w:r>
      </w:hyperlink>
      <w:r w:rsidR="00950350" w:rsidRPr="00A60BDA">
        <w:rPr>
          <w:rFonts w:asciiTheme="minorHAnsi" w:hAnsiTheme="minorHAnsi"/>
          <w:u w:val="single"/>
          <w:lang w:val="es-ES_tradnl"/>
        </w:rPr>
        <w:t xml:space="preserve"> (2014)</w:t>
      </w:r>
    </w:p>
    <w:p w:rsidR="002575CA" w:rsidRPr="00A60BDA" w:rsidRDefault="00BE41E0" w:rsidP="008E7D63">
      <w:pPr>
        <w:widowControl w:val="0"/>
        <w:autoSpaceDE w:val="0"/>
        <w:autoSpaceDN w:val="0"/>
        <w:adjustRightInd w:val="0"/>
        <w:spacing w:line="240" w:lineRule="auto"/>
        <w:rPr>
          <w:rFonts w:asciiTheme="minorHAnsi" w:hAnsiTheme="minorHAnsi"/>
          <w:u w:val="single"/>
          <w:lang w:val="es-ES_tradnl"/>
        </w:rPr>
      </w:pPr>
      <w:hyperlink r:id="rId19">
        <w:r w:rsidR="00950350" w:rsidRPr="00A60BDA">
          <w:rPr>
            <w:rFonts w:asciiTheme="minorHAnsi" w:hAnsiTheme="minorHAnsi"/>
            <w:u w:val="single"/>
            <w:lang w:val="es-ES_tradnl"/>
          </w:rPr>
          <w:t>Marco de calidad para los períodos de prácticas</w:t>
        </w:r>
      </w:hyperlink>
      <w:r w:rsidR="00950350" w:rsidRPr="00A60BDA">
        <w:rPr>
          <w:rFonts w:asciiTheme="minorHAnsi" w:hAnsiTheme="minorHAnsi"/>
          <w:u w:val="single"/>
          <w:lang w:val="es-ES_tradnl"/>
        </w:rPr>
        <w:t xml:space="preserve"> (2014)</w:t>
      </w:r>
    </w:p>
    <w:p w:rsidR="002575CA" w:rsidRPr="00A60BDA" w:rsidRDefault="00BE41E0" w:rsidP="008E7D63">
      <w:pPr>
        <w:widowControl w:val="0"/>
        <w:autoSpaceDE w:val="0"/>
        <w:autoSpaceDN w:val="0"/>
        <w:adjustRightInd w:val="0"/>
        <w:spacing w:line="240" w:lineRule="auto"/>
        <w:rPr>
          <w:rFonts w:asciiTheme="minorHAnsi" w:hAnsiTheme="minorHAnsi"/>
          <w:u w:val="single"/>
          <w:lang w:val="es-ES_tradnl"/>
        </w:rPr>
      </w:pPr>
      <w:hyperlink r:id="rId20">
        <w:r w:rsidR="00950350" w:rsidRPr="00A60BDA">
          <w:rPr>
            <w:rFonts w:asciiTheme="minorHAnsi" w:hAnsiTheme="minorHAnsi"/>
            <w:u w:val="single"/>
            <w:lang w:val="es-ES_tradnl"/>
          </w:rPr>
          <w:t>El papel de las empresas en la educación en la UE</w:t>
        </w:r>
      </w:hyperlink>
      <w:r w:rsidR="00950350" w:rsidRPr="00A60BDA">
        <w:rPr>
          <w:rFonts w:asciiTheme="minorHAnsi" w:hAnsiTheme="minorHAnsi"/>
          <w:u w:val="single"/>
          <w:lang w:val="es-ES_tradnl"/>
        </w:rPr>
        <w:t xml:space="preserve"> (2013)</w:t>
      </w:r>
    </w:p>
    <w:p w:rsidR="002575CA" w:rsidRPr="00A60BDA" w:rsidRDefault="00BE41E0" w:rsidP="008E7D63">
      <w:pPr>
        <w:widowControl w:val="0"/>
        <w:autoSpaceDE w:val="0"/>
        <w:autoSpaceDN w:val="0"/>
        <w:adjustRightInd w:val="0"/>
        <w:spacing w:line="240" w:lineRule="auto"/>
        <w:rPr>
          <w:rFonts w:asciiTheme="minorHAnsi" w:hAnsiTheme="minorHAnsi"/>
          <w:u w:val="single"/>
          <w:lang w:val="es-ES_tradnl"/>
        </w:rPr>
      </w:pPr>
      <w:hyperlink r:id="rId21">
        <w:r w:rsidR="00950350" w:rsidRPr="00A60BDA">
          <w:rPr>
            <w:rFonts w:asciiTheme="minorHAnsi" w:hAnsiTheme="minorHAnsi"/>
            <w:u w:val="single"/>
            <w:lang w:val="es-ES_tradnl"/>
          </w:rPr>
          <w:t>La Garantía Juvenil</w:t>
        </w:r>
      </w:hyperlink>
      <w:r w:rsidR="00950350" w:rsidRPr="00A60BDA">
        <w:rPr>
          <w:rFonts w:asciiTheme="minorHAnsi" w:hAnsiTheme="minorHAnsi"/>
          <w:u w:val="single"/>
          <w:lang w:val="es-ES_tradnl"/>
        </w:rPr>
        <w:t xml:space="preserve"> (2013)</w:t>
      </w:r>
    </w:p>
    <w:p w:rsidR="002575CA" w:rsidRPr="00A60BDA" w:rsidRDefault="00BE41E0" w:rsidP="008E7D63">
      <w:pPr>
        <w:widowControl w:val="0"/>
        <w:autoSpaceDE w:val="0"/>
        <w:autoSpaceDN w:val="0"/>
        <w:adjustRightInd w:val="0"/>
        <w:spacing w:line="240" w:lineRule="auto"/>
        <w:rPr>
          <w:rFonts w:asciiTheme="minorHAnsi" w:hAnsiTheme="minorHAnsi"/>
          <w:u w:val="single"/>
          <w:lang w:val="es-ES_tradnl"/>
        </w:rPr>
      </w:pPr>
      <w:hyperlink r:id="rId22">
        <w:r w:rsidR="00950350" w:rsidRPr="00A60BDA">
          <w:rPr>
            <w:rFonts w:asciiTheme="minorHAnsi" w:hAnsiTheme="minorHAnsi"/>
            <w:u w:val="single"/>
            <w:lang w:val="es-ES_tradnl"/>
          </w:rPr>
          <w:t>Un nuevo concepto de educación</w:t>
        </w:r>
      </w:hyperlink>
      <w:r w:rsidR="00950350" w:rsidRPr="00A60BDA">
        <w:rPr>
          <w:rFonts w:asciiTheme="minorHAnsi" w:hAnsiTheme="minorHAnsi"/>
          <w:u w:val="single"/>
          <w:lang w:val="es-ES_tradnl"/>
        </w:rPr>
        <w:t xml:space="preserve"> (2013)</w:t>
      </w:r>
    </w:p>
    <w:p w:rsidR="002575CA" w:rsidRPr="00A60BDA" w:rsidRDefault="00BE41E0" w:rsidP="008E7D63">
      <w:pPr>
        <w:widowControl w:val="0"/>
        <w:autoSpaceDE w:val="0"/>
        <w:autoSpaceDN w:val="0"/>
        <w:adjustRightInd w:val="0"/>
        <w:spacing w:line="240" w:lineRule="auto"/>
        <w:rPr>
          <w:rFonts w:asciiTheme="minorHAnsi" w:hAnsiTheme="minorHAnsi"/>
          <w:u w:val="single"/>
          <w:lang w:val="es-ES_tradnl"/>
        </w:rPr>
      </w:pPr>
      <w:hyperlink r:id="rId23">
        <w:r w:rsidR="00950350" w:rsidRPr="00A60BDA">
          <w:rPr>
            <w:rFonts w:asciiTheme="minorHAnsi" w:hAnsiTheme="minorHAnsi"/>
            <w:u w:val="single"/>
            <w:lang w:val="es-ES_tradnl"/>
          </w:rPr>
          <w:t>El empleo juvenil, conocimientos técnicos y movilidad</w:t>
        </w:r>
      </w:hyperlink>
      <w:r w:rsidR="00950350" w:rsidRPr="00A60BDA">
        <w:rPr>
          <w:rFonts w:asciiTheme="minorHAnsi" w:hAnsiTheme="minorHAnsi"/>
          <w:u w:val="single"/>
          <w:lang w:val="es-ES_tradnl"/>
        </w:rPr>
        <w:t xml:space="preserve"> (2012)</w:t>
      </w:r>
    </w:p>
    <w:p w:rsidR="002575CA" w:rsidRPr="00A60BDA" w:rsidRDefault="00BE41E0" w:rsidP="008E7D63">
      <w:pPr>
        <w:widowControl w:val="0"/>
        <w:autoSpaceDE w:val="0"/>
        <w:autoSpaceDN w:val="0"/>
        <w:adjustRightInd w:val="0"/>
        <w:spacing w:line="240" w:lineRule="auto"/>
        <w:rPr>
          <w:rFonts w:asciiTheme="minorHAnsi" w:hAnsiTheme="minorHAnsi"/>
          <w:u w:val="single"/>
          <w:lang w:val="es-ES_tradnl"/>
        </w:rPr>
      </w:pPr>
      <w:hyperlink r:id="rId24">
        <w:r w:rsidR="00950350" w:rsidRPr="00A60BDA">
          <w:rPr>
            <w:rFonts w:asciiTheme="minorHAnsi" w:hAnsiTheme="minorHAnsi"/>
            <w:u w:val="single"/>
            <w:lang w:val="es-ES_tradnl"/>
          </w:rPr>
          <w:t>Iniciativa de Oportunidades para la Juventud</w:t>
        </w:r>
      </w:hyperlink>
      <w:r w:rsidR="00950350" w:rsidRPr="00A60BDA">
        <w:rPr>
          <w:rFonts w:asciiTheme="minorHAnsi" w:hAnsiTheme="minorHAnsi"/>
          <w:u w:val="single"/>
          <w:lang w:val="es-ES_tradnl"/>
        </w:rPr>
        <w:t xml:space="preserve"> (2012).</w:t>
      </w:r>
    </w:p>
    <w:p w:rsidR="002575CA" w:rsidRPr="00A60BDA" w:rsidRDefault="00BE41E0" w:rsidP="008E7D63">
      <w:pPr>
        <w:widowControl w:val="0"/>
        <w:autoSpaceDE w:val="0"/>
        <w:autoSpaceDN w:val="0"/>
        <w:adjustRightInd w:val="0"/>
        <w:spacing w:line="240" w:lineRule="auto"/>
        <w:rPr>
          <w:rFonts w:asciiTheme="minorHAnsi" w:hAnsiTheme="minorHAnsi"/>
          <w:u w:val="single"/>
          <w:lang w:val="es-ES_tradnl"/>
        </w:rPr>
      </w:pPr>
      <w:hyperlink r:id="rId25">
        <w:r w:rsidR="002575CA" w:rsidRPr="00A60BDA">
          <w:rPr>
            <w:rFonts w:asciiTheme="minorHAnsi" w:hAnsiTheme="minorHAnsi"/>
            <w:u w:val="single"/>
            <w:lang w:val="es-ES_tradnl"/>
          </w:rPr>
          <w:t>L</w:t>
        </w:r>
        <w:bookmarkStart w:id="0" w:name="_GoBack"/>
        <w:bookmarkEnd w:id="0"/>
        <w:r w:rsidR="002575CA" w:rsidRPr="00A60BDA">
          <w:rPr>
            <w:rFonts w:asciiTheme="minorHAnsi" w:hAnsiTheme="minorHAnsi"/>
            <w:u w:val="single"/>
            <w:lang w:val="es-ES_tradnl"/>
          </w:rPr>
          <w:t>a</w:t>
        </w:r>
        <w:r w:rsidR="002575CA" w:rsidRPr="00A60BDA">
          <w:rPr>
            <w:rFonts w:asciiTheme="minorHAnsi" w:hAnsiTheme="minorHAnsi"/>
            <w:u w:val="single"/>
            <w:lang w:val="es-ES_tradnl"/>
          </w:rPr>
          <w:t xml:space="preserve"> crisis, la educación y el mercado de trabajo</w:t>
        </w:r>
      </w:hyperlink>
      <w:r w:rsidR="002575CA" w:rsidRPr="00A60BDA">
        <w:rPr>
          <w:rFonts w:asciiTheme="minorHAnsi" w:hAnsiTheme="minorHAnsi"/>
          <w:u w:val="single"/>
          <w:lang w:val="es-ES_tradnl"/>
        </w:rPr>
        <w:t xml:space="preserve"> (2011)</w:t>
      </w:r>
    </w:p>
    <w:p w:rsidR="002575CA" w:rsidRPr="00A60BDA" w:rsidRDefault="00BE41E0" w:rsidP="008E7D63">
      <w:pPr>
        <w:widowControl w:val="0"/>
        <w:autoSpaceDE w:val="0"/>
        <w:autoSpaceDN w:val="0"/>
        <w:adjustRightInd w:val="0"/>
        <w:spacing w:line="240" w:lineRule="auto"/>
        <w:rPr>
          <w:rFonts w:asciiTheme="minorHAnsi" w:hAnsiTheme="minorHAnsi"/>
          <w:u w:val="single"/>
          <w:lang w:val="es-ES_tradnl"/>
        </w:rPr>
      </w:pPr>
      <w:hyperlink r:id="rId26">
        <w:r w:rsidR="002575CA" w:rsidRPr="00A60BDA">
          <w:rPr>
            <w:rFonts w:asciiTheme="minorHAnsi" w:hAnsiTheme="minorHAnsi"/>
            <w:u w:val="single"/>
            <w:lang w:val="es-ES_tradnl"/>
          </w:rPr>
          <w:t>La enseñanza y la formación profesional como una alternativa atractiva a la educación superior</w:t>
        </w:r>
      </w:hyperlink>
      <w:r w:rsidR="002575CA" w:rsidRPr="00A60BDA">
        <w:rPr>
          <w:rFonts w:asciiTheme="minorHAnsi" w:hAnsiTheme="minorHAnsi"/>
          <w:u w:val="single"/>
          <w:lang w:val="es-ES_tradnl"/>
        </w:rPr>
        <w:t xml:space="preserve"> (2011)</w:t>
      </w:r>
    </w:p>
    <w:p w:rsidR="002575CA" w:rsidRPr="00A60BDA" w:rsidRDefault="00BE41E0" w:rsidP="008E7D63">
      <w:pPr>
        <w:widowControl w:val="0"/>
        <w:autoSpaceDE w:val="0"/>
        <w:autoSpaceDN w:val="0"/>
        <w:adjustRightInd w:val="0"/>
        <w:spacing w:line="240" w:lineRule="auto"/>
        <w:rPr>
          <w:rFonts w:asciiTheme="minorHAnsi" w:hAnsiTheme="minorHAnsi"/>
          <w:lang w:val="es-ES_tradnl"/>
        </w:rPr>
      </w:pPr>
      <w:hyperlink r:id="rId27">
        <w:r w:rsidR="00950350" w:rsidRPr="00A60BDA">
          <w:rPr>
            <w:rFonts w:asciiTheme="minorHAnsi" w:hAnsiTheme="minorHAnsi"/>
            <w:u w:val="single"/>
            <w:lang w:val="es-ES_tradnl"/>
          </w:rPr>
          <w:t>Agenda de nuevas cualificaciones y empleos</w:t>
        </w:r>
      </w:hyperlink>
      <w:r w:rsidR="00950350" w:rsidRPr="00A60BDA">
        <w:rPr>
          <w:rFonts w:asciiTheme="minorHAnsi" w:hAnsiTheme="minorHAnsi"/>
          <w:u w:val="single"/>
          <w:lang w:val="es-ES_tradnl"/>
        </w:rPr>
        <w:t xml:space="preserve"> (2011)</w:t>
      </w:r>
    </w:p>
    <w:p w:rsidR="002575CA" w:rsidRPr="00A60BDA" w:rsidRDefault="002575CA" w:rsidP="008E7D63">
      <w:pPr>
        <w:widowControl w:val="0"/>
        <w:autoSpaceDE w:val="0"/>
        <w:autoSpaceDN w:val="0"/>
        <w:adjustRightInd w:val="0"/>
        <w:spacing w:line="240" w:lineRule="auto"/>
        <w:rPr>
          <w:rFonts w:asciiTheme="minorHAnsi" w:hAnsiTheme="minorHAnsi"/>
          <w:lang w:val="es-ES_tradnl"/>
        </w:rPr>
      </w:pPr>
    </w:p>
    <w:p w:rsidR="002575CA" w:rsidRPr="00A60BDA" w:rsidRDefault="002575CA" w:rsidP="008E7D63">
      <w:pPr>
        <w:widowControl w:val="0"/>
        <w:autoSpaceDE w:val="0"/>
        <w:autoSpaceDN w:val="0"/>
        <w:adjustRightInd w:val="0"/>
        <w:spacing w:line="240" w:lineRule="auto"/>
        <w:rPr>
          <w:rFonts w:asciiTheme="minorHAnsi" w:hAnsiTheme="minorHAnsi"/>
          <w:lang w:val="es-ES_tradnl"/>
        </w:rPr>
      </w:pPr>
      <w:r w:rsidRPr="00A60BDA">
        <w:rPr>
          <w:rFonts w:asciiTheme="minorHAnsi" w:hAnsiTheme="minorHAnsi"/>
          <w:lang w:val="es-ES_tradnl"/>
        </w:rPr>
        <w:t xml:space="preserve">Para saber más sobre el Día Mundial de las Habilidades de la Juventud, sírvase consultar la página de las Naciones Unidas en </w:t>
      </w:r>
      <w:hyperlink r:id="rId28">
        <w:r w:rsidRPr="00A60BDA">
          <w:rPr>
            <w:rFonts w:asciiTheme="minorHAnsi" w:hAnsiTheme="minorHAnsi"/>
            <w:u w:val="single"/>
            <w:lang w:val="es-ES_tradnl"/>
          </w:rPr>
          <w:t>http://www.un.org/es/events/youthskillsday/background.shtml</w:t>
        </w:r>
      </w:hyperlink>
      <w:r w:rsidRPr="00A60BDA">
        <w:rPr>
          <w:rFonts w:asciiTheme="minorHAnsi" w:hAnsiTheme="minorHAnsi"/>
          <w:lang w:val="es-ES_tradnl"/>
        </w:rPr>
        <w:t xml:space="preserve"> y leer la </w:t>
      </w:r>
      <w:hyperlink r:id="rId29">
        <w:r w:rsidRPr="00A60BDA">
          <w:rPr>
            <w:rFonts w:asciiTheme="minorHAnsi" w:hAnsiTheme="minorHAnsi"/>
            <w:lang w:val="es-ES_tradnl"/>
          </w:rPr>
          <w:t xml:space="preserve">declaración </w:t>
        </w:r>
        <w:r w:rsidRPr="00A60BDA">
          <w:rPr>
            <w:rFonts w:asciiTheme="minorHAnsi" w:hAnsiTheme="minorHAnsi"/>
            <w:u w:val="single"/>
            <w:lang w:val="es-ES_tradnl"/>
          </w:rPr>
          <w:t>del secretario general</w:t>
        </w:r>
      </w:hyperlink>
      <w:r w:rsidRPr="00A60BDA">
        <w:rPr>
          <w:rFonts w:asciiTheme="minorHAnsi" w:hAnsiTheme="minorHAnsi"/>
          <w:lang w:val="es-ES_tradnl"/>
        </w:rPr>
        <w:t xml:space="preserve"> sobre el Día Mundial de las Habilidades de la Juventud en 2016.</w:t>
      </w:r>
    </w:p>
    <w:p w:rsidR="002575CA" w:rsidRPr="00A60BDA" w:rsidRDefault="002575CA" w:rsidP="008E7D63">
      <w:pPr>
        <w:widowControl w:val="0"/>
        <w:autoSpaceDE w:val="0"/>
        <w:autoSpaceDN w:val="0"/>
        <w:adjustRightInd w:val="0"/>
        <w:spacing w:line="288" w:lineRule="atLeast"/>
        <w:rPr>
          <w:rFonts w:ascii="Verdana" w:hAnsi="Verdana"/>
          <w:sz w:val="16"/>
          <w:szCs w:val="16"/>
          <w:lang w:val="es-ES_tradnl"/>
        </w:rPr>
      </w:pPr>
      <w:r w:rsidRPr="00A60BDA">
        <w:rPr>
          <w:rFonts w:ascii="Verdana" w:hAnsi="Verdana"/>
          <w:i/>
          <w:sz w:val="18"/>
          <w:lang w:val="es-ES_tradnl"/>
        </w:rPr>
        <w:t xml:space="preserve"> </w:t>
      </w:r>
    </w:p>
    <w:p w:rsidR="002575CA" w:rsidRPr="00A60BDA" w:rsidRDefault="002575CA" w:rsidP="008E7D63">
      <w:pPr>
        <w:widowControl w:val="0"/>
        <w:autoSpaceDE w:val="0"/>
        <w:autoSpaceDN w:val="0"/>
        <w:adjustRightInd w:val="0"/>
        <w:spacing w:line="288" w:lineRule="atLeast"/>
        <w:jc w:val="center"/>
        <w:rPr>
          <w:rFonts w:ascii="Verdana" w:hAnsi="Verdana"/>
          <w:b/>
          <w:sz w:val="16"/>
          <w:szCs w:val="16"/>
          <w:lang w:val="es-ES_tradnl"/>
        </w:rPr>
      </w:pPr>
    </w:p>
    <w:p w:rsidR="002575CA" w:rsidRPr="00A60BDA" w:rsidRDefault="002575CA" w:rsidP="008E7D63">
      <w:pPr>
        <w:widowControl w:val="0"/>
        <w:autoSpaceDE w:val="0"/>
        <w:autoSpaceDN w:val="0"/>
        <w:adjustRightInd w:val="0"/>
        <w:spacing w:line="288" w:lineRule="atLeast"/>
        <w:jc w:val="center"/>
        <w:rPr>
          <w:rFonts w:ascii="Verdana" w:hAnsi="Verdana"/>
          <w:sz w:val="18"/>
          <w:lang w:val="es-ES_tradnl"/>
        </w:rPr>
      </w:pPr>
      <w:r w:rsidRPr="00A60BDA">
        <w:rPr>
          <w:rFonts w:ascii="Verdana" w:hAnsi="Verdana"/>
          <w:sz w:val="18"/>
          <w:lang w:val="es-ES_tradnl"/>
        </w:rPr>
        <w:t>Para más información:</w:t>
      </w:r>
    </w:p>
    <w:p w:rsidR="002575CA" w:rsidRPr="00A60BDA" w:rsidRDefault="002575CA" w:rsidP="008E7D63">
      <w:pPr>
        <w:widowControl w:val="0"/>
        <w:autoSpaceDE w:val="0"/>
        <w:autoSpaceDN w:val="0"/>
        <w:adjustRightInd w:val="0"/>
        <w:spacing w:line="288" w:lineRule="atLeast"/>
        <w:jc w:val="center"/>
        <w:rPr>
          <w:rFonts w:ascii="Verdana" w:hAnsi="Verdana"/>
          <w:b/>
          <w:sz w:val="18"/>
          <w:lang w:val="es-ES_tradnl"/>
        </w:rPr>
      </w:pPr>
      <w:r w:rsidRPr="00A60BDA">
        <w:rPr>
          <w:rFonts w:ascii="Verdana" w:hAnsi="Verdana"/>
          <w:b/>
          <w:sz w:val="18"/>
          <w:lang w:val="es-ES_tradnl"/>
        </w:rPr>
        <w:t>Daniela Marangoni</w:t>
      </w:r>
      <w:r w:rsidRPr="00A60BDA">
        <w:rPr>
          <w:lang w:val="es-ES_tradnl"/>
        </w:rPr>
        <w:t xml:space="preserve">, </w:t>
      </w:r>
      <w:r w:rsidRPr="00A60BDA">
        <w:rPr>
          <w:rFonts w:ascii="Verdana" w:hAnsi="Verdana"/>
          <w:sz w:val="18"/>
          <w:lang w:val="es-ES_tradnl"/>
        </w:rPr>
        <w:t>Unidad de Prensa del CESE</w:t>
      </w:r>
    </w:p>
    <w:p w:rsidR="002575CA" w:rsidRPr="00A60BDA" w:rsidRDefault="002575CA" w:rsidP="008E7D63">
      <w:pPr>
        <w:widowControl w:val="0"/>
        <w:autoSpaceDE w:val="0"/>
        <w:autoSpaceDN w:val="0"/>
        <w:adjustRightInd w:val="0"/>
        <w:spacing w:line="288" w:lineRule="atLeast"/>
        <w:jc w:val="center"/>
        <w:rPr>
          <w:rFonts w:ascii="Verdana" w:hAnsi="Verdana"/>
          <w:sz w:val="18"/>
          <w:lang w:val="es-ES_tradnl"/>
        </w:rPr>
      </w:pPr>
      <w:r w:rsidRPr="00A60BDA">
        <w:rPr>
          <w:rFonts w:ascii="Verdana" w:hAnsi="Verdana"/>
          <w:sz w:val="18"/>
          <w:lang w:val="es-ES_tradnl"/>
        </w:rPr>
        <w:t xml:space="preserve">Email: </w:t>
      </w:r>
      <w:hyperlink r:id="rId30">
        <w:r w:rsidRPr="00A60BDA">
          <w:rPr>
            <w:rStyle w:val="Hyperlink"/>
            <w:rFonts w:ascii="Verdana" w:hAnsi="Verdana"/>
            <w:color w:val="auto"/>
            <w:sz w:val="18"/>
            <w:lang w:val="es-ES_tradnl"/>
          </w:rPr>
          <w:t>press@eesc.europa.eu</w:t>
        </w:r>
      </w:hyperlink>
    </w:p>
    <w:p w:rsidR="002575CA" w:rsidRPr="00A60BDA" w:rsidRDefault="002575CA" w:rsidP="008E7D63">
      <w:pPr>
        <w:widowControl w:val="0"/>
        <w:autoSpaceDE w:val="0"/>
        <w:autoSpaceDN w:val="0"/>
        <w:adjustRightInd w:val="0"/>
        <w:spacing w:line="288" w:lineRule="atLeast"/>
        <w:jc w:val="center"/>
        <w:rPr>
          <w:rFonts w:ascii="Verdana" w:hAnsi="Verdana"/>
          <w:b/>
          <w:sz w:val="18"/>
          <w:lang w:val="es-ES_tradnl"/>
        </w:rPr>
      </w:pPr>
      <w:r w:rsidRPr="00A60BDA">
        <w:rPr>
          <w:rFonts w:ascii="Verdana" w:hAnsi="Verdana"/>
          <w:sz w:val="18"/>
          <w:lang w:val="es-ES_tradnl"/>
        </w:rPr>
        <w:t>Tel: +32 2 546 8422</w:t>
      </w:r>
      <w:r w:rsidRPr="00A60BDA">
        <w:rPr>
          <w:rFonts w:ascii="Verdana" w:hAnsi="Verdana"/>
          <w:b/>
          <w:sz w:val="18"/>
          <w:lang w:val="es-ES_tradnl"/>
        </w:rPr>
        <w:t xml:space="preserve"> </w:t>
      </w:r>
    </w:p>
    <w:p w:rsidR="002575CA" w:rsidRPr="00A60BDA" w:rsidRDefault="002575CA" w:rsidP="008E7D63">
      <w:pPr>
        <w:widowControl w:val="0"/>
        <w:autoSpaceDE w:val="0"/>
        <w:autoSpaceDN w:val="0"/>
        <w:adjustRightInd w:val="0"/>
        <w:spacing w:line="288" w:lineRule="atLeast"/>
        <w:jc w:val="center"/>
        <w:rPr>
          <w:rFonts w:ascii="Verdana" w:hAnsi="Verdana"/>
          <w:b/>
          <w:sz w:val="16"/>
          <w:szCs w:val="16"/>
          <w:lang w:val="es-ES_tradnl"/>
        </w:rPr>
      </w:pPr>
    </w:p>
    <w:p w:rsidR="002575CA" w:rsidRPr="00A60BDA" w:rsidRDefault="002575CA" w:rsidP="008E7D63">
      <w:pPr>
        <w:widowControl w:val="0"/>
        <w:autoSpaceDE w:val="0"/>
        <w:autoSpaceDN w:val="0"/>
        <w:adjustRightInd w:val="0"/>
        <w:rPr>
          <w:rFonts w:ascii="Verdana" w:hAnsi="Verdana"/>
          <w:i/>
          <w:sz w:val="14"/>
          <w:lang w:val="es-ES_tradnl"/>
        </w:rPr>
      </w:pPr>
      <w:r w:rsidRPr="00A60BDA">
        <w:rPr>
          <w:rFonts w:ascii="Verdana" w:hAnsi="Verdana"/>
          <w:i/>
          <w:sz w:val="14"/>
          <w:lang w:val="es-ES_tradnl"/>
        </w:rPr>
        <w:t>El Comité Económico y Social Europeo es un órgano institucional consultivo, creado por el Tratado de Roma en 1957. El Comité cuenta con 350 miembros, procedentes de toda Europa, que son designados por el Consejo de la Unión Europea. Garantiza la representación de los diferentes componentes de carácter económico y social de la sociedad civil organizada. Su función consultiva hace posible que sus miembros–y, por tanto, las organizaciones a las que representan– participen en el proceso de decisión de la UE.</w:t>
      </w:r>
    </w:p>
    <w:p w:rsidR="00D341A2" w:rsidRPr="00A60BDA" w:rsidRDefault="00D341A2" w:rsidP="008E7D63">
      <w:pPr>
        <w:widowControl w:val="0"/>
        <w:spacing w:line="240" w:lineRule="auto"/>
        <w:jc w:val="left"/>
        <w:rPr>
          <w:lang w:val="es-ES_tradnl"/>
        </w:rPr>
      </w:pPr>
    </w:p>
    <w:sectPr w:rsidR="00D341A2" w:rsidRPr="00A60BDA" w:rsidSect="0056765A">
      <w:pgSz w:w="11907" w:h="16839" w:code="9"/>
      <w:pgMar w:top="539" w:right="1418" w:bottom="1418"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94" w:rsidRDefault="00EC1994" w:rsidP="00EC1994">
      <w:pPr>
        <w:spacing w:line="240" w:lineRule="auto"/>
      </w:pPr>
      <w:r>
        <w:separator/>
      </w:r>
    </w:p>
  </w:endnote>
  <w:endnote w:type="continuationSeparator" w:id="0">
    <w:p w:rsidR="00EC1994" w:rsidRDefault="00EC1994" w:rsidP="00EC1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94" w:rsidRDefault="00EC1994" w:rsidP="00EC1994">
      <w:pPr>
        <w:spacing w:line="240" w:lineRule="auto"/>
      </w:pPr>
      <w:r>
        <w:separator/>
      </w:r>
    </w:p>
  </w:footnote>
  <w:footnote w:type="continuationSeparator" w:id="0">
    <w:p w:rsidR="00EC1994" w:rsidRDefault="00EC1994" w:rsidP="00EC19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42B6CB7E"/>
    <w:lvl w:ilvl="0">
      <w:numFmt w:val="bullet"/>
      <w:lvlText w:val="*"/>
      <w:lvlJc w:val="left"/>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CA"/>
    <w:rsid w:val="00080736"/>
    <w:rsid w:val="000E3854"/>
    <w:rsid w:val="002575CA"/>
    <w:rsid w:val="003373C9"/>
    <w:rsid w:val="00367107"/>
    <w:rsid w:val="003F21D0"/>
    <w:rsid w:val="004013B3"/>
    <w:rsid w:val="0056765A"/>
    <w:rsid w:val="0070585D"/>
    <w:rsid w:val="007C2B93"/>
    <w:rsid w:val="00804D09"/>
    <w:rsid w:val="008E7D63"/>
    <w:rsid w:val="00920133"/>
    <w:rsid w:val="00950350"/>
    <w:rsid w:val="009D09FC"/>
    <w:rsid w:val="00A1366E"/>
    <w:rsid w:val="00A51520"/>
    <w:rsid w:val="00A60BDA"/>
    <w:rsid w:val="00BE41E0"/>
    <w:rsid w:val="00C14986"/>
    <w:rsid w:val="00C758F1"/>
    <w:rsid w:val="00D341A2"/>
    <w:rsid w:val="00EC1994"/>
    <w:rsid w:val="00F9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994"/>
    <w:pPr>
      <w:spacing w:line="288" w:lineRule="auto"/>
      <w:jc w:val="both"/>
    </w:pPr>
    <w:rPr>
      <w:sz w:val="22"/>
      <w:szCs w:val="22"/>
    </w:rPr>
  </w:style>
  <w:style w:type="paragraph" w:styleId="Heading1">
    <w:name w:val="heading 1"/>
    <w:basedOn w:val="Normal"/>
    <w:next w:val="Normal"/>
    <w:link w:val="Heading1Char"/>
    <w:qFormat/>
    <w:rsid w:val="00EC1994"/>
    <w:pPr>
      <w:numPr>
        <w:numId w:val="2"/>
      </w:numPr>
      <w:ind w:left="720" w:hanging="720"/>
      <w:outlineLvl w:val="0"/>
    </w:pPr>
    <w:rPr>
      <w:kern w:val="28"/>
    </w:rPr>
  </w:style>
  <w:style w:type="paragraph" w:styleId="Heading2">
    <w:name w:val="heading 2"/>
    <w:basedOn w:val="Normal"/>
    <w:next w:val="Normal"/>
    <w:link w:val="Heading2Char"/>
    <w:qFormat/>
    <w:rsid w:val="00EC1994"/>
    <w:pPr>
      <w:numPr>
        <w:ilvl w:val="1"/>
        <w:numId w:val="2"/>
      </w:numPr>
      <w:ind w:left="720" w:hanging="720"/>
      <w:outlineLvl w:val="1"/>
    </w:pPr>
  </w:style>
  <w:style w:type="paragraph" w:styleId="Heading3">
    <w:name w:val="heading 3"/>
    <w:basedOn w:val="Normal"/>
    <w:next w:val="Normal"/>
    <w:link w:val="Heading3Char"/>
    <w:qFormat/>
    <w:rsid w:val="00EC1994"/>
    <w:pPr>
      <w:numPr>
        <w:ilvl w:val="2"/>
        <w:numId w:val="2"/>
      </w:numPr>
      <w:ind w:left="720" w:hanging="720"/>
      <w:outlineLvl w:val="2"/>
    </w:pPr>
  </w:style>
  <w:style w:type="paragraph" w:styleId="Heading4">
    <w:name w:val="heading 4"/>
    <w:basedOn w:val="Normal"/>
    <w:next w:val="Normal"/>
    <w:link w:val="Heading4Char"/>
    <w:qFormat/>
    <w:rsid w:val="00EC1994"/>
    <w:pPr>
      <w:numPr>
        <w:ilvl w:val="3"/>
        <w:numId w:val="2"/>
      </w:numPr>
      <w:ind w:left="720" w:hanging="720"/>
      <w:outlineLvl w:val="3"/>
    </w:pPr>
  </w:style>
  <w:style w:type="paragraph" w:styleId="Heading5">
    <w:name w:val="heading 5"/>
    <w:basedOn w:val="Normal"/>
    <w:next w:val="Normal"/>
    <w:link w:val="Heading5Char"/>
    <w:qFormat/>
    <w:rsid w:val="00EC1994"/>
    <w:pPr>
      <w:numPr>
        <w:ilvl w:val="4"/>
        <w:numId w:val="2"/>
      </w:numPr>
      <w:ind w:left="720" w:hanging="720"/>
      <w:outlineLvl w:val="4"/>
    </w:pPr>
  </w:style>
  <w:style w:type="paragraph" w:styleId="Heading6">
    <w:name w:val="heading 6"/>
    <w:basedOn w:val="Normal"/>
    <w:next w:val="Normal"/>
    <w:link w:val="Heading6Char"/>
    <w:qFormat/>
    <w:rsid w:val="00EC1994"/>
    <w:pPr>
      <w:numPr>
        <w:ilvl w:val="5"/>
        <w:numId w:val="2"/>
      </w:numPr>
      <w:ind w:left="720" w:hanging="720"/>
      <w:outlineLvl w:val="5"/>
    </w:pPr>
  </w:style>
  <w:style w:type="paragraph" w:styleId="Heading7">
    <w:name w:val="heading 7"/>
    <w:basedOn w:val="Normal"/>
    <w:next w:val="Normal"/>
    <w:link w:val="Heading7Char"/>
    <w:qFormat/>
    <w:rsid w:val="00EC1994"/>
    <w:pPr>
      <w:numPr>
        <w:ilvl w:val="6"/>
        <w:numId w:val="2"/>
      </w:numPr>
      <w:ind w:left="720" w:hanging="720"/>
      <w:outlineLvl w:val="6"/>
    </w:pPr>
  </w:style>
  <w:style w:type="paragraph" w:styleId="Heading8">
    <w:name w:val="heading 8"/>
    <w:basedOn w:val="Normal"/>
    <w:next w:val="Normal"/>
    <w:link w:val="Heading8Char"/>
    <w:qFormat/>
    <w:rsid w:val="00EC1994"/>
    <w:pPr>
      <w:numPr>
        <w:ilvl w:val="7"/>
        <w:numId w:val="2"/>
      </w:numPr>
      <w:ind w:left="720" w:hanging="720"/>
      <w:outlineLvl w:val="7"/>
    </w:pPr>
  </w:style>
  <w:style w:type="paragraph" w:styleId="Heading9">
    <w:name w:val="heading 9"/>
    <w:basedOn w:val="Normal"/>
    <w:next w:val="Normal"/>
    <w:link w:val="Heading9Char"/>
    <w:qFormat/>
    <w:rsid w:val="00EC1994"/>
    <w:pPr>
      <w:numPr>
        <w:ilvl w:val="8"/>
        <w:numId w:val="2"/>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3C9"/>
    <w:rPr>
      <w:kern w:val="28"/>
      <w:sz w:val="22"/>
      <w:szCs w:val="22"/>
      <w:lang w:val="es-ES" w:eastAsia="es-ES"/>
    </w:rPr>
  </w:style>
  <w:style w:type="character" w:customStyle="1" w:styleId="Heading2Char">
    <w:name w:val="Heading 2 Char"/>
    <w:basedOn w:val="DefaultParagraphFont"/>
    <w:link w:val="Heading2"/>
    <w:rsid w:val="003373C9"/>
    <w:rPr>
      <w:sz w:val="22"/>
      <w:szCs w:val="22"/>
      <w:lang w:val="es-ES" w:eastAsia="es-ES"/>
    </w:rPr>
  </w:style>
  <w:style w:type="character" w:customStyle="1" w:styleId="Heading3Char">
    <w:name w:val="Heading 3 Char"/>
    <w:basedOn w:val="DefaultParagraphFont"/>
    <w:link w:val="Heading3"/>
    <w:rsid w:val="003373C9"/>
    <w:rPr>
      <w:sz w:val="22"/>
      <w:szCs w:val="22"/>
      <w:lang w:val="es-ES" w:eastAsia="es-ES"/>
    </w:rPr>
  </w:style>
  <w:style w:type="character" w:customStyle="1" w:styleId="Heading4Char">
    <w:name w:val="Heading 4 Char"/>
    <w:basedOn w:val="DefaultParagraphFont"/>
    <w:link w:val="Heading4"/>
    <w:rsid w:val="003373C9"/>
    <w:rPr>
      <w:sz w:val="22"/>
      <w:szCs w:val="22"/>
      <w:lang w:val="es-ES" w:eastAsia="es-ES"/>
    </w:rPr>
  </w:style>
  <w:style w:type="character" w:customStyle="1" w:styleId="Heading5Char">
    <w:name w:val="Heading 5 Char"/>
    <w:basedOn w:val="DefaultParagraphFont"/>
    <w:link w:val="Heading5"/>
    <w:rsid w:val="003373C9"/>
    <w:rPr>
      <w:sz w:val="22"/>
      <w:szCs w:val="22"/>
      <w:lang w:val="es-ES" w:eastAsia="es-ES"/>
    </w:rPr>
  </w:style>
  <w:style w:type="character" w:customStyle="1" w:styleId="Heading6Char">
    <w:name w:val="Heading 6 Char"/>
    <w:basedOn w:val="DefaultParagraphFont"/>
    <w:link w:val="Heading6"/>
    <w:rsid w:val="003373C9"/>
    <w:rPr>
      <w:sz w:val="22"/>
      <w:szCs w:val="22"/>
      <w:lang w:val="es-ES" w:eastAsia="es-ES"/>
    </w:rPr>
  </w:style>
  <w:style w:type="character" w:customStyle="1" w:styleId="Heading7Char">
    <w:name w:val="Heading 7 Char"/>
    <w:basedOn w:val="DefaultParagraphFont"/>
    <w:link w:val="Heading7"/>
    <w:rsid w:val="003373C9"/>
    <w:rPr>
      <w:sz w:val="22"/>
      <w:szCs w:val="22"/>
      <w:lang w:val="es-ES" w:eastAsia="es-ES"/>
    </w:rPr>
  </w:style>
  <w:style w:type="character" w:customStyle="1" w:styleId="Heading8Char">
    <w:name w:val="Heading 8 Char"/>
    <w:basedOn w:val="DefaultParagraphFont"/>
    <w:link w:val="Heading8"/>
    <w:rsid w:val="003373C9"/>
    <w:rPr>
      <w:sz w:val="22"/>
      <w:szCs w:val="22"/>
      <w:lang w:val="es-ES" w:eastAsia="es-ES"/>
    </w:rPr>
  </w:style>
  <w:style w:type="character" w:customStyle="1" w:styleId="Heading9Char">
    <w:name w:val="Heading 9 Char"/>
    <w:basedOn w:val="DefaultParagraphFont"/>
    <w:link w:val="Heading9"/>
    <w:rsid w:val="003373C9"/>
    <w:rPr>
      <w:sz w:val="22"/>
      <w:szCs w:val="22"/>
      <w:lang w:val="es-ES" w:eastAsia="es-ES"/>
    </w:rPr>
  </w:style>
  <w:style w:type="paragraph" w:styleId="Footer">
    <w:name w:val="footer"/>
    <w:basedOn w:val="Normal"/>
    <w:link w:val="FooterChar"/>
    <w:qFormat/>
    <w:rsid w:val="00EC1994"/>
  </w:style>
  <w:style w:type="character" w:customStyle="1" w:styleId="FooterChar">
    <w:name w:val="Footer Char"/>
    <w:basedOn w:val="DefaultParagraphFont"/>
    <w:link w:val="Footer"/>
    <w:rsid w:val="003373C9"/>
    <w:rPr>
      <w:sz w:val="22"/>
      <w:szCs w:val="22"/>
      <w:lang w:val="es-ES" w:eastAsia="es-ES"/>
    </w:rPr>
  </w:style>
  <w:style w:type="paragraph" w:styleId="FootnoteText">
    <w:name w:val="footnote text"/>
    <w:basedOn w:val="Normal"/>
    <w:link w:val="FootnoteTextChar"/>
    <w:qFormat/>
    <w:rsid w:val="00EC1994"/>
    <w:pPr>
      <w:keepLines/>
      <w:spacing w:after="60" w:line="240" w:lineRule="auto"/>
      <w:ind w:left="720" w:hanging="720"/>
    </w:pPr>
    <w:rPr>
      <w:sz w:val="16"/>
    </w:rPr>
  </w:style>
  <w:style w:type="character" w:customStyle="1" w:styleId="FootnoteTextChar">
    <w:name w:val="Footnote Text Char"/>
    <w:basedOn w:val="DefaultParagraphFont"/>
    <w:link w:val="FootnoteText"/>
    <w:rsid w:val="003373C9"/>
    <w:rPr>
      <w:sz w:val="16"/>
      <w:szCs w:val="22"/>
      <w:lang w:val="es-ES" w:eastAsia="es-ES"/>
    </w:rPr>
  </w:style>
  <w:style w:type="paragraph" w:styleId="Header">
    <w:name w:val="header"/>
    <w:basedOn w:val="Normal"/>
    <w:link w:val="HeaderChar"/>
    <w:qFormat/>
    <w:rsid w:val="00EC1994"/>
  </w:style>
  <w:style w:type="character" w:customStyle="1" w:styleId="HeaderChar">
    <w:name w:val="Header Char"/>
    <w:basedOn w:val="DefaultParagraphFont"/>
    <w:link w:val="Header"/>
    <w:rsid w:val="003373C9"/>
    <w:rPr>
      <w:sz w:val="22"/>
      <w:szCs w:val="22"/>
      <w:lang w:val="es-ES" w:eastAsia="es-ES"/>
    </w:rPr>
  </w:style>
  <w:style w:type="character" w:styleId="Hyperlink">
    <w:name w:val="Hyperlink"/>
    <w:basedOn w:val="DefaultParagraphFont"/>
    <w:rsid w:val="00EC1994"/>
    <w:rPr>
      <w:color w:val="0000FF" w:themeColor="hyperlink"/>
      <w:u w:val="single"/>
    </w:rPr>
  </w:style>
  <w:style w:type="character" w:styleId="FootnoteReference">
    <w:name w:val="footnote reference"/>
    <w:basedOn w:val="DefaultParagraphFont"/>
    <w:unhideWhenUsed/>
    <w:qFormat/>
    <w:rsid w:val="00EC1994"/>
    <w:rPr>
      <w:sz w:val="24"/>
      <w:vertAlign w:val="superscript"/>
    </w:rPr>
  </w:style>
  <w:style w:type="character" w:styleId="FollowedHyperlink">
    <w:name w:val="FollowedHyperlink"/>
    <w:basedOn w:val="DefaultParagraphFont"/>
    <w:rsid w:val="00950350"/>
    <w:rPr>
      <w:color w:val="800080" w:themeColor="followedHyperlink"/>
      <w:u w:val="single"/>
    </w:rPr>
  </w:style>
  <w:style w:type="paragraph" w:styleId="BalloonText">
    <w:name w:val="Balloon Text"/>
    <w:basedOn w:val="Normal"/>
    <w:link w:val="BalloonTextChar"/>
    <w:rsid w:val="0056765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6765A"/>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994"/>
    <w:pPr>
      <w:spacing w:line="288" w:lineRule="auto"/>
      <w:jc w:val="both"/>
    </w:pPr>
    <w:rPr>
      <w:sz w:val="22"/>
      <w:szCs w:val="22"/>
    </w:rPr>
  </w:style>
  <w:style w:type="paragraph" w:styleId="Heading1">
    <w:name w:val="heading 1"/>
    <w:basedOn w:val="Normal"/>
    <w:next w:val="Normal"/>
    <w:link w:val="Heading1Char"/>
    <w:qFormat/>
    <w:rsid w:val="00EC1994"/>
    <w:pPr>
      <w:numPr>
        <w:numId w:val="2"/>
      </w:numPr>
      <w:ind w:left="720" w:hanging="720"/>
      <w:outlineLvl w:val="0"/>
    </w:pPr>
    <w:rPr>
      <w:kern w:val="28"/>
    </w:rPr>
  </w:style>
  <w:style w:type="paragraph" w:styleId="Heading2">
    <w:name w:val="heading 2"/>
    <w:basedOn w:val="Normal"/>
    <w:next w:val="Normal"/>
    <w:link w:val="Heading2Char"/>
    <w:qFormat/>
    <w:rsid w:val="00EC1994"/>
    <w:pPr>
      <w:numPr>
        <w:ilvl w:val="1"/>
        <w:numId w:val="2"/>
      </w:numPr>
      <w:ind w:left="720" w:hanging="720"/>
      <w:outlineLvl w:val="1"/>
    </w:pPr>
  </w:style>
  <w:style w:type="paragraph" w:styleId="Heading3">
    <w:name w:val="heading 3"/>
    <w:basedOn w:val="Normal"/>
    <w:next w:val="Normal"/>
    <w:link w:val="Heading3Char"/>
    <w:qFormat/>
    <w:rsid w:val="00EC1994"/>
    <w:pPr>
      <w:numPr>
        <w:ilvl w:val="2"/>
        <w:numId w:val="2"/>
      </w:numPr>
      <w:ind w:left="720" w:hanging="720"/>
      <w:outlineLvl w:val="2"/>
    </w:pPr>
  </w:style>
  <w:style w:type="paragraph" w:styleId="Heading4">
    <w:name w:val="heading 4"/>
    <w:basedOn w:val="Normal"/>
    <w:next w:val="Normal"/>
    <w:link w:val="Heading4Char"/>
    <w:qFormat/>
    <w:rsid w:val="00EC1994"/>
    <w:pPr>
      <w:numPr>
        <w:ilvl w:val="3"/>
        <w:numId w:val="2"/>
      </w:numPr>
      <w:ind w:left="720" w:hanging="720"/>
      <w:outlineLvl w:val="3"/>
    </w:pPr>
  </w:style>
  <w:style w:type="paragraph" w:styleId="Heading5">
    <w:name w:val="heading 5"/>
    <w:basedOn w:val="Normal"/>
    <w:next w:val="Normal"/>
    <w:link w:val="Heading5Char"/>
    <w:qFormat/>
    <w:rsid w:val="00EC1994"/>
    <w:pPr>
      <w:numPr>
        <w:ilvl w:val="4"/>
        <w:numId w:val="2"/>
      </w:numPr>
      <w:ind w:left="720" w:hanging="720"/>
      <w:outlineLvl w:val="4"/>
    </w:pPr>
  </w:style>
  <w:style w:type="paragraph" w:styleId="Heading6">
    <w:name w:val="heading 6"/>
    <w:basedOn w:val="Normal"/>
    <w:next w:val="Normal"/>
    <w:link w:val="Heading6Char"/>
    <w:qFormat/>
    <w:rsid w:val="00EC1994"/>
    <w:pPr>
      <w:numPr>
        <w:ilvl w:val="5"/>
        <w:numId w:val="2"/>
      </w:numPr>
      <w:ind w:left="720" w:hanging="720"/>
      <w:outlineLvl w:val="5"/>
    </w:pPr>
  </w:style>
  <w:style w:type="paragraph" w:styleId="Heading7">
    <w:name w:val="heading 7"/>
    <w:basedOn w:val="Normal"/>
    <w:next w:val="Normal"/>
    <w:link w:val="Heading7Char"/>
    <w:qFormat/>
    <w:rsid w:val="00EC1994"/>
    <w:pPr>
      <w:numPr>
        <w:ilvl w:val="6"/>
        <w:numId w:val="2"/>
      </w:numPr>
      <w:ind w:left="720" w:hanging="720"/>
      <w:outlineLvl w:val="6"/>
    </w:pPr>
  </w:style>
  <w:style w:type="paragraph" w:styleId="Heading8">
    <w:name w:val="heading 8"/>
    <w:basedOn w:val="Normal"/>
    <w:next w:val="Normal"/>
    <w:link w:val="Heading8Char"/>
    <w:qFormat/>
    <w:rsid w:val="00EC1994"/>
    <w:pPr>
      <w:numPr>
        <w:ilvl w:val="7"/>
        <w:numId w:val="2"/>
      </w:numPr>
      <w:ind w:left="720" w:hanging="720"/>
      <w:outlineLvl w:val="7"/>
    </w:pPr>
  </w:style>
  <w:style w:type="paragraph" w:styleId="Heading9">
    <w:name w:val="heading 9"/>
    <w:basedOn w:val="Normal"/>
    <w:next w:val="Normal"/>
    <w:link w:val="Heading9Char"/>
    <w:qFormat/>
    <w:rsid w:val="00EC1994"/>
    <w:pPr>
      <w:numPr>
        <w:ilvl w:val="8"/>
        <w:numId w:val="2"/>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3C9"/>
    <w:rPr>
      <w:kern w:val="28"/>
      <w:sz w:val="22"/>
      <w:szCs w:val="22"/>
      <w:lang w:val="es-ES" w:eastAsia="es-ES"/>
    </w:rPr>
  </w:style>
  <w:style w:type="character" w:customStyle="1" w:styleId="Heading2Char">
    <w:name w:val="Heading 2 Char"/>
    <w:basedOn w:val="DefaultParagraphFont"/>
    <w:link w:val="Heading2"/>
    <w:rsid w:val="003373C9"/>
    <w:rPr>
      <w:sz w:val="22"/>
      <w:szCs w:val="22"/>
      <w:lang w:val="es-ES" w:eastAsia="es-ES"/>
    </w:rPr>
  </w:style>
  <w:style w:type="character" w:customStyle="1" w:styleId="Heading3Char">
    <w:name w:val="Heading 3 Char"/>
    <w:basedOn w:val="DefaultParagraphFont"/>
    <w:link w:val="Heading3"/>
    <w:rsid w:val="003373C9"/>
    <w:rPr>
      <w:sz w:val="22"/>
      <w:szCs w:val="22"/>
      <w:lang w:val="es-ES" w:eastAsia="es-ES"/>
    </w:rPr>
  </w:style>
  <w:style w:type="character" w:customStyle="1" w:styleId="Heading4Char">
    <w:name w:val="Heading 4 Char"/>
    <w:basedOn w:val="DefaultParagraphFont"/>
    <w:link w:val="Heading4"/>
    <w:rsid w:val="003373C9"/>
    <w:rPr>
      <w:sz w:val="22"/>
      <w:szCs w:val="22"/>
      <w:lang w:val="es-ES" w:eastAsia="es-ES"/>
    </w:rPr>
  </w:style>
  <w:style w:type="character" w:customStyle="1" w:styleId="Heading5Char">
    <w:name w:val="Heading 5 Char"/>
    <w:basedOn w:val="DefaultParagraphFont"/>
    <w:link w:val="Heading5"/>
    <w:rsid w:val="003373C9"/>
    <w:rPr>
      <w:sz w:val="22"/>
      <w:szCs w:val="22"/>
      <w:lang w:val="es-ES" w:eastAsia="es-ES"/>
    </w:rPr>
  </w:style>
  <w:style w:type="character" w:customStyle="1" w:styleId="Heading6Char">
    <w:name w:val="Heading 6 Char"/>
    <w:basedOn w:val="DefaultParagraphFont"/>
    <w:link w:val="Heading6"/>
    <w:rsid w:val="003373C9"/>
    <w:rPr>
      <w:sz w:val="22"/>
      <w:szCs w:val="22"/>
      <w:lang w:val="es-ES" w:eastAsia="es-ES"/>
    </w:rPr>
  </w:style>
  <w:style w:type="character" w:customStyle="1" w:styleId="Heading7Char">
    <w:name w:val="Heading 7 Char"/>
    <w:basedOn w:val="DefaultParagraphFont"/>
    <w:link w:val="Heading7"/>
    <w:rsid w:val="003373C9"/>
    <w:rPr>
      <w:sz w:val="22"/>
      <w:szCs w:val="22"/>
      <w:lang w:val="es-ES" w:eastAsia="es-ES"/>
    </w:rPr>
  </w:style>
  <w:style w:type="character" w:customStyle="1" w:styleId="Heading8Char">
    <w:name w:val="Heading 8 Char"/>
    <w:basedOn w:val="DefaultParagraphFont"/>
    <w:link w:val="Heading8"/>
    <w:rsid w:val="003373C9"/>
    <w:rPr>
      <w:sz w:val="22"/>
      <w:szCs w:val="22"/>
      <w:lang w:val="es-ES" w:eastAsia="es-ES"/>
    </w:rPr>
  </w:style>
  <w:style w:type="character" w:customStyle="1" w:styleId="Heading9Char">
    <w:name w:val="Heading 9 Char"/>
    <w:basedOn w:val="DefaultParagraphFont"/>
    <w:link w:val="Heading9"/>
    <w:rsid w:val="003373C9"/>
    <w:rPr>
      <w:sz w:val="22"/>
      <w:szCs w:val="22"/>
      <w:lang w:val="es-ES" w:eastAsia="es-ES"/>
    </w:rPr>
  </w:style>
  <w:style w:type="paragraph" w:styleId="Footer">
    <w:name w:val="footer"/>
    <w:basedOn w:val="Normal"/>
    <w:link w:val="FooterChar"/>
    <w:qFormat/>
    <w:rsid w:val="00EC1994"/>
  </w:style>
  <w:style w:type="character" w:customStyle="1" w:styleId="FooterChar">
    <w:name w:val="Footer Char"/>
    <w:basedOn w:val="DefaultParagraphFont"/>
    <w:link w:val="Footer"/>
    <w:rsid w:val="003373C9"/>
    <w:rPr>
      <w:sz w:val="22"/>
      <w:szCs w:val="22"/>
      <w:lang w:val="es-ES" w:eastAsia="es-ES"/>
    </w:rPr>
  </w:style>
  <w:style w:type="paragraph" w:styleId="FootnoteText">
    <w:name w:val="footnote text"/>
    <w:basedOn w:val="Normal"/>
    <w:link w:val="FootnoteTextChar"/>
    <w:qFormat/>
    <w:rsid w:val="00EC1994"/>
    <w:pPr>
      <w:keepLines/>
      <w:spacing w:after="60" w:line="240" w:lineRule="auto"/>
      <w:ind w:left="720" w:hanging="720"/>
    </w:pPr>
    <w:rPr>
      <w:sz w:val="16"/>
    </w:rPr>
  </w:style>
  <w:style w:type="character" w:customStyle="1" w:styleId="FootnoteTextChar">
    <w:name w:val="Footnote Text Char"/>
    <w:basedOn w:val="DefaultParagraphFont"/>
    <w:link w:val="FootnoteText"/>
    <w:rsid w:val="003373C9"/>
    <w:rPr>
      <w:sz w:val="16"/>
      <w:szCs w:val="22"/>
      <w:lang w:val="es-ES" w:eastAsia="es-ES"/>
    </w:rPr>
  </w:style>
  <w:style w:type="paragraph" w:styleId="Header">
    <w:name w:val="header"/>
    <w:basedOn w:val="Normal"/>
    <w:link w:val="HeaderChar"/>
    <w:qFormat/>
    <w:rsid w:val="00EC1994"/>
  </w:style>
  <w:style w:type="character" w:customStyle="1" w:styleId="HeaderChar">
    <w:name w:val="Header Char"/>
    <w:basedOn w:val="DefaultParagraphFont"/>
    <w:link w:val="Header"/>
    <w:rsid w:val="003373C9"/>
    <w:rPr>
      <w:sz w:val="22"/>
      <w:szCs w:val="22"/>
      <w:lang w:val="es-ES" w:eastAsia="es-ES"/>
    </w:rPr>
  </w:style>
  <w:style w:type="character" w:styleId="Hyperlink">
    <w:name w:val="Hyperlink"/>
    <w:basedOn w:val="DefaultParagraphFont"/>
    <w:rsid w:val="00EC1994"/>
    <w:rPr>
      <w:color w:val="0000FF" w:themeColor="hyperlink"/>
      <w:u w:val="single"/>
    </w:rPr>
  </w:style>
  <w:style w:type="character" w:styleId="FootnoteReference">
    <w:name w:val="footnote reference"/>
    <w:basedOn w:val="DefaultParagraphFont"/>
    <w:unhideWhenUsed/>
    <w:qFormat/>
    <w:rsid w:val="00EC1994"/>
    <w:rPr>
      <w:sz w:val="24"/>
      <w:vertAlign w:val="superscript"/>
    </w:rPr>
  </w:style>
  <w:style w:type="character" w:styleId="FollowedHyperlink">
    <w:name w:val="FollowedHyperlink"/>
    <w:basedOn w:val="DefaultParagraphFont"/>
    <w:rsid w:val="00950350"/>
    <w:rPr>
      <w:color w:val="800080" w:themeColor="followedHyperlink"/>
      <w:u w:val="single"/>
    </w:rPr>
  </w:style>
  <w:style w:type="paragraph" w:styleId="BalloonText">
    <w:name w:val="Balloon Text"/>
    <w:basedOn w:val="Normal"/>
    <w:link w:val="BalloonTextChar"/>
    <w:rsid w:val="0056765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6765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i=portal.en.soc-opinions.34882" TargetMode="External"/><Relationship Id="rId18" Type="http://schemas.openxmlformats.org/officeDocument/2006/relationships/hyperlink" Target="http://www.eesc.europa.eu/?i=portal.es.ccmi-opinions.29228" TargetMode="External"/><Relationship Id="rId26" Type="http://schemas.openxmlformats.org/officeDocument/2006/relationships/hyperlink" Target="http://www.eesc.europa.eu/?i=portal.es.events-and-activities-voc-educ-training-presentations.19335" TargetMode="External"/><Relationship Id="rId3" Type="http://schemas.openxmlformats.org/officeDocument/2006/relationships/customXml" Target="../customXml/item3.xml"/><Relationship Id="rId21" Type="http://schemas.openxmlformats.org/officeDocument/2006/relationships/hyperlink" Target="http://www.eesc.europa.eu/?i=portal.es.soc-opinions.27502"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eesc.europa.eu/?i=portal.es.lmo-observatory-impact-study-youth" TargetMode="External"/><Relationship Id="rId25" Type="http://schemas.openxmlformats.org/officeDocument/2006/relationships/hyperlink" Target="http://www.eesc.europa.eu/?i=portal.en.soc-opinions.14938" TargetMode="External"/><Relationship Id="rId2" Type="http://schemas.openxmlformats.org/officeDocument/2006/relationships/customXml" Target="../customXml/item2.xml"/><Relationship Id="rId16" Type="http://schemas.openxmlformats.org/officeDocument/2006/relationships/hyperlink" Target="http://www.eesc.europa.eu/?i=portal.es.soc-opinions.34487" TargetMode="External"/><Relationship Id="rId20" Type="http://schemas.openxmlformats.org/officeDocument/2006/relationships/hyperlink" Target="http://www.eesc.europa.eu/?i=portal.es.soc-opinions.23967" TargetMode="External"/><Relationship Id="rId29" Type="http://schemas.openxmlformats.org/officeDocument/2006/relationships/hyperlink" Target="http://www.un.org/es/events/youthskillsd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esc.europa.eu/?i=portal.es.soc-opinions.2199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esc.europa.eu/?i=portal.es.nat-opinions.34331" TargetMode="External"/><Relationship Id="rId23" Type="http://schemas.openxmlformats.org/officeDocument/2006/relationships/hyperlink" Target="http://www.eesc.europa.eu/?i=portal.es.soc-opinions.19327" TargetMode="External"/><Relationship Id="rId28" Type="http://schemas.openxmlformats.org/officeDocument/2006/relationships/hyperlink" Target="http://www.un.org/es/events/youthskillsday/background.shtml" TargetMode="External"/><Relationship Id="rId10" Type="http://schemas.openxmlformats.org/officeDocument/2006/relationships/footnotes" Target="footnotes.xml"/><Relationship Id="rId19" Type="http://schemas.openxmlformats.org/officeDocument/2006/relationships/hyperlink" Target="http://www.eesc.europa.eu/?i=portal.es.soc-opinions.30306"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esc.europa.eu/?i=portal.es.soc-opinions.33478" TargetMode="External"/><Relationship Id="rId22" Type="http://schemas.openxmlformats.org/officeDocument/2006/relationships/hyperlink" Target="http://www.eesc.europa.eu/?i=portal.es.soc-opinions.25531" TargetMode="External"/><Relationship Id="rId27" Type="http://schemas.openxmlformats.org/officeDocument/2006/relationships/hyperlink" Target="http://www.eesc.europa.eu/?i=portal.es.soc-opinions.15046" TargetMode="External"/><Relationship Id="rId30" Type="http://schemas.openxmlformats.org/officeDocument/2006/relationships/hyperlink" Target="mailto:press@ees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3XPXQ63Y2AW3-7-318</_dlc_DocId>
    <_dlc_DocIdUrl xmlns="8835a8a4-5a07-4207-ac1e-223f88a8f7af">
      <Url>http://dm/EESC/2016/_layouts/DocIdRedir.aspx?ID=3XPXQ63Y2AW3-7-318</Url>
      <Description>3XPXQ63Y2AW3-7-318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bd7587f5-5d05-4de0-b01a-b53d7118613b"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2016-07-14T12:00:00+00:00</ProductionDate>
    <DocumentNumber xmlns="bd7587f5-5d05-4de0-b01a-b53d7118613b">4222</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22</Value>
      <Value>39</Value>
      <Value>15</Value>
      <Value>14</Value>
      <Value>10</Value>
      <Value>28</Value>
      <Value>6</Value>
      <Value>5</Value>
      <Value>4</Value>
      <Value>2</Value>
      <Value>1</Value>
      <Value>23</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8407</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52D2E1C50FFCCA4DB10C28DB2B971CD9" ma:contentTypeVersion="4" ma:contentTypeDescription="Defines the documents for Document Manager V2" ma:contentTypeScope="" ma:versionID="0ee90d5fe60db57e87562e4c0e57643a">
  <xsd:schema xmlns:xsd="http://www.w3.org/2001/XMLSchema" xmlns:xs="http://www.w3.org/2001/XMLSchema" xmlns:p="http://schemas.microsoft.com/office/2006/metadata/properties" xmlns:ns2="8835a8a4-5a07-4207-ac1e-223f88a8f7af" xmlns:ns3="http://schemas.microsoft.com/sharepoint/v3/fields" xmlns:ns4="bd7587f5-5d05-4de0-b01a-b53d7118613b" targetNamespace="http://schemas.microsoft.com/office/2006/metadata/properties" ma:root="true" ma:fieldsID="336b89d5a8eb8bf517c1423ddbfd14c7" ns2:_="" ns3:_="" ns4:_="">
    <xsd:import namespace="8835a8a4-5a07-4207-ac1e-223f88a8f7af"/>
    <xsd:import namespace="http://schemas.microsoft.com/sharepoint/v3/fields"/>
    <xsd:import namespace="bd7587f5-5d05-4de0-b01a-b53d7118613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587f5-5d05-4de0-b01a-b53d7118613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81B09-7CD3-413E-9C8D-74F061CCE17A}">
  <ds:schemaRefs>
    <ds:schemaRef ds:uri="bd7587f5-5d05-4de0-b01a-b53d7118613b"/>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schemas.microsoft.com/sharepoint/v3/fields"/>
    <ds:schemaRef ds:uri="8835a8a4-5a07-4207-ac1e-223f88a8f7af"/>
    <ds:schemaRef ds:uri="http://schemas.microsoft.com/office/2006/metadata/properties"/>
  </ds:schemaRefs>
</ds:datastoreItem>
</file>

<file path=customXml/itemProps2.xml><?xml version="1.0" encoding="utf-8"?>
<ds:datastoreItem xmlns:ds="http://schemas.openxmlformats.org/officeDocument/2006/customXml" ds:itemID="{843F5490-443C-4646-A2AC-70F773BDC3FD}">
  <ds:schemaRefs>
    <ds:schemaRef ds:uri="http://schemas.microsoft.com/sharepoint/events"/>
  </ds:schemaRefs>
</ds:datastoreItem>
</file>

<file path=customXml/itemProps3.xml><?xml version="1.0" encoding="utf-8"?>
<ds:datastoreItem xmlns:ds="http://schemas.openxmlformats.org/officeDocument/2006/customXml" ds:itemID="{423C238C-DDD0-4A9C-A219-01995518EFC6}">
  <ds:schemaRefs>
    <ds:schemaRef ds:uri="http://schemas.microsoft.com/sharepoint/v3/contenttype/forms"/>
  </ds:schemaRefs>
</ds:datastoreItem>
</file>

<file path=customXml/itemProps4.xml><?xml version="1.0" encoding="utf-8"?>
<ds:datastoreItem xmlns:ds="http://schemas.openxmlformats.org/officeDocument/2006/customXml" ds:itemID="{2129407C-3CE6-46AE-81A1-DBCEE1D8C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bd7587f5-5d05-4de0-b01a-b53d7118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Día Mundial de las Habilidades de la Juventud </vt:lpstr>
    </vt:vector>
  </TitlesOfParts>
  <Company>CESE-CdR</Company>
  <LinksUpToDate>false</LinksUpToDate>
  <CharactersWithSpaces>8155</CharactersWithSpaces>
  <SharedDoc>false</SharedDoc>
  <HLinks>
    <vt:vector size="108" baseType="variant">
      <vt:variant>
        <vt:i4>2228292</vt:i4>
      </vt:variant>
      <vt:variant>
        <vt:i4>51</vt:i4>
      </vt:variant>
      <vt:variant>
        <vt:i4>0</vt:i4>
      </vt:variant>
      <vt:variant>
        <vt:i4>5</vt:i4>
      </vt:variant>
      <vt:variant>
        <vt:lpwstr>mailto:press@eesc.europa.eu</vt:lpwstr>
      </vt:variant>
      <vt:variant>
        <vt:lpwstr/>
      </vt:variant>
      <vt:variant>
        <vt:i4>6815846</vt:i4>
      </vt:variant>
      <vt:variant>
        <vt:i4>48</vt:i4>
      </vt:variant>
      <vt:variant>
        <vt:i4>0</vt:i4>
      </vt:variant>
      <vt:variant>
        <vt:i4>5</vt:i4>
      </vt:variant>
      <vt:variant>
        <vt:lpwstr>http://www.un.org/en/events/youthskillsday/</vt:lpwstr>
      </vt:variant>
      <vt:variant>
        <vt:lpwstr/>
      </vt:variant>
      <vt:variant>
        <vt:i4>2359335</vt:i4>
      </vt:variant>
      <vt:variant>
        <vt:i4>45</vt:i4>
      </vt:variant>
      <vt:variant>
        <vt:i4>0</vt:i4>
      </vt:variant>
      <vt:variant>
        <vt:i4>5</vt:i4>
      </vt:variant>
      <vt:variant>
        <vt:lpwstr>http://www.un.org/en/events/youthskillsday/background.shtml</vt:lpwstr>
      </vt:variant>
      <vt:variant>
        <vt:lpwstr/>
      </vt:variant>
      <vt:variant>
        <vt:i4>5636117</vt:i4>
      </vt:variant>
      <vt:variant>
        <vt:i4>42</vt:i4>
      </vt:variant>
      <vt:variant>
        <vt:i4>0</vt:i4>
      </vt:variant>
      <vt:variant>
        <vt:i4>5</vt:i4>
      </vt:variant>
      <vt:variant>
        <vt:lpwstr>http://www.eesc.europa.eu/?i=portal.en.soc-opinions.15046</vt:lpwstr>
      </vt:variant>
      <vt:variant>
        <vt:lpwstr/>
      </vt:variant>
      <vt:variant>
        <vt:i4>7143477</vt:i4>
      </vt:variant>
      <vt:variant>
        <vt:i4>39</vt:i4>
      </vt:variant>
      <vt:variant>
        <vt:i4>0</vt:i4>
      </vt:variant>
      <vt:variant>
        <vt:i4>5</vt:i4>
      </vt:variant>
      <vt:variant>
        <vt:lpwstr>http://www.eesc.europa.eu/?i=portal.en.events-and-activities-voc-educ-training-presentations.19335</vt:lpwstr>
      </vt:variant>
      <vt:variant>
        <vt:lpwstr/>
      </vt:variant>
      <vt:variant>
        <vt:i4>5505116</vt:i4>
      </vt:variant>
      <vt:variant>
        <vt:i4>36</vt:i4>
      </vt:variant>
      <vt:variant>
        <vt:i4>0</vt:i4>
      </vt:variant>
      <vt:variant>
        <vt:i4>5</vt:i4>
      </vt:variant>
      <vt:variant>
        <vt:lpwstr>../../AppData/Local/Microsoft/Windows/Temporary Internet Files/Content.Outlook/1UDBE7CH/The Economic Crisis, Education and the Labour Market</vt:lpwstr>
      </vt:variant>
      <vt:variant>
        <vt:lpwstr/>
      </vt:variant>
      <vt:variant>
        <vt:i4>6225951</vt:i4>
      </vt:variant>
      <vt:variant>
        <vt:i4>33</vt:i4>
      </vt:variant>
      <vt:variant>
        <vt:i4>0</vt:i4>
      </vt:variant>
      <vt:variant>
        <vt:i4>5</vt:i4>
      </vt:variant>
      <vt:variant>
        <vt:lpwstr>http://www.eesc.europa.eu/?i=portal.en.soc-opinions.21992</vt:lpwstr>
      </vt:variant>
      <vt:variant>
        <vt:lpwstr/>
      </vt:variant>
      <vt:variant>
        <vt:i4>6029334</vt:i4>
      </vt:variant>
      <vt:variant>
        <vt:i4>30</vt:i4>
      </vt:variant>
      <vt:variant>
        <vt:i4>0</vt:i4>
      </vt:variant>
      <vt:variant>
        <vt:i4>5</vt:i4>
      </vt:variant>
      <vt:variant>
        <vt:lpwstr>http://www.eesc.europa.eu/?i=portal.en.soc-opinions.19327</vt:lpwstr>
      </vt:variant>
      <vt:variant>
        <vt:lpwstr/>
      </vt:variant>
      <vt:variant>
        <vt:i4>5308435</vt:i4>
      </vt:variant>
      <vt:variant>
        <vt:i4>27</vt:i4>
      </vt:variant>
      <vt:variant>
        <vt:i4>0</vt:i4>
      </vt:variant>
      <vt:variant>
        <vt:i4>5</vt:i4>
      </vt:variant>
      <vt:variant>
        <vt:lpwstr>http://www.eesc.europa.eu/?i=portal.en.soc-opinions.25531</vt:lpwstr>
      </vt:variant>
      <vt:variant>
        <vt:lpwstr/>
      </vt:variant>
      <vt:variant>
        <vt:i4>5242899</vt:i4>
      </vt:variant>
      <vt:variant>
        <vt:i4>24</vt:i4>
      </vt:variant>
      <vt:variant>
        <vt:i4>0</vt:i4>
      </vt:variant>
      <vt:variant>
        <vt:i4>5</vt:i4>
      </vt:variant>
      <vt:variant>
        <vt:lpwstr>http://www.eesc.europa.eu/?i=portal.en.soc-opinions.27502</vt:lpwstr>
      </vt:variant>
      <vt:variant>
        <vt:lpwstr/>
      </vt:variant>
      <vt:variant>
        <vt:i4>5373983</vt:i4>
      </vt:variant>
      <vt:variant>
        <vt:i4>21</vt:i4>
      </vt:variant>
      <vt:variant>
        <vt:i4>0</vt:i4>
      </vt:variant>
      <vt:variant>
        <vt:i4>5</vt:i4>
      </vt:variant>
      <vt:variant>
        <vt:lpwstr>http://www.eesc.europa.eu/?i=portal.en.soc-opinions.23967</vt:lpwstr>
      </vt:variant>
      <vt:variant>
        <vt:lpwstr/>
      </vt:variant>
      <vt:variant>
        <vt:i4>5701652</vt:i4>
      </vt:variant>
      <vt:variant>
        <vt:i4>18</vt:i4>
      </vt:variant>
      <vt:variant>
        <vt:i4>0</vt:i4>
      </vt:variant>
      <vt:variant>
        <vt:i4>5</vt:i4>
      </vt:variant>
      <vt:variant>
        <vt:lpwstr>http://www.eesc.europa.eu/?i=portal.en.soc-opinions.30306</vt:lpwstr>
      </vt:variant>
      <vt:variant>
        <vt:lpwstr/>
      </vt:variant>
      <vt:variant>
        <vt:i4>7405690</vt:i4>
      </vt:variant>
      <vt:variant>
        <vt:i4>15</vt:i4>
      </vt:variant>
      <vt:variant>
        <vt:i4>0</vt:i4>
      </vt:variant>
      <vt:variant>
        <vt:i4>5</vt:i4>
      </vt:variant>
      <vt:variant>
        <vt:lpwstr>http://www.eesc.europa.eu/?i=portal.en.ccmi-opinions.29228</vt:lpwstr>
      </vt:variant>
      <vt:variant>
        <vt:lpwstr/>
      </vt:variant>
      <vt:variant>
        <vt:i4>196677</vt:i4>
      </vt:variant>
      <vt:variant>
        <vt:i4>12</vt:i4>
      </vt:variant>
      <vt:variant>
        <vt:i4>0</vt:i4>
      </vt:variant>
      <vt:variant>
        <vt:i4>5</vt:i4>
      </vt:variant>
      <vt:variant>
        <vt:lpwstr>http://www.eesc.europa.eu/?i=portal.en.lmo-observatory-impact-study-youth</vt:lpwstr>
      </vt:variant>
      <vt:variant>
        <vt:lpwstr/>
      </vt:variant>
      <vt:variant>
        <vt:i4>5963795</vt:i4>
      </vt:variant>
      <vt:variant>
        <vt:i4>9</vt:i4>
      </vt:variant>
      <vt:variant>
        <vt:i4>0</vt:i4>
      </vt:variant>
      <vt:variant>
        <vt:i4>5</vt:i4>
      </vt:variant>
      <vt:variant>
        <vt:lpwstr>http://www.eesc.europa.eu/?i=portal.en.soc-opinions.34487</vt:lpwstr>
      </vt:variant>
      <vt:variant>
        <vt:lpwstr/>
      </vt:variant>
      <vt:variant>
        <vt:i4>5898266</vt:i4>
      </vt:variant>
      <vt:variant>
        <vt:i4>6</vt:i4>
      </vt:variant>
      <vt:variant>
        <vt:i4>0</vt:i4>
      </vt:variant>
      <vt:variant>
        <vt:i4>5</vt:i4>
      </vt:variant>
      <vt:variant>
        <vt:lpwstr>http://www.eesc.europa.eu/?i=portal.en.nat-opinions.34331</vt:lpwstr>
      </vt:variant>
      <vt:variant>
        <vt:lpwstr/>
      </vt:variant>
      <vt:variant>
        <vt:i4>5439507</vt:i4>
      </vt:variant>
      <vt:variant>
        <vt:i4>3</vt:i4>
      </vt:variant>
      <vt:variant>
        <vt:i4>0</vt:i4>
      </vt:variant>
      <vt:variant>
        <vt:i4>5</vt:i4>
      </vt:variant>
      <vt:variant>
        <vt:lpwstr>http://www.eesc.europa.eu/?i=portal.en.soc-opinions.33478</vt:lpwstr>
      </vt:variant>
      <vt:variant>
        <vt:lpwstr/>
      </vt:variant>
      <vt:variant>
        <vt:i4>3473533</vt:i4>
      </vt:variant>
      <vt:variant>
        <vt:i4>0</vt:i4>
      </vt:variant>
      <vt:variant>
        <vt:i4>0</vt:i4>
      </vt:variant>
      <vt:variant>
        <vt:i4>5</vt:i4>
      </vt:variant>
      <vt:variant>
        <vt:lpwstr>../../AppData/Local/Microsoft/Windows/Temporary Internet Files/Content.Outlook/1UDBE7CH/Improving the performance of national dual training systems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Día Mundial de las Habilidades de la Juventud</dc:title>
  <dc:subject>Comunicado de prensa</dc:subject>
  <dc:creator>Daniela Marangoni</dc:creator>
  <cp:keywords>EESC-2016-04222-00-00-CP-TRA-ES</cp:keywords>
  <dc:description>Ponente: -_x000d_
Lengua original: EN_x000d_
Fecha del documento: 14/07/2016_x000d_
Fecha de la reunión: _x000d_
Documentos externos: -_x000d_
Funcionario responsable: Marangoni Daniela, teléfono: + 2 546 8422_x000d_
_x000d_
Resumen:</dc:description>
  <cp:lastModifiedBy>Daniela Marangoni</cp:lastModifiedBy>
  <cp:revision>2</cp:revision>
  <dcterms:created xsi:type="dcterms:W3CDTF">2016-07-14T15:34:00Z</dcterms:created>
  <dcterms:modified xsi:type="dcterms:W3CDTF">2016-07-14T15:34:00Z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36093_C5716_P53_L0</vt:lpwstr>
  </property>
  <property fmtid="{D5CDD505-2E9C-101B-9397-08002B2CF9AE}" pid="3" name="Pref_formatted">
    <vt:bool>true</vt:bool>
  </property>
  <property fmtid="{D5CDD505-2E9C-101B-9397-08002B2CF9AE}" pid="4" name="Pref_Date">
    <vt:lpwstr>14/07/2016, 14/07/2016</vt:lpwstr>
  </property>
  <property fmtid="{D5CDD505-2E9C-101B-9397-08002B2CF9AE}" pid="5" name="Pref_Time">
    <vt:lpwstr>09:32:31, 09:11:32</vt:lpwstr>
  </property>
  <property fmtid="{D5CDD505-2E9C-101B-9397-08002B2CF9AE}" pid="6" name="Pref_User">
    <vt:lpwstr>amett, htoo</vt:lpwstr>
  </property>
  <property fmtid="{D5CDD505-2E9C-101B-9397-08002B2CF9AE}" pid="7" name="Pref_FileName">
    <vt:lpwstr>EESC-2016-04222-00-00-CP-TRA-EN-CRR.docx, EESC-2016-04222-00-00-CP-CRR-EN.docx</vt:lpwstr>
  </property>
  <property fmtid="{D5CDD505-2E9C-101B-9397-08002B2CF9AE}" pid="8" name="ContentTypeId">
    <vt:lpwstr>0x010100EA97B91038054C99906057A708A1480A0052D2E1C50FFCCA4DB10C28DB2B971CD9</vt:lpwstr>
  </property>
  <property fmtid="{D5CDD505-2E9C-101B-9397-08002B2CF9AE}" pid="9" name="_dlc_DocIdItemGuid">
    <vt:lpwstr>50647e5d-d6af-4091-91e5-39611c180f96</vt:lpwstr>
  </property>
  <property fmtid="{D5CDD505-2E9C-101B-9397-08002B2CF9AE}" pid="10" name="DocumentType_0">
    <vt:lpwstr>CP|de8ad211-9e8d-408b-8324-674d21bb7d18</vt:lpwstr>
  </property>
  <property fmtid="{D5CDD505-2E9C-101B-9397-08002B2CF9AE}" pid="11" name="AvailableTranslations">
    <vt:lpwstr>28;#ES|e7a6b05b-ae16-40c8-add9-68b64b03aeba;#23;#EL|6d4f4d51-af9b-4650-94b4-4276bee85c91;#39;#CS|72f9705b-0217-4fd3-bea2-cbc7ed80e26e;#10;#EN|f2175f21-25d7-44a3-96da-d6a61b075e1b;#22;#DE|f6b31e5a-26fa-4935-b661-318e46daf27e;#15;#IT|0774613c-01ed-4e5d-a25d</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2016</vt:i4>
  </property>
  <property fmtid="{D5CDD505-2E9C-101B-9397-08002B2CF9AE}" pid="15" name="DocumentNumber">
    <vt:i4>4222</vt:i4>
  </property>
  <property fmtid="{D5CDD505-2E9C-101B-9397-08002B2CF9AE}" pid="16" name="DocumentVersion">
    <vt:i4>0</vt:i4>
  </property>
  <property fmtid="{D5CDD505-2E9C-101B-9397-08002B2CF9AE}" pid="17" name="DocumentSource">
    <vt:lpwstr>1;#EESC|422833ec-8d7e-4e65-8e4e-8bed07ffb729</vt:lpwstr>
  </property>
  <property fmtid="{D5CDD505-2E9C-101B-9397-08002B2CF9AE}" pid="18" name="DocumentType">
    <vt:lpwstr>14;#CP|de8ad211-9e8d-408b-8324-674d21bb7d18</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10;#EN|f2175f21-25d7-44a3-96da-d6a61b075e1b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10;#EN|f2175f21-25d7-44a3-96da-d6a61b075e1b;#6;#Final|ea5e6674-7b27-4bac-b091-73adbb394efe;#5;#Unrestricted|826e22d7-d029-4ec0-a450-0c28ff673572;#14;#CP|de8ad211-9e8d-408b-8324-674d21bb7d18;#2;#TRA|150d2a88-1431-44e6-a8ca-0bb753ab8672;#1;#EESC|422833ec-8d</vt:lpwstr>
  </property>
  <property fmtid="{D5CDD505-2E9C-101B-9397-08002B2CF9AE}" pid="31" name="AvailableTranslations_0">
    <vt:lpwstr>EN|f2175f21-25d7-44a3-96da-d6a61b075e1b</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8407</vt:i4>
  </property>
  <property fmtid="{D5CDD505-2E9C-101B-9397-08002B2CF9AE}" pid="35" name="DocumentYear">
    <vt:i4>2016</vt:i4>
  </property>
  <property fmtid="{D5CDD505-2E9C-101B-9397-08002B2CF9AE}" pid="36" name="DocumentLanguage">
    <vt:lpwstr>28;#ES|e7a6b05b-ae16-40c8-add9-68b64b03aeba</vt:lpwstr>
  </property>
</Properties>
</file>