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0" w:rsidRPr="00813151" w:rsidRDefault="005F17DB" w:rsidP="005A2B31">
      <w:pPr>
        <w:pStyle w:val="NormalWeb"/>
        <w:tabs>
          <w:tab w:val="right" w:pos="9072"/>
        </w:tabs>
        <w:spacing w:before="0" w:beforeAutospacing="0" w:after="0" w:afterAutospacing="0"/>
        <w:ind w:left="-180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813151">
        <w:rPr>
          <w:noProof/>
          <w:lang w:val="en-US" w:eastAsia="en-US" w:bidi="ar-SA"/>
        </w:rPr>
        <w:drawing>
          <wp:inline distT="0" distB="0" distL="0" distR="0" wp14:anchorId="3B84352F" wp14:editId="59F91414">
            <wp:extent cx="5963504" cy="1447138"/>
            <wp:effectExtent l="0" t="0" r="0" b="1270"/>
            <wp:docPr id="5" name="Picture 5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729" cy="14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01D" w:rsidRPr="00813151">
        <w:rPr>
          <w:rFonts w:ascii="Verdana" w:hAnsi="Verdana"/>
          <w:b/>
          <w:sz w:val="18"/>
        </w:rPr>
        <w:t>N. 42</w:t>
      </w:r>
      <w:r w:rsidRPr="00813151">
        <w:rPr>
          <w:rFonts w:ascii="Verdana" w:hAnsi="Verdana"/>
          <w:b/>
          <w:sz w:val="18"/>
        </w:rPr>
        <w:t>/2016</w:t>
      </w:r>
      <w:r w:rsidRPr="00813151">
        <w:tab/>
      </w:r>
      <w:r w:rsidRPr="00813151">
        <w:rPr>
          <w:rFonts w:ascii="Verdana" w:hAnsi="Verdana"/>
          <w:b/>
          <w:sz w:val="18"/>
        </w:rPr>
        <w:t>2 giugno 2016</w:t>
      </w:r>
    </w:p>
    <w:p w:rsidR="00D44E83" w:rsidRPr="00813151" w:rsidRDefault="00D44E83" w:rsidP="005A2B31">
      <w:pPr>
        <w:pStyle w:val="NormalWeb"/>
        <w:tabs>
          <w:tab w:val="right" w:pos="9072"/>
        </w:tabs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:rsidR="001E295A" w:rsidRPr="00813151" w:rsidRDefault="001E295A" w:rsidP="005A2B31">
      <w:pPr>
        <w:pStyle w:val="NormalWeb"/>
        <w:tabs>
          <w:tab w:val="right" w:pos="9072"/>
        </w:tabs>
        <w:spacing w:before="0" w:beforeAutospacing="0" w:after="0" w:afterAutospacing="0"/>
        <w:rPr>
          <w:rFonts w:ascii="Verdana" w:hAnsi="Verdana"/>
          <w:b/>
          <w:sz w:val="28"/>
          <w:szCs w:val="28"/>
        </w:rPr>
        <w:sectPr w:rsidR="001E295A" w:rsidRPr="00813151" w:rsidSect="004C5A2B">
          <w:footerReference w:type="default" r:id="rId14"/>
          <w:pgSz w:w="11907" w:h="16839" w:code="9"/>
          <w:pgMar w:top="567" w:right="1418" w:bottom="1418" w:left="1418" w:header="1021" w:footer="454" w:gutter="0"/>
          <w:cols w:space="708"/>
          <w:docGrid w:linePitch="360"/>
        </w:sectPr>
      </w:pPr>
    </w:p>
    <w:p w:rsidR="004C5A2B" w:rsidRPr="00813151" w:rsidRDefault="004C5A2B" w:rsidP="005A2B3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1F497D"/>
          <w:sz w:val="28"/>
          <w:szCs w:val="28"/>
        </w:rPr>
      </w:pPr>
      <w:r w:rsidRPr="00813151">
        <w:rPr>
          <w:rFonts w:asciiTheme="minorHAnsi" w:hAnsiTheme="minorHAnsi"/>
          <w:noProof/>
          <w:sz w:val="2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843276" wp14:editId="4190A19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2B" w:rsidRPr="00260E65" w:rsidRDefault="004C5A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4C5A2B" w:rsidRPr="00260E65" w:rsidRDefault="004C5A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B12B6C" w:rsidRPr="00813151" w:rsidRDefault="00B12B6C" w:rsidP="005A2B3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1F497D"/>
          <w:sz w:val="28"/>
          <w:szCs w:val="28"/>
        </w:rPr>
      </w:pPr>
      <w:r w:rsidRPr="00813151">
        <w:rPr>
          <w:rFonts w:ascii="Verdana" w:hAnsi="Verdana"/>
          <w:b/>
          <w:color w:val="1F497D"/>
          <w:sz w:val="28"/>
        </w:rPr>
        <w:t xml:space="preserve">Un servizio europeo di ricostruzione delle pensioni è realizzabile ed è vantaggioso sia per i cittadini </w:t>
      </w:r>
      <w:proofErr w:type="gramStart"/>
      <w:r w:rsidRPr="00813151">
        <w:rPr>
          <w:rFonts w:ascii="Verdana" w:hAnsi="Verdana"/>
          <w:b/>
          <w:color w:val="1F497D"/>
          <w:sz w:val="28"/>
        </w:rPr>
        <w:t>che</w:t>
      </w:r>
      <w:proofErr w:type="gramEnd"/>
      <w:r w:rsidRPr="00813151">
        <w:rPr>
          <w:rFonts w:ascii="Verdana" w:hAnsi="Verdana"/>
          <w:b/>
          <w:color w:val="1F497D"/>
          <w:sz w:val="28"/>
        </w:rPr>
        <w:t xml:space="preserve"> per gli enti pensionistici</w:t>
      </w:r>
    </w:p>
    <w:p w:rsidR="004C5A2B" w:rsidRPr="00813151" w:rsidRDefault="004C5A2B" w:rsidP="005A2B3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1F497D"/>
          <w:sz w:val="28"/>
          <w:szCs w:val="28"/>
        </w:rPr>
      </w:pPr>
    </w:p>
    <w:p w:rsidR="004C5A2B" w:rsidRPr="00813151" w:rsidRDefault="004C5A2B" w:rsidP="005A2B3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1F497D"/>
          <w:sz w:val="28"/>
          <w:szCs w:val="28"/>
        </w:rPr>
      </w:pPr>
    </w:p>
    <w:p w:rsidR="00C80326" w:rsidRPr="00813151" w:rsidRDefault="008D7794" w:rsidP="005A2B31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813151">
        <w:rPr>
          <w:rFonts w:ascii="Verdana" w:hAnsi="Verdana"/>
          <w:sz w:val="18"/>
        </w:rPr>
        <w:t xml:space="preserve">"Come difensore dei diritti dei lavoratori, tra cui anche quello a una mobilità sicura e a un'informazione costante, </w:t>
      </w:r>
      <w:proofErr w:type="gramStart"/>
      <w:r w:rsidRPr="00813151">
        <w:rPr>
          <w:rFonts w:ascii="Verdana" w:hAnsi="Verdana"/>
          <w:sz w:val="18"/>
        </w:rPr>
        <w:t>prendo</w:t>
      </w:r>
      <w:proofErr w:type="gramEnd"/>
      <w:r w:rsidRPr="00813151">
        <w:rPr>
          <w:rFonts w:ascii="Verdana" w:hAnsi="Verdana"/>
          <w:sz w:val="18"/>
        </w:rPr>
        <w:t xml:space="preserve"> atto con piacere della presentazione di un progetto europeo finalizzato a rintracciare i diritti pensionistici maturati in tutta Europa. </w:t>
      </w:r>
      <w:proofErr w:type="gramStart"/>
      <w:r w:rsidRPr="00813151">
        <w:rPr>
          <w:rFonts w:ascii="Verdana" w:hAnsi="Verdana"/>
          <w:sz w:val="18"/>
        </w:rPr>
        <w:t>Dal mio punto di vista, cercare una soluzione veramente europea invece di applicare a livello europeo un sistema già esistente rappresenta una scelta ragionevole", ha affermato il Presidente del Comitato economico e sociale europeo Georges Dassis nel corso di un convegno organizzato congiuntamente dal consorzio TTYPE (</w:t>
      </w:r>
      <w:proofErr w:type="spellStart"/>
      <w:r w:rsidRPr="00813151">
        <w:rPr>
          <w:rFonts w:ascii="Verdana" w:hAnsi="Verdana"/>
          <w:i/>
          <w:sz w:val="18"/>
        </w:rPr>
        <w:t>Track</w:t>
      </w:r>
      <w:proofErr w:type="spellEnd"/>
      <w:r w:rsidRPr="00813151">
        <w:rPr>
          <w:rFonts w:ascii="Verdana" w:hAnsi="Verdana"/>
          <w:i/>
          <w:sz w:val="18"/>
        </w:rPr>
        <w:t xml:space="preserve"> and Trace Your </w:t>
      </w:r>
      <w:proofErr w:type="spellStart"/>
      <w:r w:rsidRPr="00813151">
        <w:rPr>
          <w:rFonts w:ascii="Verdana" w:hAnsi="Verdana"/>
          <w:i/>
          <w:sz w:val="18"/>
        </w:rPr>
        <w:t>Pension</w:t>
      </w:r>
      <w:proofErr w:type="spellEnd"/>
      <w:r w:rsidRPr="00813151">
        <w:rPr>
          <w:rFonts w:ascii="Verdana" w:hAnsi="Verdana"/>
          <w:i/>
          <w:sz w:val="18"/>
        </w:rPr>
        <w:t xml:space="preserve"> in Europe</w:t>
      </w:r>
      <w:r w:rsidRPr="00813151">
        <w:rPr>
          <w:rFonts w:ascii="Verdana" w:hAnsi="Verdana"/>
          <w:sz w:val="18"/>
        </w:rPr>
        <w:t xml:space="preserve"> - Segui e rintraccia la tua pensione in Europa) e dal CESE</w:t>
      </w:r>
      <w:proofErr w:type="gramEnd"/>
      <w:r w:rsidRPr="00813151">
        <w:rPr>
          <w:rFonts w:ascii="Verdana" w:hAnsi="Verdana"/>
          <w:sz w:val="18"/>
        </w:rPr>
        <w:t xml:space="preserve">. "Trattandosi di un servizio con fini di pubblica utilità (informare i cittadini sui loro diritti </w:t>
      </w:r>
      <w:proofErr w:type="gramStart"/>
      <w:r w:rsidRPr="00813151">
        <w:rPr>
          <w:rFonts w:ascii="Verdana" w:hAnsi="Verdana"/>
          <w:sz w:val="18"/>
        </w:rPr>
        <w:t>pensionistici</w:t>
      </w:r>
      <w:proofErr w:type="gramEnd"/>
      <w:r w:rsidRPr="00813151">
        <w:rPr>
          <w:rFonts w:ascii="Verdana" w:hAnsi="Verdana"/>
          <w:sz w:val="18"/>
        </w:rPr>
        <w:t xml:space="preserve"> ed eliminare gli ostacoli alla mobilità intraeuropea) e anche privati (aiutare gli enti pensionistici ad informare meglio i loro membri), il servizio europeo di ricostruzione delle pensioni dovrebbe, a mio parere, essere almeno cofinanziato dalla Commissione."</w:t>
      </w:r>
    </w:p>
    <w:p w:rsidR="008D7794" w:rsidRPr="00813151" w:rsidRDefault="008D7794" w:rsidP="005A2B31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87481" w:rsidRPr="00813151" w:rsidRDefault="008D7794" w:rsidP="005A2B31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813151">
        <w:rPr>
          <w:rFonts w:ascii="Verdana" w:hAnsi="Verdana"/>
          <w:sz w:val="18"/>
        </w:rPr>
        <w:t xml:space="preserve">La commissaria per l’occupazione, gli affari sociali, le competenze e la mobilità dei lavoratori Marianne Thyssen </w:t>
      </w:r>
      <w:proofErr w:type="gramStart"/>
      <w:r w:rsidRPr="00813151">
        <w:rPr>
          <w:rFonts w:ascii="Verdana" w:hAnsi="Verdana"/>
          <w:sz w:val="18"/>
        </w:rPr>
        <w:t>ha</w:t>
      </w:r>
      <w:proofErr w:type="gramEnd"/>
      <w:r w:rsidRPr="00813151">
        <w:rPr>
          <w:rFonts w:ascii="Verdana" w:hAnsi="Verdana"/>
          <w:sz w:val="18"/>
        </w:rPr>
        <w:t xml:space="preserve"> espresso il suo sostegno e la sua volontà di impegnarsi a favore della creazione di un servizio europeo di ricostruzione delle pensioni.</w:t>
      </w:r>
      <w:r w:rsidR="002D601D" w:rsidRPr="00813151">
        <w:rPr>
          <w:rFonts w:ascii="Verdana" w:hAnsi="Verdana"/>
          <w:sz w:val="18"/>
        </w:rPr>
        <w:t xml:space="preserve"> </w:t>
      </w:r>
      <w:r w:rsidRPr="00813151">
        <w:rPr>
          <w:rFonts w:ascii="Verdana" w:hAnsi="Verdana"/>
          <w:sz w:val="18"/>
        </w:rPr>
        <w:t xml:space="preserve">"Grazie al lavoro del consorzio TTYPE siamo ora in grado di affermare chiaramente, </w:t>
      </w:r>
      <w:proofErr w:type="gramStart"/>
      <w:r w:rsidRPr="00813151">
        <w:rPr>
          <w:rFonts w:ascii="Verdana" w:hAnsi="Verdana"/>
          <w:sz w:val="18"/>
        </w:rPr>
        <w:t>sulla base di</w:t>
      </w:r>
      <w:proofErr w:type="gramEnd"/>
      <w:r w:rsidRPr="00813151">
        <w:rPr>
          <w:rFonts w:ascii="Verdana" w:hAnsi="Verdana"/>
          <w:sz w:val="18"/>
        </w:rPr>
        <w:t xml:space="preserve"> elementi concreti, che il sistema europeo di ricostruzione pensionistica è assolutamente realizzabile. Il modello commerciale e il piano di attuazione mostrano in che modo esso possa essere realizzato. La Commissione europea si è impegnata a dare il proprio sostegno politico a questa importante iniziativa: abbiamo già assicurato il finanziamento per la prima fase e ci adopereremo per ottenere finanziamenti anche per le fasi successive. Tuttavia, l'impegno e la partecipazione delle parti interessate di tutta l'UE sono essenziali per garantire l'</w:t>
      </w:r>
      <w:proofErr w:type="gramStart"/>
      <w:r w:rsidRPr="00813151">
        <w:rPr>
          <w:rFonts w:ascii="Verdana" w:hAnsi="Verdana"/>
          <w:sz w:val="18"/>
        </w:rPr>
        <w:t>ulteriore</w:t>
      </w:r>
      <w:proofErr w:type="gramEnd"/>
      <w:r w:rsidRPr="00813151">
        <w:rPr>
          <w:rFonts w:ascii="Verdana" w:hAnsi="Verdana"/>
          <w:sz w:val="18"/>
        </w:rPr>
        <w:t xml:space="preserve"> cofinanziamento delle prossime fasi, finché il servizio non sarà indipendente sul piano finanziario". La commissaria Thyssen ha dichiarato che la Commissione pubblicherà nei prossimi mesi un invito a presentare proposte per sostenere la prima fase dell'attuazione del servizio.</w:t>
      </w:r>
    </w:p>
    <w:p w:rsidR="00C80326" w:rsidRPr="00813151" w:rsidRDefault="00C80326" w:rsidP="005A2B31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B83341" w:rsidRPr="00813151" w:rsidRDefault="00F623A3" w:rsidP="005A2B31">
      <w:pPr>
        <w:spacing w:line="240" w:lineRule="auto"/>
        <w:rPr>
          <w:rFonts w:ascii="Verdana" w:hAnsi="Verdana"/>
          <w:sz w:val="18"/>
          <w:szCs w:val="18"/>
        </w:rPr>
      </w:pPr>
      <w:r w:rsidRPr="00813151">
        <w:rPr>
          <w:rFonts w:ascii="Verdana" w:hAnsi="Verdana"/>
          <w:sz w:val="18"/>
        </w:rPr>
        <w:t xml:space="preserve">"Stiamo portando avanti il progetto TTYPE con grande fiducia, anche grazie al sostegno della Commissione europea, che ha appoggiato il progetto </w:t>
      </w:r>
      <w:proofErr w:type="gramStart"/>
      <w:r w:rsidRPr="00813151">
        <w:rPr>
          <w:rFonts w:ascii="Verdana" w:hAnsi="Verdana"/>
          <w:sz w:val="18"/>
        </w:rPr>
        <w:t>in quanto</w:t>
      </w:r>
      <w:proofErr w:type="gramEnd"/>
      <w:r w:rsidRPr="00813151">
        <w:rPr>
          <w:rFonts w:ascii="Verdana" w:hAnsi="Verdana"/>
          <w:sz w:val="18"/>
        </w:rPr>
        <w:t xml:space="preserve"> tale fin dall'inizio, ma ha anche fatto propria l'idea di base di un servizio europeo di ricostruzione delle pensioni, impegnandosi per il suo sviluppo. In collaborazione con le parti interessate e gli enti </w:t>
      </w:r>
      <w:proofErr w:type="gramStart"/>
      <w:r w:rsidRPr="00813151">
        <w:rPr>
          <w:rFonts w:ascii="Verdana" w:hAnsi="Verdana"/>
          <w:sz w:val="18"/>
        </w:rPr>
        <w:t>pensionistici</w:t>
      </w:r>
      <w:proofErr w:type="gramEnd"/>
      <w:r w:rsidRPr="00813151">
        <w:rPr>
          <w:rFonts w:ascii="Verdana" w:hAnsi="Verdana"/>
          <w:sz w:val="18"/>
        </w:rPr>
        <w:t xml:space="preserve"> di tutta Europa, è venuto il momento di far partire il progetto", ha dichiarato Peter Melchior, presidente del comitato direttivo del TTYPE e di </w:t>
      </w:r>
      <w:proofErr w:type="spellStart"/>
      <w:r w:rsidRPr="00813151">
        <w:rPr>
          <w:rFonts w:ascii="Verdana" w:hAnsi="Verdana"/>
          <w:sz w:val="18"/>
        </w:rPr>
        <w:t>Pensions</w:t>
      </w:r>
      <w:proofErr w:type="spellEnd"/>
      <w:r w:rsidR="002A72CC" w:rsidRPr="00813151">
        <w:rPr>
          <w:rFonts w:ascii="Verdana" w:hAnsi="Verdana"/>
          <w:sz w:val="18"/>
        </w:rPr>
        <w:t xml:space="preserve"> </w:t>
      </w:r>
      <w:r w:rsidRPr="00813151">
        <w:rPr>
          <w:rFonts w:ascii="Verdana" w:hAnsi="Verdana"/>
          <w:sz w:val="18"/>
        </w:rPr>
        <w:t>Info in Danimarca.</w:t>
      </w:r>
    </w:p>
    <w:p w:rsidR="00C80326" w:rsidRPr="00813151" w:rsidRDefault="00C80326" w:rsidP="005A2B31">
      <w:pPr>
        <w:spacing w:line="240" w:lineRule="auto"/>
        <w:rPr>
          <w:rFonts w:ascii="Verdana" w:hAnsi="Verdana"/>
          <w:sz w:val="18"/>
          <w:szCs w:val="18"/>
        </w:rPr>
      </w:pPr>
    </w:p>
    <w:p w:rsidR="00C80326" w:rsidRPr="00813151" w:rsidRDefault="00B12B6C" w:rsidP="005A2B31">
      <w:pPr>
        <w:spacing w:line="240" w:lineRule="auto"/>
        <w:rPr>
          <w:rFonts w:ascii="Verdana" w:hAnsi="Verdana"/>
          <w:sz w:val="18"/>
          <w:szCs w:val="18"/>
        </w:rPr>
      </w:pPr>
      <w:r w:rsidRPr="00813151">
        <w:rPr>
          <w:rFonts w:ascii="Verdana" w:hAnsi="Verdana"/>
          <w:sz w:val="18"/>
        </w:rPr>
        <w:t xml:space="preserve">In occasione del convegno il consorzio TTYPE ha presentato la relazione finale sul progetto "Segui e rintraccia la tua pensione in Europa", che segna una tappa importante nella creazione di un servizio europeo di ricostruzione </w:t>
      </w:r>
      <w:proofErr w:type="gramStart"/>
      <w:r w:rsidRPr="00813151">
        <w:rPr>
          <w:rFonts w:ascii="Verdana" w:hAnsi="Verdana"/>
          <w:sz w:val="18"/>
        </w:rPr>
        <w:t>delle</w:t>
      </w:r>
      <w:proofErr w:type="gramEnd"/>
      <w:r w:rsidRPr="00813151">
        <w:rPr>
          <w:rFonts w:ascii="Verdana" w:hAnsi="Verdana"/>
          <w:sz w:val="18"/>
        </w:rPr>
        <w:t xml:space="preserve"> pensioni. La mobilità internazionale sul mercato del lavoro coinvolge un numero sempre maggiore di lavoratori europei: si tratta di persone che si spostano da un paese all’altro o lavorano presso aziende operanti a livello transfrontaliero nell’UE. Oggi queste attività, nella maggior parte dei casi, danno diritto a una pensione, ma il cumulo di tali contributi è spesso disperso tra paesi e regimi previdenziali diversi, e i lavoratori rischiano di perdere traccia dei loro diritti. Il progetto TTYPE ha offerto un modello per la creazione di un servizio europeo di ricostruzione delle pensioni che avvantaggerebbe i cittadini, in particolare quelli che hanno lavorato in più paesi europei, fornendo loro informazioni sui diritti </w:t>
      </w:r>
      <w:proofErr w:type="gramStart"/>
      <w:r w:rsidRPr="00813151">
        <w:rPr>
          <w:rFonts w:ascii="Verdana" w:hAnsi="Verdana"/>
          <w:sz w:val="18"/>
        </w:rPr>
        <w:t>pensionistici</w:t>
      </w:r>
      <w:proofErr w:type="gramEnd"/>
      <w:r w:rsidRPr="00813151">
        <w:rPr>
          <w:rFonts w:ascii="Verdana" w:hAnsi="Verdana"/>
          <w:sz w:val="18"/>
        </w:rPr>
        <w:t xml:space="preserve"> che altrimenti sarebbero difficili da ottenere. Tale servizio recherebbe vantaggi anche agli enti </w:t>
      </w:r>
      <w:proofErr w:type="gramStart"/>
      <w:r w:rsidRPr="00813151">
        <w:rPr>
          <w:rFonts w:ascii="Verdana" w:hAnsi="Verdana"/>
          <w:sz w:val="18"/>
        </w:rPr>
        <w:t>pensionistici</w:t>
      </w:r>
      <w:proofErr w:type="gramEnd"/>
      <w:r w:rsidRPr="00813151">
        <w:rPr>
          <w:rFonts w:ascii="Verdana" w:hAnsi="Verdana"/>
          <w:sz w:val="18"/>
        </w:rPr>
        <w:t xml:space="preserve">, aiutandoli a </w:t>
      </w:r>
      <w:r w:rsidRPr="00813151">
        <w:rPr>
          <w:rFonts w:ascii="Verdana" w:hAnsi="Verdana"/>
          <w:sz w:val="18"/>
        </w:rPr>
        <w:lastRenderedPageBreak/>
        <w:t>fornire, in modo economico, informazioni più complete e una gamma più ampia di servizi ai loro membri.</w:t>
      </w:r>
    </w:p>
    <w:p w:rsidR="00B12B6C" w:rsidRPr="00813151" w:rsidRDefault="00B12B6C" w:rsidP="005A2B31">
      <w:pPr>
        <w:spacing w:line="240" w:lineRule="auto"/>
        <w:rPr>
          <w:rFonts w:ascii="Verdana" w:hAnsi="Verdana"/>
          <w:sz w:val="18"/>
          <w:szCs w:val="18"/>
        </w:rPr>
      </w:pPr>
    </w:p>
    <w:p w:rsidR="00B12B6C" w:rsidRPr="00813151" w:rsidRDefault="00B83341" w:rsidP="005A2B31">
      <w:pPr>
        <w:keepNext/>
        <w:spacing w:line="240" w:lineRule="auto"/>
        <w:rPr>
          <w:rFonts w:ascii="Verdana" w:hAnsi="Verdana" w:cs="Arial"/>
          <w:b/>
          <w:sz w:val="18"/>
          <w:szCs w:val="18"/>
        </w:rPr>
      </w:pPr>
      <w:r w:rsidRPr="00813151">
        <w:rPr>
          <w:rFonts w:ascii="Verdana" w:hAnsi="Verdana"/>
          <w:b/>
          <w:sz w:val="18"/>
        </w:rPr>
        <w:t xml:space="preserve">Per maggiori informazioni, si prega di </w:t>
      </w:r>
      <w:proofErr w:type="gramStart"/>
      <w:r w:rsidRPr="00813151">
        <w:rPr>
          <w:rFonts w:ascii="Verdana" w:hAnsi="Verdana"/>
          <w:b/>
          <w:sz w:val="18"/>
        </w:rPr>
        <w:t>contattare</w:t>
      </w:r>
      <w:proofErr w:type="gramEnd"/>
      <w:r w:rsidRPr="00813151">
        <w:rPr>
          <w:rFonts w:ascii="Verdana" w:hAnsi="Verdana"/>
          <w:b/>
          <w:sz w:val="18"/>
        </w:rPr>
        <w:t>:</w:t>
      </w:r>
    </w:p>
    <w:p w:rsidR="00B83341" w:rsidRPr="00813151" w:rsidRDefault="00B83341" w:rsidP="005A2B31">
      <w:pPr>
        <w:keepNext/>
        <w:spacing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4"/>
      </w:tblGrid>
      <w:tr w:rsidR="00B12B6C" w:rsidRPr="00813151" w:rsidTr="008E1C91">
        <w:tc>
          <w:tcPr>
            <w:tcW w:w="4583" w:type="dxa"/>
          </w:tcPr>
          <w:p w:rsidR="00B12B6C" w:rsidRPr="00813151" w:rsidRDefault="00B12B6C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>Siana Glouharova</w:t>
            </w:r>
          </w:p>
          <w:p w:rsidR="00B12B6C" w:rsidRPr="00813151" w:rsidRDefault="00B12B6C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>Unità stampa del CESE</w:t>
            </w:r>
          </w:p>
          <w:p w:rsidR="00B12B6C" w:rsidRPr="00813151" w:rsidRDefault="00B12B6C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 xml:space="preserve">e-mail: </w:t>
            </w:r>
            <w:hyperlink r:id="rId15">
              <w:r w:rsidRPr="00813151">
                <w:rPr>
                  <w:rStyle w:val="Hyperlink"/>
                  <w:rFonts w:ascii="Verdana" w:hAnsi="Verdana"/>
                  <w:sz w:val="18"/>
                </w:rPr>
                <w:t>press@eesc.europa.eu</w:t>
              </w:r>
            </w:hyperlink>
          </w:p>
          <w:p w:rsidR="00B12B6C" w:rsidRPr="00813151" w:rsidRDefault="002D601D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>Tel.</w:t>
            </w:r>
            <w:r w:rsidR="00B12B6C" w:rsidRPr="00813151">
              <w:rPr>
                <w:rFonts w:ascii="Verdana" w:hAnsi="Verdana"/>
                <w:sz w:val="18"/>
              </w:rPr>
              <w:t xml:space="preserve"> +32 2 546 9276</w:t>
            </w:r>
          </w:p>
          <w:p w:rsidR="00B12B6C" w:rsidRPr="00813151" w:rsidRDefault="00B12B6C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>@EESC_PRESS</w:t>
            </w:r>
          </w:p>
        </w:tc>
        <w:tc>
          <w:tcPr>
            <w:tcW w:w="4584" w:type="dxa"/>
          </w:tcPr>
          <w:p w:rsidR="00B12B6C" w:rsidRPr="00813151" w:rsidRDefault="00B12B6C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 xml:space="preserve">Claus </w:t>
            </w:r>
            <w:proofErr w:type="spellStart"/>
            <w:r w:rsidRPr="00813151">
              <w:rPr>
                <w:rFonts w:ascii="Verdana" w:hAnsi="Verdana"/>
                <w:sz w:val="18"/>
              </w:rPr>
              <w:t>Skadhauge</w:t>
            </w:r>
            <w:proofErr w:type="spellEnd"/>
            <w:r w:rsidRPr="00813151">
              <w:rPr>
                <w:rFonts w:ascii="Verdana" w:hAnsi="Verdana"/>
                <w:sz w:val="18"/>
              </w:rPr>
              <w:t xml:space="preserve"> </w:t>
            </w:r>
          </w:p>
          <w:p w:rsidR="00B12B6C" w:rsidRPr="00813151" w:rsidRDefault="00B12B6C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>Consulente principale</w:t>
            </w:r>
            <w:proofErr w:type="gramStart"/>
            <w:r w:rsidR="002D601D" w:rsidRPr="00813151">
              <w:rPr>
                <w:rFonts w:ascii="Verdana" w:hAnsi="Verdana"/>
                <w:sz w:val="18"/>
              </w:rPr>
              <w:t xml:space="preserve">  </w:t>
            </w:r>
            <w:proofErr w:type="gramEnd"/>
          </w:p>
          <w:p w:rsidR="00B12B6C" w:rsidRPr="00813151" w:rsidRDefault="00B12B6C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13151">
              <w:t>e-</w:t>
            </w:r>
            <w:r w:rsidRPr="00813151">
              <w:rPr>
                <w:rFonts w:ascii="Verdana" w:hAnsi="Verdana"/>
                <w:sz w:val="18"/>
              </w:rPr>
              <w:t>mail</w:t>
            </w:r>
            <w:proofErr w:type="gramEnd"/>
            <w:r w:rsidRPr="00813151">
              <w:rPr>
                <w:rFonts w:ascii="Verdana" w:hAnsi="Verdana"/>
                <w:sz w:val="18"/>
              </w:rPr>
              <w:t xml:space="preserve">: </w:t>
            </w:r>
            <w:hyperlink r:id="rId16">
              <w:r w:rsidRPr="00813151">
                <w:rPr>
                  <w:rStyle w:val="Hyperlink"/>
                  <w:rFonts w:ascii="Verdana" w:hAnsi="Verdana"/>
                  <w:sz w:val="18"/>
                </w:rPr>
                <w:t>cs@pka.dk</w:t>
              </w:r>
            </w:hyperlink>
          </w:p>
          <w:p w:rsidR="00B12B6C" w:rsidRPr="00813151" w:rsidRDefault="002D601D" w:rsidP="005A2B3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>Tel.</w:t>
            </w:r>
            <w:r w:rsidR="00B12B6C" w:rsidRPr="00813151">
              <w:rPr>
                <w:rFonts w:ascii="Verdana" w:hAnsi="Verdana"/>
                <w:sz w:val="18"/>
              </w:rPr>
              <w:t xml:space="preserve"> +45 39 45 45 11</w:t>
            </w:r>
          </w:p>
          <w:p w:rsidR="00C80326" w:rsidRPr="00813151" w:rsidRDefault="00B12B6C" w:rsidP="002D601D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13151">
              <w:rPr>
                <w:rFonts w:ascii="Verdana" w:hAnsi="Verdana"/>
                <w:sz w:val="18"/>
              </w:rPr>
              <w:t xml:space="preserve">Cell. +45 </w:t>
            </w:r>
            <w:proofErr w:type="gramStart"/>
            <w:r w:rsidRPr="00813151">
              <w:rPr>
                <w:rFonts w:ascii="Verdana" w:hAnsi="Verdana"/>
                <w:sz w:val="18"/>
              </w:rPr>
              <w:t>40</w:t>
            </w:r>
            <w:proofErr w:type="gramEnd"/>
            <w:r w:rsidRPr="00813151">
              <w:rPr>
                <w:rFonts w:ascii="Verdana" w:hAnsi="Verdana"/>
                <w:sz w:val="18"/>
              </w:rPr>
              <w:t xml:space="preserve"> 30 45 49</w:t>
            </w:r>
          </w:p>
        </w:tc>
      </w:tr>
    </w:tbl>
    <w:p w:rsidR="00C80326" w:rsidRPr="00813151" w:rsidRDefault="00C80326" w:rsidP="005A2B31">
      <w:pPr>
        <w:spacing w:line="240" w:lineRule="auto"/>
        <w:rPr>
          <w:rFonts w:ascii="Verdana" w:hAnsi="Verdana"/>
          <w:sz w:val="18"/>
          <w:szCs w:val="18"/>
        </w:rPr>
      </w:pPr>
    </w:p>
    <w:p w:rsidR="00C80326" w:rsidRPr="00813151" w:rsidRDefault="00C80326" w:rsidP="005A2B31">
      <w:pPr>
        <w:spacing w:line="240" w:lineRule="auto"/>
        <w:rPr>
          <w:rFonts w:ascii="Verdana" w:hAnsi="Verdana"/>
          <w:sz w:val="18"/>
          <w:szCs w:val="18"/>
        </w:rPr>
      </w:pPr>
    </w:p>
    <w:p w:rsidR="007E50BB" w:rsidRPr="00813151" w:rsidRDefault="007E50BB" w:rsidP="005A2B3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  <w:szCs w:val="16"/>
        </w:rPr>
      </w:pPr>
      <w:r w:rsidRPr="00813151">
        <w:rPr>
          <w:rFonts w:ascii="Verdana" w:hAnsi="Verdana"/>
          <w:i/>
          <w:sz w:val="16"/>
        </w:rPr>
        <w:t xml:space="preserve">Il Comitato economico e sociale europeo (CESE) </w:t>
      </w:r>
      <w:proofErr w:type="gramStart"/>
      <w:r w:rsidRPr="00813151">
        <w:rPr>
          <w:rFonts w:ascii="Verdana" w:hAnsi="Verdana"/>
          <w:i/>
          <w:sz w:val="16"/>
        </w:rPr>
        <w:t>è</w:t>
      </w:r>
      <w:proofErr w:type="gramEnd"/>
      <w:r w:rsidRPr="00813151">
        <w:rPr>
          <w:rFonts w:ascii="Verdana" w:hAnsi="Verdana"/>
          <w:i/>
          <w:sz w:val="16"/>
        </w:rPr>
        <w:t xml:space="preserve"> un organo istituzionale consultivo istituito dal Trattato di Roma nel 1957. Il Comitato si compone di 350 membri, provenienti da tutta l'UE, nominati dal Consiglio dell'Unione europea. Esso rappresenta le diverse </w:t>
      </w:r>
      <w:proofErr w:type="gramStart"/>
      <w:r w:rsidRPr="00813151">
        <w:rPr>
          <w:rFonts w:ascii="Verdana" w:hAnsi="Verdana"/>
          <w:i/>
          <w:sz w:val="16"/>
        </w:rPr>
        <w:t>componenti</w:t>
      </w:r>
      <w:proofErr w:type="gramEnd"/>
      <w:r w:rsidRPr="00813151">
        <w:rPr>
          <w:rFonts w:ascii="Verdana" w:hAnsi="Verdana"/>
          <w:i/>
          <w:sz w:val="16"/>
        </w:rPr>
        <w:t xml:space="preserve"> economiche e sociali della società civile organizzata. La funzione consultiva del Comitato permette ai suoi membri, e quindi alle organizzazioni che essi rappresentano, di partecipare al processo decisionale dell'Unione europea.</w:t>
      </w:r>
    </w:p>
    <w:p w:rsidR="008C52CD" w:rsidRPr="00813151" w:rsidRDefault="008C52CD" w:rsidP="002D601D">
      <w:pPr>
        <w:pStyle w:val="Heading1"/>
        <w:numPr>
          <w:ilvl w:val="0"/>
          <w:numId w:val="0"/>
        </w:numPr>
        <w:spacing w:line="240" w:lineRule="auto"/>
        <w:ind w:left="360"/>
        <w:rPr>
          <w:rFonts w:ascii="Verdana" w:hAnsi="Verdana" w:cs="Arial"/>
          <w:sz w:val="18"/>
          <w:szCs w:val="18"/>
        </w:rPr>
      </w:pPr>
    </w:p>
    <w:sectPr w:rsidR="008C52CD" w:rsidRPr="00813151" w:rsidSect="005A2B31">
      <w:type w:val="continuous"/>
      <w:pgSz w:w="11907" w:h="16839" w:code="9"/>
      <w:pgMar w:top="1701" w:right="1418" w:bottom="1418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0F" w:rsidRDefault="0064580F" w:rsidP="008C52CD">
      <w:pPr>
        <w:spacing w:line="240" w:lineRule="auto"/>
      </w:pPr>
      <w:r>
        <w:separator/>
      </w:r>
    </w:p>
  </w:endnote>
  <w:endnote w:type="continuationSeparator" w:id="0">
    <w:p w:rsidR="0064580F" w:rsidRDefault="0064580F" w:rsidP="008C5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D" w:rsidRPr="008C52CD" w:rsidRDefault="008C52CD" w:rsidP="008C52CD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8C52CD" w:rsidRPr="008C52CD" w:rsidRDefault="008C52CD" w:rsidP="008C52CD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8C52CD" w:rsidRPr="008C52CD" w:rsidRDefault="008C52CD" w:rsidP="008C52CD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Fonts w:ascii="Verdana" w:hAnsi="Verdana"/>
          <w:color w:val="0000FF"/>
          <w:sz w:val="16"/>
          <w:u w:val="single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Fonts w:ascii="Verdana" w:hAnsi="Verdana"/>
          <w:color w:val="0000FF"/>
          <w:sz w:val="16"/>
          <w:u w:val="single"/>
        </w:rPr>
        <w:t>www.eesc.europa.eu</w:t>
      </w:r>
    </w:hyperlink>
  </w:p>
  <w:p w:rsidR="008C52CD" w:rsidRDefault="008C52CD" w:rsidP="005A2B31">
    <w:pPr>
      <w:spacing w:line="240" w:lineRule="auto"/>
      <w:jc w:val="center"/>
    </w:pPr>
    <w:proofErr w:type="spellStart"/>
    <w:r>
      <w:rPr>
        <w:rFonts w:ascii="Verdana" w:hAnsi="Verdana"/>
        <w:sz w:val="16"/>
      </w:rPr>
      <w:t>Follow</w:t>
    </w:r>
    <w:proofErr w:type="spellEnd"/>
    <w:r>
      <w:rPr>
        <w:rFonts w:ascii="Verdana" w:hAnsi="Verdana"/>
        <w:sz w:val="16"/>
      </w:rPr>
      <w:t xml:space="preserve"> the EESC on </w:t>
    </w:r>
    <w:r>
      <w:rPr>
        <w:noProof/>
        <w:lang w:val="en-US" w:eastAsia="en-US" w:bidi="ar-SA"/>
      </w:rPr>
      <w:drawing>
        <wp:inline distT="0" distB="0" distL="0" distR="0" wp14:anchorId="19B57436" wp14:editId="6137EAF8">
          <wp:extent cx="222885" cy="222885"/>
          <wp:effectExtent l="0" t="0" r="5715" b="5715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393E2481" wp14:editId="200B3EBC">
          <wp:extent cx="222885" cy="222885"/>
          <wp:effectExtent l="0" t="0" r="5715" b="5715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6A726BEA" wp14:editId="42A2E3FF">
          <wp:extent cx="222885" cy="222885"/>
          <wp:effectExtent l="0" t="0" r="5715" b="5715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0F" w:rsidRDefault="0064580F" w:rsidP="008C52CD">
      <w:pPr>
        <w:spacing w:line="240" w:lineRule="auto"/>
      </w:pPr>
      <w:r>
        <w:separator/>
      </w:r>
    </w:p>
  </w:footnote>
  <w:footnote w:type="continuationSeparator" w:id="0">
    <w:p w:rsidR="0064580F" w:rsidRDefault="0064580F" w:rsidP="008C5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005B47"/>
    <w:multiLevelType w:val="hybridMultilevel"/>
    <w:tmpl w:val="F2AA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7751"/>
    <w:multiLevelType w:val="hybridMultilevel"/>
    <w:tmpl w:val="546875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3410"/>
    <w:multiLevelType w:val="hybridMultilevel"/>
    <w:tmpl w:val="2C10C8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4F7F"/>
    <w:multiLevelType w:val="hybridMultilevel"/>
    <w:tmpl w:val="4B6A70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CEB"/>
    <w:multiLevelType w:val="hybridMultilevel"/>
    <w:tmpl w:val="41744B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3295"/>
    <w:multiLevelType w:val="hybridMultilevel"/>
    <w:tmpl w:val="33D863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64D33"/>
    <w:multiLevelType w:val="multilevel"/>
    <w:tmpl w:val="ADC0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E519B"/>
    <w:multiLevelType w:val="hybridMultilevel"/>
    <w:tmpl w:val="CA0E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A5923"/>
    <w:multiLevelType w:val="hybridMultilevel"/>
    <w:tmpl w:val="84007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85553"/>
    <w:rsid w:val="000260A7"/>
    <w:rsid w:val="00034E04"/>
    <w:rsid w:val="00035C36"/>
    <w:rsid w:val="00042C7A"/>
    <w:rsid w:val="00044D67"/>
    <w:rsid w:val="00054E0A"/>
    <w:rsid w:val="00063D2E"/>
    <w:rsid w:val="00066097"/>
    <w:rsid w:val="00067ADE"/>
    <w:rsid w:val="000768CA"/>
    <w:rsid w:val="00080162"/>
    <w:rsid w:val="00094DD0"/>
    <w:rsid w:val="000A4927"/>
    <w:rsid w:val="000D0037"/>
    <w:rsid w:val="000E1C7E"/>
    <w:rsid w:val="00102D01"/>
    <w:rsid w:val="00104A50"/>
    <w:rsid w:val="00110367"/>
    <w:rsid w:val="00117071"/>
    <w:rsid w:val="00125EE2"/>
    <w:rsid w:val="00130A7F"/>
    <w:rsid w:val="00131CCA"/>
    <w:rsid w:val="0013321E"/>
    <w:rsid w:val="00135101"/>
    <w:rsid w:val="001352F8"/>
    <w:rsid w:val="0014116D"/>
    <w:rsid w:val="001562B7"/>
    <w:rsid w:val="00174CE4"/>
    <w:rsid w:val="00185553"/>
    <w:rsid w:val="001912D2"/>
    <w:rsid w:val="001A0F1F"/>
    <w:rsid w:val="001A283F"/>
    <w:rsid w:val="001B3379"/>
    <w:rsid w:val="001B3CF1"/>
    <w:rsid w:val="001E295A"/>
    <w:rsid w:val="001E6C61"/>
    <w:rsid w:val="002024F7"/>
    <w:rsid w:val="00220F85"/>
    <w:rsid w:val="00235BF0"/>
    <w:rsid w:val="00236301"/>
    <w:rsid w:val="00241F4F"/>
    <w:rsid w:val="002424DA"/>
    <w:rsid w:val="00255C9D"/>
    <w:rsid w:val="00262BDC"/>
    <w:rsid w:val="00265EF0"/>
    <w:rsid w:val="002720CB"/>
    <w:rsid w:val="00283479"/>
    <w:rsid w:val="00291F80"/>
    <w:rsid w:val="00292C33"/>
    <w:rsid w:val="0029602B"/>
    <w:rsid w:val="002A32B1"/>
    <w:rsid w:val="002A72CC"/>
    <w:rsid w:val="002B75D8"/>
    <w:rsid w:val="002D601D"/>
    <w:rsid w:val="002E2DDB"/>
    <w:rsid w:val="002E3A46"/>
    <w:rsid w:val="002F0184"/>
    <w:rsid w:val="002F7016"/>
    <w:rsid w:val="00300EED"/>
    <w:rsid w:val="00305FF6"/>
    <w:rsid w:val="0032079B"/>
    <w:rsid w:val="00320E59"/>
    <w:rsid w:val="00344FD3"/>
    <w:rsid w:val="00351B4C"/>
    <w:rsid w:val="00353FA2"/>
    <w:rsid w:val="00362DF4"/>
    <w:rsid w:val="00363692"/>
    <w:rsid w:val="00372228"/>
    <w:rsid w:val="0037642A"/>
    <w:rsid w:val="003775D4"/>
    <w:rsid w:val="003776DA"/>
    <w:rsid w:val="00377FBA"/>
    <w:rsid w:val="003800DA"/>
    <w:rsid w:val="003815A5"/>
    <w:rsid w:val="003829F4"/>
    <w:rsid w:val="00386C90"/>
    <w:rsid w:val="00390A1C"/>
    <w:rsid w:val="003A1519"/>
    <w:rsid w:val="003B1487"/>
    <w:rsid w:val="003B172C"/>
    <w:rsid w:val="003B73D3"/>
    <w:rsid w:val="003D6C0F"/>
    <w:rsid w:val="003D72D8"/>
    <w:rsid w:val="003E249C"/>
    <w:rsid w:val="003F618B"/>
    <w:rsid w:val="003F7763"/>
    <w:rsid w:val="00400756"/>
    <w:rsid w:val="00405CA7"/>
    <w:rsid w:val="00422861"/>
    <w:rsid w:val="00425DE7"/>
    <w:rsid w:val="0043045D"/>
    <w:rsid w:val="00435B44"/>
    <w:rsid w:val="00446DA3"/>
    <w:rsid w:val="004573F1"/>
    <w:rsid w:val="00465807"/>
    <w:rsid w:val="004666E8"/>
    <w:rsid w:val="004746FB"/>
    <w:rsid w:val="00491FDE"/>
    <w:rsid w:val="004961CB"/>
    <w:rsid w:val="004C5A2B"/>
    <w:rsid w:val="004D14C6"/>
    <w:rsid w:val="004D487A"/>
    <w:rsid w:val="004D4D25"/>
    <w:rsid w:val="004D7DD0"/>
    <w:rsid w:val="004E1AD0"/>
    <w:rsid w:val="004F1D15"/>
    <w:rsid w:val="004F5E59"/>
    <w:rsid w:val="00513887"/>
    <w:rsid w:val="0053467A"/>
    <w:rsid w:val="005472EF"/>
    <w:rsid w:val="005508E9"/>
    <w:rsid w:val="005628C7"/>
    <w:rsid w:val="0056355E"/>
    <w:rsid w:val="00572180"/>
    <w:rsid w:val="00582ED2"/>
    <w:rsid w:val="005972A0"/>
    <w:rsid w:val="005A00B9"/>
    <w:rsid w:val="005A2B31"/>
    <w:rsid w:val="005A6A4D"/>
    <w:rsid w:val="005A79B7"/>
    <w:rsid w:val="005B500F"/>
    <w:rsid w:val="005C4F8A"/>
    <w:rsid w:val="005D06A6"/>
    <w:rsid w:val="005F17DB"/>
    <w:rsid w:val="00603C3E"/>
    <w:rsid w:val="00617993"/>
    <w:rsid w:val="006253A9"/>
    <w:rsid w:val="00634EC4"/>
    <w:rsid w:val="0064580F"/>
    <w:rsid w:val="00645A56"/>
    <w:rsid w:val="00647710"/>
    <w:rsid w:val="00650A1B"/>
    <w:rsid w:val="006534D2"/>
    <w:rsid w:val="00653F98"/>
    <w:rsid w:val="006552CF"/>
    <w:rsid w:val="006612A7"/>
    <w:rsid w:val="006674D8"/>
    <w:rsid w:val="00680DCC"/>
    <w:rsid w:val="00686BBE"/>
    <w:rsid w:val="00692B94"/>
    <w:rsid w:val="006A269D"/>
    <w:rsid w:val="006B0C86"/>
    <w:rsid w:val="006B1CA8"/>
    <w:rsid w:val="006B316A"/>
    <w:rsid w:val="006C58C6"/>
    <w:rsid w:val="006C7339"/>
    <w:rsid w:val="006C7E06"/>
    <w:rsid w:val="006D2B8F"/>
    <w:rsid w:val="006D3D5E"/>
    <w:rsid w:val="006E1BE2"/>
    <w:rsid w:val="006F020A"/>
    <w:rsid w:val="00735B1B"/>
    <w:rsid w:val="00741A7F"/>
    <w:rsid w:val="00745E3F"/>
    <w:rsid w:val="00762240"/>
    <w:rsid w:val="0076249E"/>
    <w:rsid w:val="00762D1D"/>
    <w:rsid w:val="00790C8B"/>
    <w:rsid w:val="00791D6F"/>
    <w:rsid w:val="007B44D7"/>
    <w:rsid w:val="007C1505"/>
    <w:rsid w:val="007C443E"/>
    <w:rsid w:val="007D13D3"/>
    <w:rsid w:val="007D2642"/>
    <w:rsid w:val="007E50BB"/>
    <w:rsid w:val="007E57BC"/>
    <w:rsid w:val="007E686B"/>
    <w:rsid w:val="007F0DF2"/>
    <w:rsid w:val="0081264F"/>
    <w:rsid w:val="00813151"/>
    <w:rsid w:val="008227DB"/>
    <w:rsid w:val="00826DD3"/>
    <w:rsid w:val="00852770"/>
    <w:rsid w:val="0086018F"/>
    <w:rsid w:val="008624D6"/>
    <w:rsid w:val="00872952"/>
    <w:rsid w:val="0087320C"/>
    <w:rsid w:val="00877FDB"/>
    <w:rsid w:val="00883DCE"/>
    <w:rsid w:val="008940E6"/>
    <w:rsid w:val="008B2B25"/>
    <w:rsid w:val="008C52CD"/>
    <w:rsid w:val="008C76E3"/>
    <w:rsid w:val="008D1DF8"/>
    <w:rsid w:val="008D2592"/>
    <w:rsid w:val="008D34E6"/>
    <w:rsid w:val="008D4950"/>
    <w:rsid w:val="008D7794"/>
    <w:rsid w:val="008E0B3C"/>
    <w:rsid w:val="00906C1F"/>
    <w:rsid w:val="00923D83"/>
    <w:rsid w:val="00930646"/>
    <w:rsid w:val="00930C08"/>
    <w:rsid w:val="00934B3B"/>
    <w:rsid w:val="00950009"/>
    <w:rsid w:val="00950A96"/>
    <w:rsid w:val="009618DA"/>
    <w:rsid w:val="00961F32"/>
    <w:rsid w:val="00962E04"/>
    <w:rsid w:val="009658C9"/>
    <w:rsid w:val="00970AA5"/>
    <w:rsid w:val="00971C0D"/>
    <w:rsid w:val="009865D0"/>
    <w:rsid w:val="00992450"/>
    <w:rsid w:val="009B30F1"/>
    <w:rsid w:val="009E0361"/>
    <w:rsid w:val="009E3007"/>
    <w:rsid w:val="009E5650"/>
    <w:rsid w:val="009E5F53"/>
    <w:rsid w:val="009F234A"/>
    <w:rsid w:val="009F396F"/>
    <w:rsid w:val="00A31741"/>
    <w:rsid w:val="00A644CC"/>
    <w:rsid w:val="00A677D2"/>
    <w:rsid w:val="00A916F2"/>
    <w:rsid w:val="00AA13CC"/>
    <w:rsid w:val="00AA4F76"/>
    <w:rsid w:val="00AB45AD"/>
    <w:rsid w:val="00AB5E6A"/>
    <w:rsid w:val="00AF1497"/>
    <w:rsid w:val="00B12B6C"/>
    <w:rsid w:val="00B23CAF"/>
    <w:rsid w:val="00B51618"/>
    <w:rsid w:val="00B53217"/>
    <w:rsid w:val="00B83341"/>
    <w:rsid w:val="00B841CC"/>
    <w:rsid w:val="00B87481"/>
    <w:rsid w:val="00BA1BD6"/>
    <w:rsid w:val="00BA400A"/>
    <w:rsid w:val="00BD1FB0"/>
    <w:rsid w:val="00BD2D4A"/>
    <w:rsid w:val="00BE0218"/>
    <w:rsid w:val="00BF22FC"/>
    <w:rsid w:val="00C0144F"/>
    <w:rsid w:val="00C02017"/>
    <w:rsid w:val="00C1057B"/>
    <w:rsid w:val="00C128F7"/>
    <w:rsid w:val="00C16FDB"/>
    <w:rsid w:val="00C26E20"/>
    <w:rsid w:val="00C4364E"/>
    <w:rsid w:val="00C53C24"/>
    <w:rsid w:val="00C57AA6"/>
    <w:rsid w:val="00C718E5"/>
    <w:rsid w:val="00C80326"/>
    <w:rsid w:val="00C828C5"/>
    <w:rsid w:val="00C86F3C"/>
    <w:rsid w:val="00C907F6"/>
    <w:rsid w:val="00C94C9C"/>
    <w:rsid w:val="00CB5EFA"/>
    <w:rsid w:val="00CB6894"/>
    <w:rsid w:val="00CC17AA"/>
    <w:rsid w:val="00CD3C36"/>
    <w:rsid w:val="00D0059C"/>
    <w:rsid w:val="00D028DF"/>
    <w:rsid w:val="00D07C0A"/>
    <w:rsid w:val="00D15CA0"/>
    <w:rsid w:val="00D16428"/>
    <w:rsid w:val="00D4287C"/>
    <w:rsid w:val="00D44E83"/>
    <w:rsid w:val="00D50740"/>
    <w:rsid w:val="00D514DC"/>
    <w:rsid w:val="00D61F7E"/>
    <w:rsid w:val="00D67C9A"/>
    <w:rsid w:val="00D84D03"/>
    <w:rsid w:val="00D95682"/>
    <w:rsid w:val="00DB6058"/>
    <w:rsid w:val="00DB67E4"/>
    <w:rsid w:val="00DE153D"/>
    <w:rsid w:val="00DE3F9A"/>
    <w:rsid w:val="00DE4463"/>
    <w:rsid w:val="00DE5472"/>
    <w:rsid w:val="00DF0B20"/>
    <w:rsid w:val="00DF2485"/>
    <w:rsid w:val="00DF72C4"/>
    <w:rsid w:val="00E13726"/>
    <w:rsid w:val="00E17045"/>
    <w:rsid w:val="00E35DB2"/>
    <w:rsid w:val="00E4222E"/>
    <w:rsid w:val="00E44E8D"/>
    <w:rsid w:val="00E67E8B"/>
    <w:rsid w:val="00E70ECE"/>
    <w:rsid w:val="00E812CE"/>
    <w:rsid w:val="00E819EC"/>
    <w:rsid w:val="00E83219"/>
    <w:rsid w:val="00EA4453"/>
    <w:rsid w:val="00EA6327"/>
    <w:rsid w:val="00EB1116"/>
    <w:rsid w:val="00EB1D47"/>
    <w:rsid w:val="00ED4152"/>
    <w:rsid w:val="00EF3877"/>
    <w:rsid w:val="00EF554F"/>
    <w:rsid w:val="00F04990"/>
    <w:rsid w:val="00F07009"/>
    <w:rsid w:val="00F262B3"/>
    <w:rsid w:val="00F379F1"/>
    <w:rsid w:val="00F47B1F"/>
    <w:rsid w:val="00F60C61"/>
    <w:rsid w:val="00F61E9A"/>
    <w:rsid w:val="00F623A3"/>
    <w:rsid w:val="00F65A8F"/>
    <w:rsid w:val="00F67176"/>
    <w:rsid w:val="00F76464"/>
    <w:rsid w:val="00F82E76"/>
    <w:rsid w:val="00F83FE0"/>
    <w:rsid w:val="00FA0318"/>
    <w:rsid w:val="00FB0035"/>
    <w:rsid w:val="00FB1C41"/>
    <w:rsid w:val="00FB457D"/>
    <w:rsid w:val="00FB5D83"/>
    <w:rsid w:val="00FC5D99"/>
    <w:rsid w:val="00FE3A6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85553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8555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8555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8555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8555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8555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8555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555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8555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5553"/>
    <w:rPr>
      <w:rFonts w:ascii="Times New Roman" w:eastAsia="Times New Roman" w:hAnsi="Times New Roman" w:cs="Times New Roman"/>
      <w:kern w:val="28"/>
      <w:szCs w:val="20"/>
      <w:lang w:val="it-IT"/>
    </w:rPr>
  </w:style>
  <w:style w:type="character" w:customStyle="1" w:styleId="Heading2Char">
    <w:name w:val="Heading 2 Char"/>
    <w:link w:val="Heading2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3Char">
    <w:name w:val="Heading 3 Char"/>
    <w:link w:val="Heading3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4Char">
    <w:name w:val="Heading 4 Char"/>
    <w:link w:val="Heading4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5Char">
    <w:name w:val="Heading 5 Char"/>
    <w:link w:val="Heading5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6Char">
    <w:name w:val="Heading 6 Char"/>
    <w:link w:val="Heading6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7Char">
    <w:name w:val="Heading 7 Char"/>
    <w:link w:val="Heading7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8Char">
    <w:name w:val="Heading 8 Char"/>
    <w:link w:val="Heading8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9Char">
    <w:name w:val="Heading 9 Char"/>
    <w:link w:val="Heading9"/>
    <w:rsid w:val="00185553"/>
    <w:rPr>
      <w:rFonts w:ascii="Times New Roman" w:eastAsia="Times New Roman" w:hAnsi="Times New Roman" w:cs="Times New Roman"/>
      <w:szCs w:val="20"/>
      <w:lang w:val="it-IT"/>
    </w:rPr>
  </w:style>
  <w:style w:type="paragraph" w:styleId="Footer">
    <w:name w:val="footer"/>
    <w:basedOn w:val="Normal"/>
    <w:link w:val="FooterChar"/>
    <w:rsid w:val="00185553"/>
  </w:style>
  <w:style w:type="character" w:customStyle="1" w:styleId="FooterChar">
    <w:name w:val="Footer Char"/>
    <w:link w:val="Footer"/>
    <w:rsid w:val="00185553"/>
    <w:rPr>
      <w:rFonts w:ascii="Times New Roman" w:eastAsia="Times New Roman" w:hAnsi="Times New Roman" w:cs="Times New Roman"/>
      <w:szCs w:val="20"/>
      <w:lang w:val="it-IT"/>
    </w:rPr>
  </w:style>
  <w:style w:type="paragraph" w:styleId="FootnoteText">
    <w:name w:val="footnote text"/>
    <w:basedOn w:val="Normal"/>
    <w:link w:val="FootnoteTextChar"/>
    <w:rsid w:val="00185553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185553"/>
    <w:rPr>
      <w:rFonts w:ascii="Times New Roman" w:eastAsia="Times New Roman" w:hAnsi="Times New Roman" w:cs="Times New Roman"/>
      <w:sz w:val="16"/>
      <w:szCs w:val="20"/>
      <w:lang w:val="it-IT"/>
    </w:rPr>
  </w:style>
  <w:style w:type="paragraph" w:styleId="Header">
    <w:name w:val="header"/>
    <w:basedOn w:val="Normal"/>
    <w:link w:val="HeaderChar"/>
    <w:rsid w:val="00185553"/>
  </w:style>
  <w:style w:type="character" w:customStyle="1" w:styleId="HeaderChar">
    <w:name w:val="Header Char"/>
    <w:link w:val="Header"/>
    <w:rsid w:val="00185553"/>
    <w:rPr>
      <w:rFonts w:ascii="Times New Roman" w:eastAsia="Times New Roman" w:hAnsi="Times New Roman" w:cs="Times New Roman"/>
      <w:szCs w:val="20"/>
      <w:lang w:val="it-IT"/>
    </w:rPr>
  </w:style>
  <w:style w:type="paragraph" w:customStyle="1" w:styleId="quotes">
    <w:name w:val="quotes"/>
    <w:basedOn w:val="Normal"/>
    <w:next w:val="Normal"/>
    <w:rsid w:val="00185553"/>
    <w:pPr>
      <w:ind w:left="720"/>
    </w:pPr>
    <w:rPr>
      <w:i/>
    </w:rPr>
  </w:style>
  <w:style w:type="character" w:styleId="FootnoteReference">
    <w:name w:val="footnote reference"/>
    <w:semiHidden/>
    <w:rsid w:val="00185553"/>
    <w:rPr>
      <w:sz w:val="24"/>
      <w:vertAlign w:val="superscript"/>
    </w:rPr>
  </w:style>
  <w:style w:type="character" w:customStyle="1" w:styleId="fulldate">
    <w:name w:val="fulldate"/>
    <w:rsid w:val="00185553"/>
  </w:style>
  <w:style w:type="character" w:styleId="Emphasis">
    <w:name w:val="Emphasis"/>
    <w:uiPriority w:val="20"/>
    <w:qFormat/>
    <w:rsid w:val="00185553"/>
    <w:rPr>
      <w:i/>
      <w:iCs/>
    </w:rPr>
  </w:style>
  <w:style w:type="character" w:styleId="Hyperlink">
    <w:name w:val="Hyperlink"/>
    <w:uiPriority w:val="99"/>
    <w:unhideWhenUsed/>
    <w:rsid w:val="001855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555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553"/>
    <w:rPr>
      <w:rFonts w:ascii="Tahoma" w:eastAsia="Times New Roman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E35DB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8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828C5"/>
    <w:rPr>
      <w:rFonts w:ascii="Times New Roman" w:eastAsia="Times New Roman" w:hAnsi="Times New Roman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8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8C5"/>
    <w:rPr>
      <w:rFonts w:ascii="Times New Roman" w:eastAsia="Times New Roman" w:hAnsi="Times New Roman"/>
      <w:b/>
      <w:bCs/>
      <w:lang w:eastAsia="it-IT"/>
    </w:rPr>
  </w:style>
  <w:style w:type="paragraph" w:styleId="Revision">
    <w:name w:val="Revision"/>
    <w:hidden/>
    <w:uiPriority w:val="99"/>
    <w:semiHidden/>
    <w:rsid w:val="00C828C5"/>
    <w:rPr>
      <w:rFonts w:ascii="Times New Roman" w:eastAsia="Times New Roman" w:hAnsi="Times New Roman"/>
      <w:sz w:val="22"/>
    </w:rPr>
  </w:style>
  <w:style w:type="character" w:styleId="FollowedHyperlink">
    <w:name w:val="FollowedHyperlink"/>
    <w:uiPriority w:val="99"/>
    <w:semiHidden/>
    <w:unhideWhenUsed/>
    <w:rsid w:val="00D95682"/>
    <w:rPr>
      <w:color w:val="800080"/>
      <w:u w:val="single"/>
    </w:rPr>
  </w:style>
  <w:style w:type="character" w:styleId="Strong">
    <w:name w:val="Strong"/>
    <w:uiPriority w:val="22"/>
    <w:qFormat/>
    <w:rsid w:val="00F47B1F"/>
    <w:rPr>
      <w:b/>
      <w:bCs/>
    </w:rPr>
  </w:style>
  <w:style w:type="paragraph" w:customStyle="1" w:styleId="Default">
    <w:name w:val="Default"/>
    <w:rsid w:val="00F47B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-line-32">
    <w:name w:val="header-line-32"/>
    <w:basedOn w:val="DefaultParagraphFont"/>
    <w:rsid w:val="009865D0"/>
  </w:style>
  <w:style w:type="table" w:styleId="TableGrid">
    <w:name w:val="Table Grid"/>
    <w:basedOn w:val="TableNormal"/>
    <w:uiPriority w:val="59"/>
    <w:rsid w:val="00BA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85553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8555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8555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8555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8555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8555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8555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555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8555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5553"/>
    <w:rPr>
      <w:rFonts w:ascii="Times New Roman" w:eastAsia="Times New Roman" w:hAnsi="Times New Roman" w:cs="Times New Roman"/>
      <w:kern w:val="28"/>
      <w:szCs w:val="20"/>
      <w:lang w:val="it-IT"/>
    </w:rPr>
  </w:style>
  <w:style w:type="character" w:customStyle="1" w:styleId="Heading2Char">
    <w:name w:val="Heading 2 Char"/>
    <w:link w:val="Heading2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3Char">
    <w:name w:val="Heading 3 Char"/>
    <w:link w:val="Heading3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4Char">
    <w:name w:val="Heading 4 Char"/>
    <w:link w:val="Heading4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5Char">
    <w:name w:val="Heading 5 Char"/>
    <w:link w:val="Heading5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6Char">
    <w:name w:val="Heading 6 Char"/>
    <w:link w:val="Heading6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7Char">
    <w:name w:val="Heading 7 Char"/>
    <w:link w:val="Heading7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8Char">
    <w:name w:val="Heading 8 Char"/>
    <w:link w:val="Heading8"/>
    <w:rsid w:val="00185553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9Char">
    <w:name w:val="Heading 9 Char"/>
    <w:link w:val="Heading9"/>
    <w:rsid w:val="00185553"/>
    <w:rPr>
      <w:rFonts w:ascii="Times New Roman" w:eastAsia="Times New Roman" w:hAnsi="Times New Roman" w:cs="Times New Roman"/>
      <w:szCs w:val="20"/>
      <w:lang w:val="it-IT"/>
    </w:rPr>
  </w:style>
  <w:style w:type="paragraph" w:styleId="Footer">
    <w:name w:val="footer"/>
    <w:basedOn w:val="Normal"/>
    <w:link w:val="FooterChar"/>
    <w:rsid w:val="00185553"/>
  </w:style>
  <w:style w:type="character" w:customStyle="1" w:styleId="FooterChar">
    <w:name w:val="Footer Char"/>
    <w:link w:val="Footer"/>
    <w:rsid w:val="00185553"/>
    <w:rPr>
      <w:rFonts w:ascii="Times New Roman" w:eastAsia="Times New Roman" w:hAnsi="Times New Roman" w:cs="Times New Roman"/>
      <w:szCs w:val="20"/>
      <w:lang w:val="it-IT"/>
    </w:rPr>
  </w:style>
  <w:style w:type="paragraph" w:styleId="FootnoteText">
    <w:name w:val="footnote text"/>
    <w:basedOn w:val="Normal"/>
    <w:link w:val="FootnoteTextChar"/>
    <w:rsid w:val="00185553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185553"/>
    <w:rPr>
      <w:rFonts w:ascii="Times New Roman" w:eastAsia="Times New Roman" w:hAnsi="Times New Roman" w:cs="Times New Roman"/>
      <w:sz w:val="16"/>
      <w:szCs w:val="20"/>
      <w:lang w:val="it-IT"/>
    </w:rPr>
  </w:style>
  <w:style w:type="paragraph" w:styleId="Header">
    <w:name w:val="header"/>
    <w:basedOn w:val="Normal"/>
    <w:link w:val="HeaderChar"/>
    <w:rsid w:val="00185553"/>
  </w:style>
  <w:style w:type="character" w:customStyle="1" w:styleId="HeaderChar">
    <w:name w:val="Header Char"/>
    <w:link w:val="Header"/>
    <w:rsid w:val="00185553"/>
    <w:rPr>
      <w:rFonts w:ascii="Times New Roman" w:eastAsia="Times New Roman" w:hAnsi="Times New Roman" w:cs="Times New Roman"/>
      <w:szCs w:val="20"/>
      <w:lang w:val="it-IT"/>
    </w:rPr>
  </w:style>
  <w:style w:type="paragraph" w:customStyle="1" w:styleId="quotes">
    <w:name w:val="quotes"/>
    <w:basedOn w:val="Normal"/>
    <w:next w:val="Normal"/>
    <w:rsid w:val="00185553"/>
    <w:pPr>
      <w:ind w:left="720"/>
    </w:pPr>
    <w:rPr>
      <w:i/>
    </w:rPr>
  </w:style>
  <w:style w:type="character" w:styleId="FootnoteReference">
    <w:name w:val="footnote reference"/>
    <w:semiHidden/>
    <w:rsid w:val="00185553"/>
    <w:rPr>
      <w:sz w:val="24"/>
      <w:vertAlign w:val="superscript"/>
    </w:rPr>
  </w:style>
  <w:style w:type="character" w:customStyle="1" w:styleId="fulldate">
    <w:name w:val="fulldate"/>
    <w:rsid w:val="00185553"/>
  </w:style>
  <w:style w:type="character" w:styleId="Emphasis">
    <w:name w:val="Emphasis"/>
    <w:uiPriority w:val="20"/>
    <w:qFormat/>
    <w:rsid w:val="00185553"/>
    <w:rPr>
      <w:i/>
      <w:iCs/>
    </w:rPr>
  </w:style>
  <w:style w:type="character" w:styleId="Hyperlink">
    <w:name w:val="Hyperlink"/>
    <w:uiPriority w:val="99"/>
    <w:unhideWhenUsed/>
    <w:rsid w:val="001855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555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553"/>
    <w:rPr>
      <w:rFonts w:ascii="Tahoma" w:eastAsia="Times New Roman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E35DB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8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828C5"/>
    <w:rPr>
      <w:rFonts w:ascii="Times New Roman" w:eastAsia="Times New Roman" w:hAnsi="Times New Roman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8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8C5"/>
    <w:rPr>
      <w:rFonts w:ascii="Times New Roman" w:eastAsia="Times New Roman" w:hAnsi="Times New Roman"/>
      <w:b/>
      <w:bCs/>
      <w:lang w:eastAsia="it-IT"/>
    </w:rPr>
  </w:style>
  <w:style w:type="paragraph" w:styleId="Revision">
    <w:name w:val="Revision"/>
    <w:hidden/>
    <w:uiPriority w:val="99"/>
    <w:semiHidden/>
    <w:rsid w:val="00C828C5"/>
    <w:rPr>
      <w:rFonts w:ascii="Times New Roman" w:eastAsia="Times New Roman" w:hAnsi="Times New Roman"/>
      <w:sz w:val="22"/>
    </w:rPr>
  </w:style>
  <w:style w:type="character" w:styleId="FollowedHyperlink">
    <w:name w:val="FollowedHyperlink"/>
    <w:uiPriority w:val="99"/>
    <w:semiHidden/>
    <w:unhideWhenUsed/>
    <w:rsid w:val="00D95682"/>
    <w:rPr>
      <w:color w:val="800080"/>
      <w:u w:val="single"/>
    </w:rPr>
  </w:style>
  <w:style w:type="character" w:styleId="Strong">
    <w:name w:val="Strong"/>
    <w:uiPriority w:val="22"/>
    <w:qFormat/>
    <w:rsid w:val="00F47B1F"/>
    <w:rPr>
      <w:b/>
      <w:bCs/>
    </w:rPr>
  </w:style>
  <w:style w:type="paragraph" w:customStyle="1" w:styleId="Default">
    <w:name w:val="Default"/>
    <w:rsid w:val="00F47B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-line-32">
    <w:name w:val="header-line-32"/>
    <w:basedOn w:val="DefaultParagraphFont"/>
    <w:rsid w:val="009865D0"/>
  </w:style>
  <w:style w:type="table" w:styleId="TableGrid">
    <w:name w:val="Table Grid"/>
    <w:basedOn w:val="TableNormal"/>
    <w:uiPriority w:val="59"/>
    <w:rsid w:val="00BA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1507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08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820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60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s@pka.d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ess@eesc.europa.e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3XPXQ63Y2AW3-6-783</_dlc_DocId>
    <_dlc_DocIdUrl xmlns="8835a8a4-5a07-4207-ac1e-223f88a8f7af">
      <Url>http://dm/EESC/2016/_layouts/DocIdRedir.aspx?ID=3XPXQ63Y2AW3-6-783</Url>
      <Description>3XPXQ63Y2AW3-6-783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a9d2a4e-39ed-405e-acbb-4f770495c695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2016-06-07T12:00:00+00:00</ProductionDate>
    <DocumentNumber xmlns="da9d2a4e-39ed-405e-acbb-4f770495c695">3373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TaxCatchAll xmlns="8835a8a4-5a07-4207-ac1e-223f88a8f7af">
      <Value>22</Value>
      <Value>15</Value>
      <Value>14</Value>
      <Value>10</Value>
      <Value>28</Value>
      <Value>6</Value>
      <Value>5</Value>
      <Value>4</Value>
      <Value>24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6661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B93FB867AC2554F813B7C0908F5D179" ma:contentTypeVersion="4" ma:contentTypeDescription="Defines the documents for Document Manager V2" ma:contentTypeScope="" ma:versionID="a1353f4f677d6c1fc52a4c6d392219b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a9d2a4e-39ed-405e-acbb-4f770495c695" targetNamespace="http://schemas.microsoft.com/office/2006/metadata/properties" ma:root="true" ma:fieldsID="55dda5b04b86dd51cade067c9c2770ed" ns2:_="" ns3:_="" ns4:_="">
    <xsd:import namespace="8835a8a4-5a07-4207-ac1e-223f88a8f7af"/>
    <xsd:import namespace="http://schemas.microsoft.com/sharepoint/v3/fields"/>
    <xsd:import namespace="da9d2a4e-39ed-405e-acbb-4f770495c6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2a4e-39ed-405e-acbb-4f770495c69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A14A-7BE3-4BCF-9354-49AA32139D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C4BC2A-BE59-48A8-A560-2BF21DF29065}">
  <ds:schemaRefs>
    <ds:schemaRef ds:uri="http://schemas.microsoft.com/office/2006/documentManagement/types"/>
    <ds:schemaRef ds:uri="http://purl.org/dc/elements/1.1/"/>
    <ds:schemaRef ds:uri="da9d2a4e-39ed-405e-acbb-4f770495c695"/>
    <ds:schemaRef ds:uri="http://www.w3.org/XML/1998/namespace"/>
    <ds:schemaRef ds:uri="http://schemas.microsoft.com/sharepoint/v3/field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835a8a4-5a07-4207-ac1e-223f88a8f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2A94EC-CFF1-48BC-8BD6-4E1447A09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6DCD8-BA74-4437-9475-EAD13DDB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a9d2a4e-39ed-405e-acbb-4f770495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C24394-D8AE-4DFD-96DC-88AA7B9B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42 EN TTYPE Pensioni</vt:lpstr>
    </vt:vector>
  </TitlesOfParts>
  <Company>CESE-CdR</Company>
  <LinksUpToDate>false</LinksUpToDate>
  <CharactersWithSpaces>5001</CharactersWithSpaces>
  <SharedDoc>false</SharedDoc>
  <HLinks>
    <vt:vector size="72" baseType="variant">
      <vt:variant>
        <vt:i4>2228292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http://www.eesc.europa.eu/?i=portal.en.events-and-activities-eci-day-2015-webstreaming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http://www.eesc.europa.eu/?i=portal.en.events-and-activities-eci-day-2015-registration</vt:lpwstr>
      </vt:variant>
      <vt:variant>
        <vt:lpwstr/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http://www.eesc.europa.eu/?i=portal.en.events-and-activities-eci-day-2015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4310</vt:i4>
      </vt:variant>
      <vt:variant>
        <vt:i4>1025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4533</vt:i4>
      </vt:variant>
      <vt:variant>
        <vt:i4>1026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4713</vt:i4>
      </vt:variant>
      <vt:variant>
        <vt:i4>1027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42 EN TTYPE Pensioni</dc:title>
  <dc:subject>Comunicato stampa</dc:subject>
  <dc:creator>Agata Berdys</dc:creator>
  <cp:keywords>EESC-2016-03373-00-00-CP-TRA-IT</cp:keywords>
  <dc:description>Relatore: -_x000d_
Lingua originale: EN_x000d_
Data del documento: 07/06/2016_x000d_
Data della riunione: _x000d_
Documenti esterni: -_x000d_
Funzionario responsabile: GLOUHAROVA Siana, telefono: + 2 546 9276_x000d_
_x000d_
Sintesi:</dc:description>
  <cp:lastModifiedBy>Agata Berdys</cp:lastModifiedBy>
  <cp:revision>2</cp:revision>
  <cp:lastPrinted>2015-06-10T11:26:00Z</cp:lastPrinted>
  <dcterms:created xsi:type="dcterms:W3CDTF">2016-06-08T07:06:00Z</dcterms:created>
  <dcterms:modified xsi:type="dcterms:W3CDTF">2016-06-08T07:06:00Z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06/06/2016, 23/03/2015</vt:lpwstr>
  </property>
  <property fmtid="{D5CDD505-2E9C-101B-9397-08002B2CF9AE}" pid="4" name="Pref_Time">
    <vt:lpwstr>11:14:11, 07:44:08</vt:lpwstr>
  </property>
  <property fmtid="{D5CDD505-2E9C-101B-9397-08002B2CF9AE}" pid="5" name="Pref_User">
    <vt:lpwstr>mreg, sphil</vt:lpwstr>
  </property>
  <property fmtid="{D5CDD505-2E9C-101B-9397-08002B2CF9AE}" pid="6" name="Pref_FileName">
    <vt:lpwstr>EESC-2016-03373-00-00-CP-ORI.docx, EESC-2015-01723-00-00-CP-ORI.docx</vt:lpwstr>
  </property>
  <property fmtid="{D5CDD505-2E9C-101B-9397-08002B2CF9AE}" pid="7" name="ContentTypeId">
    <vt:lpwstr>0x010100EA97B91038054C99906057A708A1480A001B93FB867AC2554F813B7C0908F5D179</vt:lpwstr>
  </property>
  <property fmtid="{D5CDD505-2E9C-101B-9397-08002B2CF9AE}" pid="8" name="_dlc_DocIdItemGuid">
    <vt:lpwstr>c9adef3d-e7db-4455-8181-30d619e40d17</vt:lpwstr>
  </property>
  <property fmtid="{D5CDD505-2E9C-101B-9397-08002B2CF9AE}" pid="9" name="AvailableTranslations">
    <vt:lpwstr>22;#DE|f6b31e5a-26fa-4935-b661-318e46daf27e;#15;#IT|0774613c-01ed-4e5d-a25d-11d2388de825;#4;#FR|d2afafd3-4c81-4f60-8f52-ee33f2f54ff3;#10;#EN|f2175f21-25d7-44a3-96da-d6a61b075e1b;#24;#PL|1e03da61-4678-4e07-b136-b5024ca9197b;#28;#ES|e7a6b05b-ae16-40c8-add9-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10;#EN|f2175f21-25d7-44a3-96da-d6a61b075e1b</vt:lpwstr>
  </property>
  <property fmtid="{D5CDD505-2E9C-101B-9397-08002B2CF9AE}" pid="14" name="MeetingName">
    <vt:lpwstr/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14;#CP|de8ad211-9e8d-408b-8324-674d21bb7d18</vt:lpwstr>
  </property>
  <property fmtid="{D5CDD505-2E9C-101B-9397-08002B2CF9AE}" pid="18" name="DocumentLanguage">
    <vt:lpwstr>15;#IT|0774613c-01ed-4e5d-a25d-11d2388de825</vt:lpwstr>
  </property>
  <property fmtid="{D5CDD505-2E9C-101B-9397-08002B2CF9AE}" pid="19" name="DocumentType_0">
    <vt:lpwstr>CP|de8ad211-9e8d-408b-8324-674d21bb7d18</vt:lpwstr>
  </property>
  <property fmtid="{D5CDD505-2E9C-101B-9397-08002B2CF9AE}" pid="20" name="DossierName_0">
    <vt:lpwstr/>
  </property>
  <property fmtid="{D5CDD505-2E9C-101B-9397-08002B2CF9AE}" pid="21" name="DocumentSource_0">
    <vt:lpwstr>EESC|422833ec-8d7e-4e65-8e4e-8bed07ffb729</vt:lpwstr>
  </property>
  <property fmtid="{D5CDD505-2E9C-101B-9397-08002B2CF9AE}" pid="22" name="FicheYear">
    <vt:i4>2016</vt:i4>
  </property>
  <property fmtid="{D5CDD505-2E9C-101B-9397-08002B2CF9AE}" pid="23" name="DocumentNumber">
    <vt:i4>3373</vt:i4>
  </property>
  <property fmtid="{D5CDD505-2E9C-101B-9397-08002B2CF9AE}" pid="24" name="DocumentVersion">
    <vt:i4>0</vt:i4>
  </property>
  <property fmtid="{D5CDD505-2E9C-101B-9397-08002B2CF9AE}" pid="25" name="DocumentPart">
    <vt:i4>0</vt:i4>
  </property>
  <property fmtid="{D5CDD505-2E9C-101B-9397-08002B2CF9AE}" pid="26" name="RequestingService">
    <vt:lpwstr>Presse</vt:lpwstr>
  </property>
  <property fmtid="{D5CDD505-2E9C-101B-9397-08002B2CF9AE}" pid="27" name="Confidentiality_0">
    <vt:lpwstr>Unrestricted|826e22d7-d029-4ec0-a450-0c28ff673572</vt:lpwstr>
  </property>
  <property fmtid="{D5CDD505-2E9C-101B-9397-08002B2CF9AE}" pid="28" name="MeetingName_0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DocumentLanguage_0">
    <vt:lpwstr>EN|f2175f21-25d7-44a3-96da-d6a61b075e1b</vt:lpwstr>
  </property>
  <property fmtid="{D5CDD505-2E9C-101B-9397-08002B2CF9AE}" pid="32" name="TaxCatchAll">
    <vt:lpwstr>14;#CP|de8ad211-9e8d-408b-8324-674d21bb7d18;#10;#EN|f2175f21-25d7-44a3-96da-d6a61b075e1b;#9;#EN|f2175f21-25d7-44a3-96da-d6a61b075e1b;#28;#ES|e7a6b05b-ae16-40c8-add9-68b64b03aeba;#6;#Final|ea5e6674-7b27-4bac-b091-73adbb394efe;#5;#Unrestricted|826e22d7-d029</vt:lpwstr>
  </property>
  <property fmtid="{D5CDD505-2E9C-101B-9397-08002B2CF9AE}" pid="33" name="AvailableTranslations_0">
    <vt:lpwstr>EN|f2175f21-25d7-44a3-96da-d6a61b075e1b;ES|e7a6b05b-ae16-40c8-add9-68b64b03aeba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6661</vt:i4>
  </property>
  <property fmtid="{D5CDD505-2E9C-101B-9397-08002B2CF9AE}" pid="36" name="DocumentYear">
    <vt:i4>2016</vt:i4>
  </property>
</Properties>
</file>