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A26F81" w:rsidRDefault="00D9250C" w:rsidP="007F385B">
      <w:pPr>
        <w:ind w:left="-993"/>
        <w:jc w:val="center"/>
      </w:pPr>
      <w:bookmarkStart w:id="0" w:name="_GoBack"/>
      <w:bookmarkEnd w:id="0"/>
      <w:r w:rsidRPr="00A54D4D">
        <w:rPr>
          <w:noProof/>
          <w:lang w:val="fr-BE" w:eastAsia="fr-BE" w:bidi="ar-SA"/>
        </w:rPr>
        <w:drawing>
          <wp:inline distT="0" distB="0" distL="0" distR="0" wp14:anchorId="3DCE3DE6" wp14:editId="2C296F02">
            <wp:extent cx="6715209" cy="1358596"/>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nouveau logo.jpg"/>
                    <pic:cNvPicPr/>
                  </pic:nvPicPr>
                  <pic:blipFill>
                    <a:blip r:embed="rId14">
                      <a:extLst>
                        <a:ext uri="{28A0092B-C50C-407E-A947-70E740481C1C}">
                          <a14:useLocalDpi xmlns:a14="http://schemas.microsoft.com/office/drawing/2010/main" val="0"/>
                        </a:ext>
                      </a:extLst>
                    </a:blip>
                    <a:stretch>
                      <a:fillRect/>
                    </a:stretch>
                  </pic:blipFill>
                  <pic:spPr>
                    <a:xfrm>
                      <a:off x="0" y="0"/>
                      <a:ext cx="6709959" cy="1357534"/>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8820BE" w:rsidRPr="00A26F81">
        <w:trPr>
          <w:cantSplit/>
        </w:trPr>
        <w:tc>
          <w:tcPr>
            <w:tcW w:w="5168" w:type="dxa"/>
          </w:tcPr>
          <w:p w:rsidR="008820BE" w:rsidRPr="00526E2D" w:rsidRDefault="00626162" w:rsidP="00626162">
            <w:pPr>
              <w:spacing w:line="240" w:lineRule="auto"/>
              <w:rPr>
                <w:rFonts w:ascii="Verdana" w:hAnsi="Verdana"/>
                <w:b/>
                <w:bCs/>
                <w:sz w:val="18"/>
                <w:szCs w:val="18"/>
              </w:rPr>
            </w:pPr>
            <w:r>
              <w:rPr>
                <w:rFonts w:ascii="Verdana" w:hAnsi="Verdana"/>
                <w:b/>
                <w:sz w:val="18"/>
              </w:rPr>
              <w:t>38/2015</w:t>
            </w:r>
          </w:p>
        </w:tc>
        <w:tc>
          <w:tcPr>
            <w:tcW w:w="4119" w:type="dxa"/>
          </w:tcPr>
          <w:p w:rsidR="008820BE" w:rsidRPr="00DE1D9B" w:rsidRDefault="00B312BB" w:rsidP="00030F80">
            <w:pPr>
              <w:spacing w:line="240" w:lineRule="auto"/>
              <w:jc w:val="right"/>
              <w:rPr>
                <w:rFonts w:ascii="Verdana" w:hAnsi="Verdana"/>
                <w:b/>
                <w:bCs/>
                <w:sz w:val="18"/>
                <w:szCs w:val="18"/>
              </w:rPr>
            </w:pPr>
            <w:r>
              <w:rPr>
                <w:rFonts w:ascii="Verdana" w:hAnsi="Verdana"/>
                <w:b/>
                <w:sz w:val="18"/>
              </w:rPr>
              <w:t>25 juin 2015</w:t>
            </w:r>
          </w:p>
        </w:tc>
      </w:tr>
    </w:tbl>
    <w:p w:rsidR="008820BE" w:rsidRPr="00140B6A" w:rsidRDefault="00C11C45" w:rsidP="00473E94">
      <w:pPr>
        <w:spacing w:line="240" w:lineRule="auto"/>
        <w:rPr>
          <w:rFonts w:ascii="Verdana" w:hAnsi="Verdana"/>
          <w:sz w:val="20"/>
        </w:rPr>
        <w:sectPr w:rsidR="008820BE" w:rsidRPr="00140B6A" w:rsidSect="002114AE">
          <w:footerReference w:type="default" r:id="rId15"/>
          <w:pgSz w:w="11907" w:h="16839" w:code="9"/>
          <w:pgMar w:top="426" w:right="708" w:bottom="1418" w:left="1418" w:header="3062" w:footer="118" w:gutter="0"/>
          <w:cols w:space="720"/>
          <w:docGrid w:linePitch="299"/>
        </w:sectPr>
      </w:pPr>
      <w:r>
        <w:rPr>
          <w:noProof/>
          <w:lang w:val="fr-BE" w:eastAsia="fr-BE" w:bidi="ar-SA"/>
        </w:rPr>
        <mc:AlternateContent>
          <mc:Choice Requires="wps">
            <w:drawing>
              <wp:anchor distT="0" distB="0" distL="114300" distR="114300" simplePos="0" relativeHeight="251657728" behindDoc="1" locked="0" layoutInCell="0" allowOverlap="1" wp14:anchorId="4C945A05" wp14:editId="724E57CB">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D9250C" w:rsidRDefault="00D9250C" w:rsidP="00473E94">
                            <w:pPr>
                              <w:jc w:val="center"/>
                              <w:rPr>
                                <w:rFonts w:ascii="Arial" w:hAnsi="Arial" w:cs="Arial"/>
                                <w:b/>
                                <w:sz w:val="48"/>
                                <w:lang w:val="fr-BE"/>
                              </w:rPr>
                            </w:pPr>
                            <w:r>
                              <w:rPr>
                                <w:rFonts w:ascii="Arial" w:hAnsi="Arial" w:cs="Arial"/>
                                <w:b/>
                                <w:sz w:val="48"/>
                                <w:lang w:val="fr-BE"/>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D9250C" w:rsidRDefault="00D9250C" w:rsidP="00473E94">
                      <w:pPr>
                        <w:jc w:val="center"/>
                        <w:rPr>
                          <w:rFonts w:ascii="Arial" w:hAnsi="Arial" w:cs="Arial"/>
                          <w:b/>
                          <w:sz w:val="48"/>
                          <w:lang w:val="fr-BE"/>
                        </w:rPr>
                      </w:pPr>
                      <w:r>
                        <w:rPr>
                          <w:rFonts w:ascii="Arial" w:hAnsi="Arial" w:cs="Arial"/>
                          <w:b/>
                          <w:sz w:val="48"/>
                          <w:lang w:val="fr-BE"/>
                        </w:rPr>
                        <w:t>FR</w:t>
                      </w:r>
                    </w:p>
                  </w:txbxContent>
                </v:textbox>
                <w10:wrap anchorx="page" anchory="page"/>
              </v:shape>
            </w:pict>
          </mc:Fallback>
        </mc:AlternateContent>
      </w:r>
    </w:p>
    <w:p w:rsidR="00B312BB" w:rsidRPr="00A26F81" w:rsidRDefault="00B312BB" w:rsidP="00A26F81">
      <w:pPr>
        <w:spacing w:line="240" w:lineRule="auto"/>
        <w:jc w:val="center"/>
        <w:rPr>
          <w:sz w:val="18"/>
        </w:rPr>
      </w:pPr>
    </w:p>
    <w:p w:rsidR="00BB28C5" w:rsidRPr="00030F80" w:rsidRDefault="00147DA8" w:rsidP="005D7C10">
      <w:pPr>
        <w:pStyle w:val="Heading1"/>
        <w:numPr>
          <w:ilvl w:val="0"/>
          <w:numId w:val="0"/>
        </w:numPr>
        <w:spacing w:line="240" w:lineRule="auto"/>
        <w:jc w:val="center"/>
        <w:rPr>
          <w:rFonts w:ascii="Verdana" w:hAnsi="Verdana"/>
          <w:b/>
          <w:color w:val="0070C0"/>
          <w:sz w:val="26"/>
          <w:szCs w:val="26"/>
        </w:rPr>
      </w:pPr>
      <w:r>
        <w:rPr>
          <w:rFonts w:ascii="Verdana" w:hAnsi="Verdana"/>
          <w:b/>
          <w:color w:val="0070C0"/>
          <w:sz w:val="26"/>
        </w:rPr>
        <w:t xml:space="preserve">Les Comités européens tirent la sonnette d'alarme </w:t>
      </w:r>
      <w:r w:rsidR="00D9250C">
        <w:rPr>
          <w:rFonts w:ascii="Verdana" w:hAnsi="Verdana"/>
          <w:b/>
          <w:color w:val="0070C0"/>
          <w:sz w:val="26"/>
        </w:rPr>
        <w:br/>
      </w:r>
      <w:r>
        <w:rPr>
          <w:rFonts w:ascii="Verdana" w:hAnsi="Verdana"/>
          <w:b/>
          <w:color w:val="0070C0"/>
          <w:sz w:val="26"/>
        </w:rPr>
        <w:t>au sujet de l’épidémie silencieuse qui touche l'Europe</w:t>
      </w:r>
    </w:p>
    <w:p w:rsidR="00BF28D1" w:rsidRPr="00A26F81" w:rsidRDefault="00147DA8" w:rsidP="005D7C10">
      <w:pPr>
        <w:pStyle w:val="Heading1"/>
        <w:numPr>
          <w:ilvl w:val="0"/>
          <w:numId w:val="0"/>
        </w:numPr>
        <w:spacing w:line="240" w:lineRule="auto"/>
        <w:jc w:val="center"/>
      </w:pPr>
      <w:r>
        <w:rPr>
          <w:rFonts w:ascii="Verdana" w:hAnsi="Verdana"/>
          <w:b/>
          <w:color w:val="0070C0"/>
        </w:rPr>
        <w:t xml:space="preserve">Il y aura deux fois plus de décès liés à l’amiante </w:t>
      </w:r>
      <w:r w:rsidR="00D9250C">
        <w:rPr>
          <w:rFonts w:ascii="Verdana" w:hAnsi="Verdana"/>
          <w:b/>
          <w:color w:val="0070C0"/>
        </w:rPr>
        <w:br/>
      </w:r>
      <w:r>
        <w:rPr>
          <w:rFonts w:ascii="Verdana" w:hAnsi="Verdana"/>
          <w:b/>
          <w:color w:val="0070C0"/>
        </w:rPr>
        <w:t>que de victimes d'accidents de la route</w:t>
      </w:r>
    </w:p>
    <w:p w:rsidR="0078258A" w:rsidRPr="00A26F81" w:rsidRDefault="0078258A" w:rsidP="0078258A"/>
    <w:p w:rsidR="00147DA8" w:rsidRDefault="00E002C1" w:rsidP="00A92B0F">
      <w:pPr>
        <w:rPr>
          <w:rFonts w:ascii="Verdana" w:hAnsi="Verdana"/>
          <w:sz w:val="18"/>
          <w:szCs w:val="18"/>
        </w:rPr>
      </w:pPr>
      <w:r>
        <w:rPr>
          <w:rFonts w:ascii="Verdana" w:hAnsi="Verdana"/>
          <w:sz w:val="18"/>
        </w:rPr>
        <w:t>Le </w:t>
      </w:r>
      <w:r>
        <w:rPr>
          <w:rFonts w:ascii="Verdana" w:hAnsi="Verdana"/>
          <w:b/>
          <w:sz w:val="18"/>
        </w:rPr>
        <w:t>24 juin 2015</w:t>
      </w:r>
      <w:r>
        <w:rPr>
          <w:rFonts w:ascii="Verdana" w:hAnsi="Verdana"/>
          <w:sz w:val="18"/>
        </w:rPr>
        <w:t xml:space="preserve">, le Comité économique et social européen (CESE) et le Comité des régions (CdR) ont écouté les témoignages alarmants de plusieurs grands experts européens de l’amiante. Qu'il s'agisse d’un logement social ou du palais royal, toutes les habitations et tous les citoyens sont concernés. Durant la conférence, un expert a exposé des chiffres qui seront publiés prochainement. Le </w:t>
      </w:r>
      <w:r>
        <w:rPr>
          <w:rFonts w:ascii="Verdana" w:hAnsi="Verdana"/>
          <w:b/>
          <w:sz w:val="18"/>
        </w:rPr>
        <w:t>nombre total de décès en Europe est estimé à 47 000 par an</w:t>
      </w:r>
      <w:r>
        <w:rPr>
          <w:rFonts w:ascii="Verdana" w:hAnsi="Verdana"/>
          <w:sz w:val="18"/>
        </w:rPr>
        <w:t>, ce qui représente 50 % de plus qu'on ne le pensait et le double des décès dus aux accidents de la route. Les élèves et les enseignants, les bricoleurs et le personnel d’entretien font partie des nouveaux groupes à risque et viennent s'ajouter à la longue liste de travailleurs et de particuliers qui sont de plus en plus menacés par les bâtiments contaminés par l’amiante dans toute l'Europe.</w:t>
      </w:r>
    </w:p>
    <w:p w:rsidR="00147DA8" w:rsidRDefault="00147DA8" w:rsidP="00A92B0F">
      <w:pPr>
        <w:rPr>
          <w:rFonts w:ascii="Verdana" w:hAnsi="Verdana"/>
          <w:sz w:val="18"/>
          <w:szCs w:val="18"/>
        </w:rPr>
      </w:pPr>
    </w:p>
    <w:p w:rsidR="007E3931" w:rsidRDefault="001F1A11" w:rsidP="00A92B0F">
      <w:pPr>
        <w:rPr>
          <w:rFonts w:ascii="Verdana" w:hAnsi="Verdana"/>
          <w:sz w:val="18"/>
          <w:szCs w:val="18"/>
        </w:rPr>
      </w:pPr>
      <w:r>
        <w:rPr>
          <w:rFonts w:ascii="Verdana" w:hAnsi="Verdana"/>
          <w:sz w:val="18"/>
        </w:rPr>
        <w:t xml:space="preserve">En dépit de son interdiction en 2005, l'amiante reste présent dans de nombreux endroits: navires, trains, machines, tunnels et conduites des réseaux publics et privés de distribution d’eau. L’amiante a été largement utilisé dans les bâtiments construits entre 1961 et 1990. Les millions de tonnes d'amiante qu'ils contiennent encore mettent en danger non seulement les travailleurs du bâtiment et le personnel d’entretien, mais potentiellement toute personne présente ou occupant les immeubles concernés. Dans les plus grands États membres, les programmes de désamiantage pourraient coûter jusqu’à </w:t>
      </w:r>
      <w:r>
        <w:rPr>
          <w:rFonts w:ascii="Verdana" w:hAnsi="Verdana"/>
          <w:b/>
          <w:sz w:val="18"/>
        </w:rPr>
        <w:t>10 à 15 milliards d’euros par pays</w:t>
      </w:r>
      <w:r>
        <w:rPr>
          <w:rFonts w:ascii="Verdana" w:hAnsi="Verdana"/>
          <w:sz w:val="18"/>
        </w:rPr>
        <w:t>, ce qui équivaut, aux prix actuels, au coût de la construction d’un tunnel sous la manche pour chacun d'entre eux. À l'échelle du seul Royaume-Uni, plus de 80 % des écoles contiennent toujours de l’amiante. Il est également alarmant de voir croître le risque auquel les consommateurs sont exposés, que ce soit lorsqu'ils bricolent ou face à des produits de consommation courante contaminés par l'amiante, tels que des récipients thermos, qui passent à travers le filet des contrôles de surveillance du marché de l’UE.</w:t>
      </w:r>
    </w:p>
    <w:p w:rsidR="00180AC2" w:rsidRDefault="00180AC2" w:rsidP="00A92B0F">
      <w:pPr>
        <w:rPr>
          <w:rFonts w:ascii="Verdana" w:hAnsi="Verdana"/>
          <w:sz w:val="18"/>
          <w:szCs w:val="18"/>
        </w:rPr>
      </w:pPr>
    </w:p>
    <w:p w:rsidR="006C71C4" w:rsidRPr="006C71C4" w:rsidRDefault="00CC79D4" w:rsidP="006C71C4">
      <w:pPr>
        <w:rPr>
          <w:rFonts w:ascii="Verdana" w:hAnsi="Verdana"/>
          <w:sz w:val="18"/>
          <w:szCs w:val="18"/>
        </w:rPr>
      </w:pPr>
      <w:r>
        <w:rPr>
          <w:rFonts w:ascii="Verdana" w:hAnsi="Verdana"/>
          <w:sz w:val="18"/>
        </w:rPr>
        <w:t>Selon le corapporteur du CESE sur l'amiante, M. Enrico GIBELLIERI, «les États membres et les institutions européennes doivent agir dès maintenant afin de contrecarrer cette crise de santé publique émergente. Des plans d’action nationaux doivent être mis en œuvre et la réaction de la Commission européenne à ce risque majeur pour la santé publique devrait constituer une de ses priorités dans tous les domaines stratégiques. Tout cela concerne un public bien plus vaste que les travailleurs des usines, qui étaient traditionnellement exposés. Notre inquiétude s'étend désormais aux enfants dans les écoles, aux personnel des hôpitaux et des bâtiments publics, ainsi qu'à toute personne vivant dans une maison; presque tout le monde est donc concerné.»</w:t>
      </w:r>
    </w:p>
    <w:p w:rsidR="006C71C4" w:rsidRDefault="006C71C4" w:rsidP="006C71C4">
      <w:pPr>
        <w:rPr>
          <w:rFonts w:ascii="Verdana" w:hAnsi="Verdana"/>
          <w:sz w:val="18"/>
          <w:szCs w:val="18"/>
        </w:rPr>
      </w:pPr>
    </w:p>
    <w:p w:rsidR="00084640" w:rsidRDefault="00084640" w:rsidP="00084640">
      <w:pPr>
        <w:rPr>
          <w:rFonts w:ascii="Verdana" w:hAnsi="Verdana"/>
          <w:sz w:val="18"/>
          <w:szCs w:val="18"/>
        </w:rPr>
      </w:pPr>
      <w:r>
        <w:rPr>
          <w:rFonts w:ascii="Verdana" w:hAnsi="Verdana"/>
          <w:sz w:val="18"/>
        </w:rPr>
        <w:t>La conférence «</w:t>
      </w:r>
      <w:hyperlink r:id="rId16">
        <w:r>
          <w:rPr>
            <w:rStyle w:val="Hyperlink"/>
            <w:rFonts w:ascii="Verdana" w:hAnsi="Verdana"/>
            <w:sz w:val="18"/>
          </w:rPr>
          <w:t>Désamianter l'Europe en toute sécurité</w:t>
        </w:r>
      </w:hyperlink>
      <w:r>
        <w:rPr>
          <w:rFonts w:ascii="Verdana" w:hAnsi="Verdana"/>
          <w:sz w:val="18"/>
        </w:rPr>
        <w:t>» constituait une action de suivi de l'</w:t>
      </w:r>
      <w:hyperlink r:id="rId17">
        <w:r>
          <w:rPr>
            <w:rStyle w:val="Hyperlink"/>
            <w:rFonts w:ascii="Verdana" w:hAnsi="Verdana"/>
            <w:sz w:val="18"/>
          </w:rPr>
          <w:t>avis du CESE sur l'amiante</w:t>
        </w:r>
      </w:hyperlink>
      <w:r>
        <w:rPr>
          <w:rFonts w:ascii="Verdana" w:hAnsi="Verdana"/>
          <w:sz w:val="18"/>
        </w:rPr>
        <w:t>, publié au mois de février. Celui-ci invite instamment la Commission européenne et les États membres à suivre l’exemple de certains États membres, qui ont mis en place des registres publics répertoriant les bâtiments contenant de l’amiante et ont élaboré des plans d'action pour désamianter en toute sécurité. Le Comité a également prié la Commission européenne de saisir cette occasion pour lier son programme de désamiantage en toute sécurité à son programme sur la rénovation d’immeubles à des fins d'efficacité énergétique.</w:t>
      </w:r>
    </w:p>
    <w:p w:rsidR="00205F8A" w:rsidRDefault="00205F8A" w:rsidP="00084640">
      <w:pPr>
        <w:rPr>
          <w:rFonts w:ascii="Verdana" w:hAnsi="Verdana"/>
          <w:sz w:val="18"/>
          <w:szCs w:val="18"/>
        </w:rPr>
      </w:pPr>
    </w:p>
    <w:p w:rsidR="00205F8A" w:rsidRPr="00B312BB" w:rsidRDefault="00205F8A" w:rsidP="00084640">
      <w:pPr>
        <w:rPr>
          <w:rFonts w:ascii="Verdana" w:hAnsi="Verdana"/>
          <w:sz w:val="18"/>
          <w:szCs w:val="18"/>
        </w:rPr>
      </w:pPr>
      <w:r>
        <w:rPr>
          <w:rFonts w:ascii="Verdana" w:hAnsi="Verdana"/>
          <w:sz w:val="18"/>
        </w:rPr>
        <w:lastRenderedPageBreak/>
        <w:t>La Commission européenne et les États membres devraient aussi améliorer la surveillance du marché pour ce qui est de l'importation de produits contenant de l’amiante dans l’UE.</w:t>
      </w:r>
    </w:p>
    <w:p w:rsidR="00084640" w:rsidRPr="00B312BB" w:rsidRDefault="00084640" w:rsidP="00084640">
      <w:pPr>
        <w:rPr>
          <w:rFonts w:ascii="Verdana" w:hAnsi="Verdana"/>
          <w:sz w:val="18"/>
          <w:szCs w:val="18"/>
        </w:rPr>
      </w:pPr>
    </w:p>
    <w:p w:rsidR="006C71C4" w:rsidRPr="00030F80" w:rsidRDefault="00030F80" w:rsidP="006C71C4">
      <w:pPr>
        <w:rPr>
          <w:rFonts w:ascii="Verdana" w:hAnsi="Verdana"/>
          <w:sz w:val="18"/>
          <w:szCs w:val="18"/>
        </w:rPr>
      </w:pPr>
      <w:r>
        <w:rPr>
          <w:rFonts w:ascii="Verdana" w:hAnsi="Verdana"/>
          <w:sz w:val="18"/>
        </w:rPr>
        <w:t>M</w:t>
      </w:r>
      <w:r>
        <w:rPr>
          <w:rFonts w:ascii="Verdana" w:hAnsi="Verdana"/>
          <w:sz w:val="18"/>
          <w:vertAlign w:val="superscript"/>
        </w:rPr>
        <w:t>me</w:t>
      </w:r>
      <w:r>
        <w:rPr>
          <w:rFonts w:ascii="Verdana" w:hAnsi="Verdana"/>
          <w:sz w:val="18"/>
        </w:rPr>
        <w:t> Yoomi RENSTRÖM, présidente de la commission de la politique sociale du CdR, a lancé un appel en vue de la révision du cadre législatif actuel de l’UE et a plaidé pour que les différents niveaux de gouvernance cessent de se renvoyer la balle. «Les collectivités régionales et locales ont un rôle essentiel à jouer dans la mise en œuvre de mesures visant à relever les défis liés à l’amiante, mais il convient de leur fournir des ressources adéquates pour y parvenir», a-t-elle conclu.</w:t>
      </w:r>
    </w:p>
    <w:p w:rsidR="00B312BB" w:rsidRPr="00030F80" w:rsidRDefault="00B312BB" w:rsidP="006C71C4">
      <w:pPr>
        <w:rPr>
          <w:rFonts w:ascii="Verdana" w:hAnsi="Verdana"/>
          <w:sz w:val="18"/>
          <w:szCs w:val="18"/>
        </w:rPr>
      </w:pPr>
    </w:p>
    <w:p w:rsidR="006C71C4" w:rsidRPr="00030F80" w:rsidRDefault="006C71C4" w:rsidP="006C71C4">
      <w:pPr>
        <w:rPr>
          <w:rFonts w:ascii="Verdana" w:hAnsi="Verdana"/>
          <w:sz w:val="18"/>
          <w:szCs w:val="18"/>
        </w:rPr>
      </w:pPr>
      <w:r>
        <w:rPr>
          <w:rFonts w:ascii="Verdana" w:hAnsi="Verdana"/>
          <w:sz w:val="18"/>
        </w:rPr>
        <w:t xml:space="preserve">M. Mauro D’ATTIS, rapporteur du CdR sur le cadre stratégique de l'Union européenne en matière de santé et de sécurité au travail pour la période 2014-2020, a déploré le fait que le désamiantage ne figure pas dans les priorités de l’agenda politique de l’UE, et a souligné le manque de volonté politique d'aborder un problème qui tue des milliers de personnes chaque année. «Nous avons besoin d’une analyse rigoureuse des risques existants et d'un modèle efficace pour recenser la présence d’amiante dans les bâtiments», a-t-il encore souligné. </w:t>
      </w:r>
    </w:p>
    <w:p w:rsidR="00166A1B" w:rsidRPr="00B312BB" w:rsidRDefault="00166A1B" w:rsidP="00BE2F9F">
      <w:pPr>
        <w:rPr>
          <w:rFonts w:ascii="Verdana" w:hAnsi="Verdana"/>
          <w:sz w:val="18"/>
          <w:szCs w:val="18"/>
        </w:rPr>
      </w:pPr>
    </w:p>
    <w:p w:rsidR="00EC29DD" w:rsidRPr="00B31D91" w:rsidRDefault="00EC29DD" w:rsidP="00A26F81">
      <w:pPr>
        <w:rPr>
          <w:rFonts w:ascii="Verdana" w:hAnsi="Verdana"/>
          <w:sz w:val="18"/>
          <w:szCs w:val="18"/>
        </w:rPr>
      </w:pPr>
    </w:p>
    <w:p w:rsidR="00B33867" w:rsidRPr="00A26F81" w:rsidRDefault="00030F80" w:rsidP="00030F80">
      <w:pPr>
        <w:jc w:val="center"/>
        <w:rPr>
          <w:sz w:val="17"/>
          <w:szCs w:val="17"/>
        </w:rPr>
      </w:pPr>
      <w:r>
        <w:rPr>
          <w:rFonts w:ascii="Verdana" w:hAnsi="Verdana"/>
          <w:b/>
          <w:sz w:val="17"/>
        </w:rPr>
        <w:t>Pour de plus amples informations, veuillez contacter:</w:t>
      </w:r>
    </w:p>
    <w:p w:rsidR="00B33867" w:rsidRPr="00831D12" w:rsidRDefault="00B33867" w:rsidP="00822FAC">
      <w:pPr>
        <w:spacing w:line="240" w:lineRule="auto"/>
        <w:jc w:val="center"/>
        <w:rPr>
          <w:rFonts w:ascii="Verdana" w:eastAsia="PMingLiU" w:hAnsi="Verdana"/>
          <w:sz w:val="17"/>
          <w:szCs w:val="17"/>
        </w:rPr>
      </w:pPr>
      <w:r>
        <w:rPr>
          <w:rFonts w:ascii="Verdana" w:hAnsi="Verdana"/>
          <w:sz w:val="17"/>
        </w:rPr>
        <w:t>Chef de l'unité «Presse» du CESE</w:t>
      </w:r>
    </w:p>
    <w:p w:rsidR="009A39D1" w:rsidRDefault="004527B9" w:rsidP="00822FAC">
      <w:pPr>
        <w:spacing w:line="240" w:lineRule="auto"/>
        <w:jc w:val="center"/>
        <w:rPr>
          <w:rFonts w:ascii="Verdana" w:eastAsia="PMingLiU" w:hAnsi="Verdana"/>
          <w:sz w:val="17"/>
          <w:szCs w:val="17"/>
        </w:rPr>
      </w:pPr>
      <w:hyperlink r:id="rId18">
        <w:r w:rsidR="007A385A">
          <w:rPr>
            <w:rStyle w:val="Hyperlink"/>
            <w:rFonts w:ascii="Verdana" w:hAnsi="Verdana"/>
            <w:sz w:val="17"/>
          </w:rPr>
          <w:t>Alun.Jones@eesc.europa.eu</w:t>
        </w:r>
      </w:hyperlink>
    </w:p>
    <w:p w:rsidR="002C5CBB" w:rsidRDefault="00822FAC" w:rsidP="00822FAC">
      <w:pPr>
        <w:spacing w:line="240" w:lineRule="auto"/>
        <w:jc w:val="center"/>
        <w:rPr>
          <w:rFonts w:ascii="Verdana" w:hAnsi="Verdana"/>
          <w:sz w:val="16"/>
          <w:szCs w:val="16"/>
        </w:rPr>
      </w:pPr>
      <w:r>
        <w:rPr>
          <w:rFonts w:ascii="Verdana" w:hAnsi="Verdana"/>
          <w:sz w:val="16"/>
        </w:rPr>
        <w:t>Téléphone +32 25468641 / Mobile + +32 (0)473524532</w:t>
      </w:r>
    </w:p>
    <w:p w:rsidR="00926867" w:rsidRPr="00DF4F75" w:rsidRDefault="00926867" w:rsidP="00822FAC">
      <w:pPr>
        <w:spacing w:line="240" w:lineRule="auto"/>
        <w:jc w:val="center"/>
        <w:rPr>
          <w:rFonts w:ascii="Verdana" w:eastAsia="PMingLiU" w:hAnsi="Verdana"/>
          <w:sz w:val="16"/>
          <w:szCs w:val="16"/>
        </w:rPr>
      </w:pPr>
    </w:p>
    <w:p w:rsidR="00CE439D" w:rsidRPr="00140B6A"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CE439D" w:rsidRPr="00140B6A" w:rsidRDefault="00CE439D" w:rsidP="00473E94">
      <w:pPr>
        <w:rPr>
          <w:rFonts w:ascii="Verdana" w:hAnsi="Verdana"/>
          <w:i/>
          <w:sz w:val="14"/>
        </w:rPr>
      </w:pPr>
      <w:r>
        <w:rPr>
          <w:rFonts w:ascii="Verdana" w:hAnsi="Verdana"/>
          <w:i/>
          <w:sz w:val="14"/>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353 membres venus de l’Europe entière, qui sont nommés par le Conseil.</w:t>
      </w:r>
    </w:p>
    <w:p w:rsidR="00CE439D" w:rsidRPr="00140B6A"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sectPr w:rsidR="00CE439D" w:rsidRPr="00140B6A"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2B" w:rsidRDefault="00C97E2B">
      <w:r>
        <w:separator/>
      </w:r>
    </w:p>
  </w:endnote>
  <w:endnote w:type="continuationSeparator" w:id="0">
    <w:p w:rsidR="00C97E2B" w:rsidRDefault="00C9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Pr="00473E94" w:rsidRDefault="009A39D1" w:rsidP="009A39D1">
    <w:pPr>
      <w:spacing w:line="240" w:lineRule="auto"/>
      <w:jc w:val="center"/>
      <w:rPr>
        <w:rFonts w:ascii="Verdana" w:hAnsi="Verdana"/>
        <w:sz w:val="16"/>
      </w:rPr>
    </w:pPr>
    <w:r>
      <w:rPr>
        <w:rFonts w:ascii="Verdana" w:hAnsi="Verdana"/>
        <w:sz w:val="16"/>
      </w:rPr>
      <w:t>Rue Belliard 99 – 1040 Bruxelles – BELGIQUE</w:t>
    </w:r>
  </w:p>
  <w:p w:rsidR="009A39D1" w:rsidRPr="00473E94" w:rsidRDefault="009A39D1" w:rsidP="009A39D1">
    <w:pPr>
      <w:spacing w:line="240" w:lineRule="auto"/>
      <w:jc w:val="center"/>
      <w:rPr>
        <w:rFonts w:ascii="Verdana" w:hAnsi="Verdana"/>
        <w:sz w:val="16"/>
      </w:rPr>
    </w:pPr>
    <w:r>
      <w:rPr>
        <w:rFonts w:ascii="Verdana" w:hAnsi="Verdana"/>
        <w:sz w:val="16"/>
      </w:rPr>
      <w:t>Tél. +32 2 546 8893 – Fax +32 25469764</w:t>
    </w:r>
  </w:p>
  <w:p w:rsidR="009A39D1" w:rsidRPr="00473E94" w:rsidRDefault="009A39D1" w:rsidP="009A39D1">
    <w:pPr>
      <w:spacing w:line="240" w:lineRule="auto"/>
      <w:jc w:val="center"/>
      <w:rPr>
        <w:rFonts w:ascii="Verdana" w:hAnsi="Verdana"/>
        <w:sz w:val="16"/>
      </w:rPr>
    </w:pPr>
    <w:r>
      <w:rPr>
        <w:rFonts w:ascii="Verdana" w:hAnsi="Verdana"/>
        <w:sz w:val="16"/>
      </w:rPr>
      <w:t xml:space="preserve">Courriel: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9A39D1" w:rsidP="009A39D1">
    <w:pPr>
      <w:spacing w:line="240" w:lineRule="auto"/>
      <w:jc w:val="center"/>
    </w:pPr>
    <w:r>
      <w:rPr>
        <w:rFonts w:ascii="Verdana" w:hAnsi="Verdana"/>
        <w:sz w:val="16"/>
      </w:rPr>
      <w:t xml:space="preserve">Suivez le CESE sur </w:t>
    </w:r>
    <w:r>
      <w:rPr>
        <w:noProof/>
        <w:lang w:val="fr-BE" w:eastAsia="fr-BE" w:bidi="ar-SA"/>
      </w:rPr>
      <w:drawing>
        <wp:inline distT="0" distB="0" distL="0" distR="0" wp14:anchorId="045A84AE" wp14:editId="1FA0A7BB">
          <wp:extent cx="222885" cy="222885"/>
          <wp:effectExtent l="0" t="0" r="5715" b="5715"/>
          <wp:docPr id="3" name="Picture 3"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714F8453" wp14:editId="12946ABA">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62CF1DBC" wp14:editId="3EB4B008">
          <wp:extent cx="222885" cy="222885"/>
          <wp:effectExtent l="0" t="0" r="5715" b="5715"/>
          <wp:docPr id="1" name="Picture 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2B" w:rsidRDefault="00C97E2B">
      <w:r>
        <w:separator/>
      </w:r>
    </w:p>
  </w:footnote>
  <w:footnote w:type="continuationSeparator" w:id="0">
    <w:p w:rsidR="00C97E2B" w:rsidRDefault="00C97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0718A8"/>
    <w:multiLevelType w:val="hybridMultilevel"/>
    <w:tmpl w:val="38602B6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C583BDA"/>
    <w:multiLevelType w:val="hybridMultilevel"/>
    <w:tmpl w:val="8ED86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7D5113D"/>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7"/>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76"/>
    <w:rsid w:val="00004156"/>
    <w:rsid w:val="000043FE"/>
    <w:rsid w:val="00030F80"/>
    <w:rsid w:val="00032159"/>
    <w:rsid w:val="0003364B"/>
    <w:rsid w:val="0003423E"/>
    <w:rsid w:val="00034390"/>
    <w:rsid w:val="00034652"/>
    <w:rsid w:val="00034AD4"/>
    <w:rsid w:val="0004647E"/>
    <w:rsid w:val="0004715C"/>
    <w:rsid w:val="000473BE"/>
    <w:rsid w:val="00052678"/>
    <w:rsid w:val="00055185"/>
    <w:rsid w:val="000562D5"/>
    <w:rsid w:val="00060A4A"/>
    <w:rsid w:val="00064EF7"/>
    <w:rsid w:val="00064F28"/>
    <w:rsid w:val="00066E4E"/>
    <w:rsid w:val="000679E5"/>
    <w:rsid w:val="00067F21"/>
    <w:rsid w:val="00070AF6"/>
    <w:rsid w:val="00071FC9"/>
    <w:rsid w:val="00077FE9"/>
    <w:rsid w:val="000828DD"/>
    <w:rsid w:val="00084640"/>
    <w:rsid w:val="00084AD6"/>
    <w:rsid w:val="00086050"/>
    <w:rsid w:val="00095AC9"/>
    <w:rsid w:val="000A270E"/>
    <w:rsid w:val="000C37E9"/>
    <w:rsid w:val="000C41B9"/>
    <w:rsid w:val="000C5167"/>
    <w:rsid w:val="000D4888"/>
    <w:rsid w:val="000D5B36"/>
    <w:rsid w:val="000F56F6"/>
    <w:rsid w:val="00104DFA"/>
    <w:rsid w:val="0013137C"/>
    <w:rsid w:val="00134081"/>
    <w:rsid w:val="001354C0"/>
    <w:rsid w:val="00140B6A"/>
    <w:rsid w:val="00142677"/>
    <w:rsid w:val="00147DA8"/>
    <w:rsid w:val="00150E62"/>
    <w:rsid w:val="00152265"/>
    <w:rsid w:val="00161E2C"/>
    <w:rsid w:val="00166961"/>
    <w:rsid w:val="00166A1B"/>
    <w:rsid w:val="001719C4"/>
    <w:rsid w:val="00172098"/>
    <w:rsid w:val="00175643"/>
    <w:rsid w:val="00175E42"/>
    <w:rsid w:val="00180AC2"/>
    <w:rsid w:val="0018118E"/>
    <w:rsid w:val="00184FF0"/>
    <w:rsid w:val="0018613F"/>
    <w:rsid w:val="001B2F05"/>
    <w:rsid w:val="001B5975"/>
    <w:rsid w:val="001B7A26"/>
    <w:rsid w:val="001C0AA9"/>
    <w:rsid w:val="001C2966"/>
    <w:rsid w:val="001E0762"/>
    <w:rsid w:val="001F1A11"/>
    <w:rsid w:val="0020436C"/>
    <w:rsid w:val="00205F8A"/>
    <w:rsid w:val="002114AE"/>
    <w:rsid w:val="00212EED"/>
    <w:rsid w:val="00216D93"/>
    <w:rsid w:val="0022628B"/>
    <w:rsid w:val="00227A31"/>
    <w:rsid w:val="002309D3"/>
    <w:rsid w:val="002319DA"/>
    <w:rsid w:val="00237665"/>
    <w:rsid w:val="00237F19"/>
    <w:rsid w:val="00244B53"/>
    <w:rsid w:val="0024520B"/>
    <w:rsid w:val="002562CD"/>
    <w:rsid w:val="002734F3"/>
    <w:rsid w:val="0027409F"/>
    <w:rsid w:val="00283BAD"/>
    <w:rsid w:val="00292755"/>
    <w:rsid w:val="002A1518"/>
    <w:rsid w:val="002A2433"/>
    <w:rsid w:val="002A36B3"/>
    <w:rsid w:val="002A69FE"/>
    <w:rsid w:val="002B04A8"/>
    <w:rsid w:val="002B6234"/>
    <w:rsid w:val="002C1239"/>
    <w:rsid w:val="002C5CBB"/>
    <w:rsid w:val="002D08ED"/>
    <w:rsid w:val="002D6898"/>
    <w:rsid w:val="002D7A8C"/>
    <w:rsid w:val="002E14FC"/>
    <w:rsid w:val="002E1924"/>
    <w:rsid w:val="002E1E2D"/>
    <w:rsid w:val="002E2C95"/>
    <w:rsid w:val="002F0473"/>
    <w:rsid w:val="002F3534"/>
    <w:rsid w:val="002F7233"/>
    <w:rsid w:val="00304E7A"/>
    <w:rsid w:val="00307240"/>
    <w:rsid w:val="003148CD"/>
    <w:rsid w:val="003327CC"/>
    <w:rsid w:val="003332F2"/>
    <w:rsid w:val="00337F0A"/>
    <w:rsid w:val="00342735"/>
    <w:rsid w:val="00343CA3"/>
    <w:rsid w:val="00344C0C"/>
    <w:rsid w:val="00353890"/>
    <w:rsid w:val="00364ED2"/>
    <w:rsid w:val="00365D48"/>
    <w:rsid w:val="00372A4C"/>
    <w:rsid w:val="00374C88"/>
    <w:rsid w:val="00376637"/>
    <w:rsid w:val="00386F1F"/>
    <w:rsid w:val="00392CB8"/>
    <w:rsid w:val="00392EC8"/>
    <w:rsid w:val="00394D81"/>
    <w:rsid w:val="003A16DD"/>
    <w:rsid w:val="003A5E4C"/>
    <w:rsid w:val="003B62F4"/>
    <w:rsid w:val="003B714A"/>
    <w:rsid w:val="003C2EDA"/>
    <w:rsid w:val="003C36B6"/>
    <w:rsid w:val="003C7BF9"/>
    <w:rsid w:val="003D2255"/>
    <w:rsid w:val="003D5620"/>
    <w:rsid w:val="003E123E"/>
    <w:rsid w:val="003F008D"/>
    <w:rsid w:val="003F5C5E"/>
    <w:rsid w:val="004045AC"/>
    <w:rsid w:val="00415811"/>
    <w:rsid w:val="004161B8"/>
    <w:rsid w:val="004258C4"/>
    <w:rsid w:val="00430A45"/>
    <w:rsid w:val="004443A5"/>
    <w:rsid w:val="004527B9"/>
    <w:rsid w:val="0045424F"/>
    <w:rsid w:val="004605FD"/>
    <w:rsid w:val="00470B59"/>
    <w:rsid w:val="00473E94"/>
    <w:rsid w:val="00492D0F"/>
    <w:rsid w:val="00494BBC"/>
    <w:rsid w:val="004C44EE"/>
    <w:rsid w:val="004D47BD"/>
    <w:rsid w:val="004E09D6"/>
    <w:rsid w:val="004E0E3E"/>
    <w:rsid w:val="004E1858"/>
    <w:rsid w:val="004E7EFF"/>
    <w:rsid w:val="004F3E26"/>
    <w:rsid w:val="004F4806"/>
    <w:rsid w:val="0050638B"/>
    <w:rsid w:val="005070FA"/>
    <w:rsid w:val="00512038"/>
    <w:rsid w:val="005130D0"/>
    <w:rsid w:val="00521032"/>
    <w:rsid w:val="00525606"/>
    <w:rsid w:val="005269FE"/>
    <w:rsid w:val="00526E2D"/>
    <w:rsid w:val="00526F2E"/>
    <w:rsid w:val="005270ED"/>
    <w:rsid w:val="0055255F"/>
    <w:rsid w:val="0055294F"/>
    <w:rsid w:val="00553B5B"/>
    <w:rsid w:val="005549A1"/>
    <w:rsid w:val="00556CD0"/>
    <w:rsid w:val="0056215A"/>
    <w:rsid w:val="005658B4"/>
    <w:rsid w:val="00575DF5"/>
    <w:rsid w:val="00577238"/>
    <w:rsid w:val="005803ED"/>
    <w:rsid w:val="00581B74"/>
    <w:rsid w:val="00594C5F"/>
    <w:rsid w:val="00594DCC"/>
    <w:rsid w:val="005A7673"/>
    <w:rsid w:val="005B203C"/>
    <w:rsid w:val="005B3342"/>
    <w:rsid w:val="005B53B3"/>
    <w:rsid w:val="005B7E11"/>
    <w:rsid w:val="005C08F4"/>
    <w:rsid w:val="005C0DE6"/>
    <w:rsid w:val="005C149F"/>
    <w:rsid w:val="005C27AB"/>
    <w:rsid w:val="005C27F1"/>
    <w:rsid w:val="005C46DB"/>
    <w:rsid w:val="005C56E6"/>
    <w:rsid w:val="005D1C0D"/>
    <w:rsid w:val="005D7B1E"/>
    <w:rsid w:val="005D7C10"/>
    <w:rsid w:val="005E1BBF"/>
    <w:rsid w:val="005F42C5"/>
    <w:rsid w:val="006033AA"/>
    <w:rsid w:val="00604FB8"/>
    <w:rsid w:val="0060771D"/>
    <w:rsid w:val="006143C2"/>
    <w:rsid w:val="006148A6"/>
    <w:rsid w:val="0061576C"/>
    <w:rsid w:val="006171F3"/>
    <w:rsid w:val="00620EDD"/>
    <w:rsid w:val="006217AF"/>
    <w:rsid w:val="00626162"/>
    <w:rsid w:val="00626C38"/>
    <w:rsid w:val="00627902"/>
    <w:rsid w:val="00633130"/>
    <w:rsid w:val="006371D8"/>
    <w:rsid w:val="00643B6D"/>
    <w:rsid w:val="00647E74"/>
    <w:rsid w:val="00662EE3"/>
    <w:rsid w:val="00663F9C"/>
    <w:rsid w:val="00664630"/>
    <w:rsid w:val="00686EC2"/>
    <w:rsid w:val="006947F1"/>
    <w:rsid w:val="006A24AC"/>
    <w:rsid w:val="006A7CB6"/>
    <w:rsid w:val="006C07A6"/>
    <w:rsid w:val="006C15A4"/>
    <w:rsid w:val="006C71C4"/>
    <w:rsid w:val="006D6889"/>
    <w:rsid w:val="006D7674"/>
    <w:rsid w:val="006E089C"/>
    <w:rsid w:val="006E1765"/>
    <w:rsid w:val="006E40E3"/>
    <w:rsid w:val="006F3247"/>
    <w:rsid w:val="0071010B"/>
    <w:rsid w:val="00712EA3"/>
    <w:rsid w:val="00714F5F"/>
    <w:rsid w:val="0071574E"/>
    <w:rsid w:val="0071617F"/>
    <w:rsid w:val="00720425"/>
    <w:rsid w:val="00725FEE"/>
    <w:rsid w:val="00726590"/>
    <w:rsid w:val="00727D9F"/>
    <w:rsid w:val="00731EE8"/>
    <w:rsid w:val="00734330"/>
    <w:rsid w:val="00740E27"/>
    <w:rsid w:val="0075747C"/>
    <w:rsid w:val="007672BE"/>
    <w:rsid w:val="007766DE"/>
    <w:rsid w:val="0078258A"/>
    <w:rsid w:val="007856E2"/>
    <w:rsid w:val="00790C12"/>
    <w:rsid w:val="0079480D"/>
    <w:rsid w:val="0079639D"/>
    <w:rsid w:val="007965B7"/>
    <w:rsid w:val="007A0DA3"/>
    <w:rsid w:val="007A1010"/>
    <w:rsid w:val="007A28F9"/>
    <w:rsid w:val="007A385A"/>
    <w:rsid w:val="007A5486"/>
    <w:rsid w:val="007B245C"/>
    <w:rsid w:val="007B43A9"/>
    <w:rsid w:val="007C1DDE"/>
    <w:rsid w:val="007D708F"/>
    <w:rsid w:val="007E3931"/>
    <w:rsid w:val="007E645B"/>
    <w:rsid w:val="007F0D33"/>
    <w:rsid w:val="007F36B6"/>
    <w:rsid w:val="007F385B"/>
    <w:rsid w:val="007F647B"/>
    <w:rsid w:val="00800E01"/>
    <w:rsid w:val="00804624"/>
    <w:rsid w:val="00811FCE"/>
    <w:rsid w:val="00814120"/>
    <w:rsid w:val="00822FAC"/>
    <w:rsid w:val="00825E10"/>
    <w:rsid w:val="00827EF3"/>
    <w:rsid w:val="00831D12"/>
    <w:rsid w:val="008331BA"/>
    <w:rsid w:val="0085464F"/>
    <w:rsid w:val="00862C04"/>
    <w:rsid w:val="00871E57"/>
    <w:rsid w:val="0087205A"/>
    <w:rsid w:val="00881C3F"/>
    <w:rsid w:val="008820BE"/>
    <w:rsid w:val="008865FE"/>
    <w:rsid w:val="008A1882"/>
    <w:rsid w:val="008A7BC8"/>
    <w:rsid w:val="008C3D7F"/>
    <w:rsid w:val="008C573E"/>
    <w:rsid w:val="008C6814"/>
    <w:rsid w:val="008C6FE4"/>
    <w:rsid w:val="008E5B09"/>
    <w:rsid w:val="008F5332"/>
    <w:rsid w:val="00906BBF"/>
    <w:rsid w:val="0091006B"/>
    <w:rsid w:val="00910EE7"/>
    <w:rsid w:val="009243BD"/>
    <w:rsid w:val="00926867"/>
    <w:rsid w:val="00927D51"/>
    <w:rsid w:val="00946066"/>
    <w:rsid w:val="009507B5"/>
    <w:rsid w:val="009533B3"/>
    <w:rsid w:val="00961216"/>
    <w:rsid w:val="0096658E"/>
    <w:rsid w:val="009879A7"/>
    <w:rsid w:val="00990350"/>
    <w:rsid w:val="00996D8C"/>
    <w:rsid w:val="009A0D29"/>
    <w:rsid w:val="009A348E"/>
    <w:rsid w:val="009A39D1"/>
    <w:rsid w:val="009B00D5"/>
    <w:rsid w:val="009C2FCF"/>
    <w:rsid w:val="009D3988"/>
    <w:rsid w:val="009D663A"/>
    <w:rsid w:val="009D7B61"/>
    <w:rsid w:val="009E095D"/>
    <w:rsid w:val="009E6DD9"/>
    <w:rsid w:val="009F5812"/>
    <w:rsid w:val="00A022FA"/>
    <w:rsid w:val="00A14889"/>
    <w:rsid w:val="00A21AF7"/>
    <w:rsid w:val="00A26F81"/>
    <w:rsid w:val="00A432DA"/>
    <w:rsid w:val="00A463F8"/>
    <w:rsid w:val="00A51A6E"/>
    <w:rsid w:val="00A618B2"/>
    <w:rsid w:val="00A64892"/>
    <w:rsid w:val="00A801B4"/>
    <w:rsid w:val="00A9124D"/>
    <w:rsid w:val="00A92B0F"/>
    <w:rsid w:val="00A94C10"/>
    <w:rsid w:val="00AA0C32"/>
    <w:rsid w:val="00AA4F6C"/>
    <w:rsid w:val="00AA61D9"/>
    <w:rsid w:val="00AB4558"/>
    <w:rsid w:val="00AB730B"/>
    <w:rsid w:val="00AD57AA"/>
    <w:rsid w:val="00AE0FC8"/>
    <w:rsid w:val="00AF2692"/>
    <w:rsid w:val="00B03F1A"/>
    <w:rsid w:val="00B05B15"/>
    <w:rsid w:val="00B068AD"/>
    <w:rsid w:val="00B07C1D"/>
    <w:rsid w:val="00B14944"/>
    <w:rsid w:val="00B172A0"/>
    <w:rsid w:val="00B239E2"/>
    <w:rsid w:val="00B312BB"/>
    <w:rsid w:val="00B31D91"/>
    <w:rsid w:val="00B33636"/>
    <w:rsid w:val="00B33867"/>
    <w:rsid w:val="00B403EA"/>
    <w:rsid w:val="00B43F58"/>
    <w:rsid w:val="00B70056"/>
    <w:rsid w:val="00B71203"/>
    <w:rsid w:val="00B738CE"/>
    <w:rsid w:val="00B84595"/>
    <w:rsid w:val="00B87414"/>
    <w:rsid w:val="00B9349D"/>
    <w:rsid w:val="00B96D77"/>
    <w:rsid w:val="00B96EB7"/>
    <w:rsid w:val="00B97CC4"/>
    <w:rsid w:val="00BB28C5"/>
    <w:rsid w:val="00BB36F5"/>
    <w:rsid w:val="00BB6DD6"/>
    <w:rsid w:val="00BC1747"/>
    <w:rsid w:val="00BC60C2"/>
    <w:rsid w:val="00BD0F6F"/>
    <w:rsid w:val="00BD7EC8"/>
    <w:rsid w:val="00BE00EB"/>
    <w:rsid w:val="00BE1AD1"/>
    <w:rsid w:val="00BE1DAF"/>
    <w:rsid w:val="00BE2F9F"/>
    <w:rsid w:val="00BF28D1"/>
    <w:rsid w:val="00BF3CA8"/>
    <w:rsid w:val="00BF71B5"/>
    <w:rsid w:val="00C02F23"/>
    <w:rsid w:val="00C11C45"/>
    <w:rsid w:val="00C12A8E"/>
    <w:rsid w:val="00C1542B"/>
    <w:rsid w:val="00C17B20"/>
    <w:rsid w:val="00C26392"/>
    <w:rsid w:val="00C36609"/>
    <w:rsid w:val="00C3679D"/>
    <w:rsid w:val="00C40941"/>
    <w:rsid w:val="00C62601"/>
    <w:rsid w:val="00C6467C"/>
    <w:rsid w:val="00C7275C"/>
    <w:rsid w:val="00C92538"/>
    <w:rsid w:val="00C93E1D"/>
    <w:rsid w:val="00C9778F"/>
    <w:rsid w:val="00C97D1B"/>
    <w:rsid w:val="00C97E2B"/>
    <w:rsid w:val="00CA087C"/>
    <w:rsid w:val="00CA268B"/>
    <w:rsid w:val="00CA54F3"/>
    <w:rsid w:val="00CB38B5"/>
    <w:rsid w:val="00CB3AEC"/>
    <w:rsid w:val="00CB5993"/>
    <w:rsid w:val="00CC2EEE"/>
    <w:rsid w:val="00CC51C7"/>
    <w:rsid w:val="00CC79D4"/>
    <w:rsid w:val="00CD0945"/>
    <w:rsid w:val="00CD4BFE"/>
    <w:rsid w:val="00CE31D1"/>
    <w:rsid w:val="00CE439D"/>
    <w:rsid w:val="00CE63E4"/>
    <w:rsid w:val="00CF3A7A"/>
    <w:rsid w:val="00D000D0"/>
    <w:rsid w:val="00D007C4"/>
    <w:rsid w:val="00D04716"/>
    <w:rsid w:val="00D12BAF"/>
    <w:rsid w:val="00D15E24"/>
    <w:rsid w:val="00D1634B"/>
    <w:rsid w:val="00D23EEA"/>
    <w:rsid w:val="00D33066"/>
    <w:rsid w:val="00D514E8"/>
    <w:rsid w:val="00D5598B"/>
    <w:rsid w:val="00D6198E"/>
    <w:rsid w:val="00D72DD1"/>
    <w:rsid w:val="00D73916"/>
    <w:rsid w:val="00D756D2"/>
    <w:rsid w:val="00D9250C"/>
    <w:rsid w:val="00D93A6F"/>
    <w:rsid w:val="00D96543"/>
    <w:rsid w:val="00D97D8E"/>
    <w:rsid w:val="00DA396F"/>
    <w:rsid w:val="00DA66DF"/>
    <w:rsid w:val="00DA7ACD"/>
    <w:rsid w:val="00DC5ECF"/>
    <w:rsid w:val="00DC66B3"/>
    <w:rsid w:val="00DE1D9B"/>
    <w:rsid w:val="00DE35A2"/>
    <w:rsid w:val="00DE521C"/>
    <w:rsid w:val="00DF4F75"/>
    <w:rsid w:val="00E002C1"/>
    <w:rsid w:val="00E214F5"/>
    <w:rsid w:val="00E32EC6"/>
    <w:rsid w:val="00E33B7A"/>
    <w:rsid w:val="00E376FE"/>
    <w:rsid w:val="00E41410"/>
    <w:rsid w:val="00E45E63"/>
    <w:rsid w:val="00E6207A"/>
    <w:rsid w:val="00E90904"/>
    <w:rsid w:val="00E90C65"/>
    <w:rsid w:val="00EC04FE"/>
    <w:rsid w:val="00EC051A"/>
    <w:rsid w:val="00EC29DD"/>
    <w:rsid w:val="00EC68D3"/>
    <w:rsid w:val="00EE684E"/>
    <w:rsid w:val="00F00B46"/>
    <w:rsid w:val="00F02081"/>
    <w:rsid w:val="00F1469B"/>
    <w:rsid w:val="00F46718"/>
    <w:rsid w:val="00F5199C"/>
    <w:rsid w:val="00F534F3"/>
    <w:rsid w:val="00F54B43"/>
    <w:rsid w:val="00F61167"/>
    <w:rsid w:val="00F707E8"/>
    <w:rsid w:val="00F73208"/>
    <w:rsid w:val="00F80546"/>
    <w:rsid w:val="00F91B6D"/>
    <w:rsid w:val="00F92628"/>
    <w:rsid w:val="00FA08F0"/>
    <w:rsid w:val="00FA33EE"/>
    <w:rsid w:val="00FB4C23"/>
    <w:rsid w:val="00FC0453"/>
    <w:rsid w:val="00FD4CA8"/>
    <w:rsid w:val="00FD7050"/>
    <w:rsid w:val="00FE09A1"/>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F81"/>
    <w:pPr>
      <w:spacing w:line="288" w:lineRule="auto"/>
      <w:jc w:val="both"/>
    </w:pPr>
    <w:rPr>
      <w:sz w:val="22"/>
      <w:szCs w:val="22"/>
    </w:rPr>
  </w:style>
  <w:style w:type="paragraph" w:styleId="Heading1">
    <w:name w:val="heading 1"/>
    <w:basedOn w:val="Normal"/>
    <w:next w:val="Normal"/>
    <w:link w:val="Heading1Char"/>
    <w:qFormat/>
    <w:rsid w:val="00A26F81"/>
    <w:pPr>
      <w:numPr>
        <w:numId w:val="1"/>
      </w:numPr>
      <w:ind w:left="720" w:hanging="720"/>
      <w:outlineLvl w:val="0"/>
    </w:pPr>
    <w:rPr>
      <w:kern w:val="28"/>
    </w:rPr>
  </w:style>
  <w:style w:type="paragraph" w:styleId="Heading2">
    <w:name w:val="heading 2"/>
    <w:basedOn w:val="Normal"/>
    <w:next w:val="Normal"/>
    <w:qFormat/>
    <w:rsid w:val="00A26F81"/>
    <w:pPr>
      <w:numPr>
        <w:ilvl w:val="1"/>
        <w:numId w:val="1"/>
      </w:numPr>
      <w:ind w:left="720" w:hanging="720"/>
      <w:outlineLvl w:val="1"/>
    </w:pPr>
  </w:style>
  <w:style w:type="paragraph" w:styleId="Heading3">
    <w:name w:val="heading 3"/>
    <w:basedOn w:val="Normal"/>
    <w:next w:val="Normal"/>
    <w:qFormat/>
    <w:rsid w:val="00A26F81"/>
    <w:pPr>
      <w:numPr>
        <w:ilvl w:val="2"/>
        <w:numId w:val="1"/>
      </w:numPr>
      <w:ind w:left="720" w:hanging="720"/>
      <w:outlineLvl w:val="2"/>
    </w:pPr>
  </w:style>
  <w:style w:type="paragraph" w:styleId="Heading4">
    <w:name w:val="heading 4"/>
    <w:basedOn w:val="Normal"/>
    <w:next w:val="Normal"/>
    <w:qFormat/>
    <w:rsid w:val="00A26F81"/>
    <w:pPr>
      <w:numPr>
        <w:ilvl w:val="3"/>
        <w:numId w:val="1"/>
      </w:numPr>
      <w:ind w:left="720" w:hanging="720"/>
      <w:outlineLvl w:val="3"/>
    </w:pPr>
  </w:style>
  <w:style w:type="paragraph" w:styleId="Heading5">
    <w:name w:val="heading 5"/>
    <w:basedOn w:val="Normal"/>
    <w:next w:val="Normal"/>
    <w:qFormat/>
    <w:rsid w:val="00A26F81"/>
    <w:pPr>
      <w:numPr>
        <w:ilvl w:val="4"/>
        <w:numId w:val="1"/>
      </w:numPr>
      <w:ind w:left="720" w:hanging="720"/>
      <w:outlineLvl w:val="4"/>
    </w:pPr>
  </w:style>
  <w:style w:type="paragraph" w:styleId="Heading6">
    <w:name w:val="heading 6"/>
    <w:basedOn w:val="Normal"/>
    <w:next w:val="Normal"/>
    <w:qFormat/>
    <w:rsid w:val="00A26F81"/>
    <w:pPr>
      <w:numPr>
        <w:ilvl w:val="5"/>
        <w:numId w:val="1"/>
      </w:numPr>
      <w:ind w:left="720" w:hanging="720"/>
      <w:outlineLvl w:val="5"/>
    </w:pPr>
  </w:style>
  <w:style w:type="paragraph" w:styleId="Heading7">
    <w:name w:val="heading 7"/>
    <w:basedOn w:val="Normal"/>
    <w:next w:val="Normal"/>
    <w:qFormat/>
    <w:rsid w:val="00A26F81"/>
    <w:pPr>
      <w:numPr>
        <w:ilvl w:val="6"/>
        <w:numId w:val="1"/>
      </w:numPr>
      <w:ind w:left="720" w:hanging="720"/>
      <w:outlineLvl w:val="6"/>
    </w:pPr>
  </w:style>
  <w:style w:type="paragraph" w:styleId="Heading8">
    <w:name w:val="heading 8"/>
    <w:basedOn w:val="Normal"/>
    <w:next w:val="Normal"/>
    <w:qFormat/>
    <w:rsid w:val="00A26F81"/>
    <w:pPr>
      <w:numPr>
        <w:ilvl w:val="7"/>
        <w:numId w:val="1"/>
      </w:numPr>
      <w:ind w:left="720" w:hanging="720"/>
      <w:outlineLvl w:val="7"/>
    </w:pPr>
  </w:style>
  <w:style w:type="paragraph" w:styleId="Heading9">
    <w:name w:val="heading 9"/>
    <w:basedOn w:val="Normal"/>
    <w:next w:val="Normal"/>
    <w:qFormat/>
    <w:rsid w:val="00A26F8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26F81"/>
  </w:style>
  <w:style w:type="paragraph" w:styleId="FootnoteText">
    <w:name w:val="footnote text"/>
    <w:basedOn w:val="Normal"/>
    <w:qFormat/>
    <w:rsid w:val="00A26F81"/>
    <w:pPr>
      <w:keepLines/>
      <w:spacing w:after="60" w:line="240" w:lineRule="auto"/>
      <w:ind w:left="720" w:hanging="720"/>
    </w:pPr>
    <w:rPr>
      <w:sz w:val="16"/>
    </w:rPr>
  </w:style>
  <w:style w:type="paragraph" w:styleId="Header">
    <w:name w:val="header"/>
    <w:basedOn w:val="Normal"/>
    <w:qFormat/>
    <w:rsid w:val="00A26F81"/>
  </w:style>
  <w:style w:type="character" w:styleId="FootnoteReference">
    <w:name w:val="footnote reference"/>
    <w:basedOn w:val="DefaultParagraphFont"/>
    <w:unhideWhenUsed/>
    <w:qFormat/>
    <w:rsid w:val="00A26F81"/>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eading1Char">
    <w:name w:val="Heading 1 Char"/>
    <w:link w:val="Heading1"/>
    <w:rsid w:val="00A92B0F"/>
    <w:rPr>
      <w:kern w:val="28"/>
      <w:sz w:val="22"/>
      <w:szCs w:val="22"/>
      <w:lang w:val="fr-FR" w:eastAsia="fr-FR"/>
    </w:rPr>
  </w:style>
  <w:style w:type="character" w:customStyle="1" w:styleId="FooterChar">
    <w:name w:val="Footer Char"/>
    <w:basedOn w:val="DefaultParagraphFont"/>
    <w:link w:val="Footer"/>
    <w:rsid w:val="00B312BB"/>
    <w:rPr>
      <w:sz w:val="22"/>
      <w:szCs w:val="22"/>
      <w:lang w:val="fr-FR" w:eastAsia="fr-FR"/>
    </w:rPr>
  </w:style>
  <w:style w:type="paragraph" w:customStyle="1" w:styleId="quotes">
    <w:name w:val="quotes"/>
    <w:basedOn w:val="Normal"/>
    <w:next w:val="Normal"/>
    <w:rsid w:val="00A26F81"/>
    <w:pPr>
      <w:ind w:left="720"/>
    </w:pPr>
    <w:rPr>
      <w:i/>
    </w:rPr>
  </w:style>
  <w:style w:type="paragraph" w:styleId="BalloonText">
    <w:name w:val="Balloon Text"/>
    <w:basedOn w:val="Normal"/>
    <w:link w:val="BalloonTextChar"/>
    <w:rsid w:val="005A76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A7673"/>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F81"/>
    <w:pPr>
      <w:spacing w:line="288" w:lineRule="auto"/>
      <w:jc w:val="both"/>
    </w:pPr>
    <w:rPr>
      <w:sz w:val="22"/>
      <w:szCs w:val="22"/>
    </w:rPr>
  </w:style>
  <w:style w:type="paragraph" w:styleId="Heading1">
    <w:name w:val="heading 1"/>
    <w:basedOn w:val="Normal"/>
    <w:next w:val="Normal"/>
    <w:link w:val="Heading1Char"/>
    <w:qFormat/>
    <w:rsid w:val="00A26F81"/>
    <w:pPr>
      <w:numPr>
        <w:numId w:val="1"/>
      </w:numPr>
      <w:ind w:left="720" w:hanging="720"/>
      <w:outlineLvl w:val="0"/>
    </w:pPr>
    <w:rPr>
      <w:kern w:val="28"/>
    </w:rPr>
  </w:style>
  <w:style w:type="paragraph" w:styleId="Heading2">
    <w:name w:val="heading 2"/>
    <w:basedOn w:val="Normal"/>
    <w:next w:val="Normal"/>
    <w:qFormat/>
    <w:rsid w:val="00A26F81"/>
    <w:pPr>
      <w:numPr>
        <w:ilvl w:val="1"/>
        <w:numId w:val="1"/>
      </w:numPr>
      <w:ind w:left="720" w:hanging="720"/>
      <w:outlineLvl w:val="1"/>
    </w:pPr>
  </w:style>
  <w:style w:type="paragraph" w:styleId="Heading3">
    <w:name w:val="heading 3"/>
    <w:basedOn w:val="Normal"/>
    <w:next w:val="Normal"/>
    <w:qFormat/>
    <w:rsid w:val="00A26F81"/>
    <w:pPr>
      <w:numPr>
        <w:ilvl w:val="2"/>
        <w:numId w:val="1"/>
      </w:numPr>
      <w:ind w:left="720" w:hanging="720"/>
      <w:outlineLvl w:val="2"/>
    </w:pPr>
  </w:style>
  <w:style w:type="paragraph" w:styleId="Heading4">
    <w:name w:val="heading 4"/>
    <w:basedOn w:val="Normal"/>
    <w:next w:val="Normal"/>
    <w:qFormat/>
    <w:rsid w:val="00A26F81"/>
    <w:pPr>
      <w:numPr>
        <w:ilvl w:val="3"/>
        <w:numId w:val="1"/>
      </w:numPr>
      <w:ind w:left="720" w:hanging="720"/>
      <w:outlineLvl w:val="3"/>
    </w:pPr>
  </w:style>
  <w:style w:type="paragraph" w:styleId="Heading5">
    <w:name w:val="heading 5"/>
    <w:basedOn w:val="Normal"/>
    <w:next w:val="Normal"/>
    <w:qFormat/>
    <w:rsid w:val="00A26F81"/>
    <w:pPr>
      <w:numPr>
        <w:ilvl w:val="4"/>
        <w:numId w:val="1"/>
      </w:numPr>
      <w:ind w:left="720" w:hanging="720"/>
      <w:outlineLvl w:val="4"/>
    </w:pPr>
  </w:style>
  <w:style w:type="paragraph" w:styleId="Heading6">
    <w:name w:val="heading 6"/>
    <w:basedOn w:val="Normal"/>
    <w:next w:val="Normal"/>
    <w:qFormat/>
    <w:rsid w:val="00A26F81"/>
    <w:pPr>
      <w:numPr>
        <w:ilvl w:val="5"/>
        <w:numId w:val="1"/>
      </w:numPr>
      <w:ind w:left="720" w:hanging="720"/>
      <w:outlineLvl w:val="5"/>
    </w:pPr>
  </w:style>
  <w:style w:type="paragraph" w:styleId="Heading7">
    <w:name w:val="heading 7"/>
    <w:basedOn w:val="Normal"/>
    <w:next w:val="Normal"/>
    <w:qFormat/>
    <w:rsid w:val="00A26F81"/>
    <w:pPr>
      <w:numPr>
        <w:ilvl w:val="6"/>
        <w:numId w:val="1"/>
      </w:numPr>
      <w:ind w:left="720" w:hanging="720"/>
      <w:outlineLvl w:val="6"/>
    </w:pPr>
  </w:style>
  <w:style w:type="paragraph" w:styleId="Heading8">
    <w:name w:val="heading 8"/>
    <w:basedOn w:val="Normal"/>
    <w:next w:val="Normal"/>
    <w:qFormat/>
    <w:rsid w:val="00A26F81"/>
    <w:pPr>
      <w:numPr>
        <w:ilvl w:val="7"/>
        <w:numId w:val="1"/>
      </w:numPr>
      <w:ind w:left="720" w:hanging="720"/>
      <w:outlineLvl w:val="7"/>
    </w:pPr>
  </w:style>
  <w:style w:type="paragraph" w:styleId="Heading9">
    <w:name w:val="heading 9"/>
    <w:basedOn w:val="Normal"/>
    <w:next w:val="Normal"/>
    <w:qFormat/>
    <w:rsid w:val="00A26F8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26F81"/>
  </w:style>
  <w:style w:type="paragraph" w:styleId="FootnoteText">
    <w:name w:val="footnote text"/>
    <w:basedOn w:val="Normal"/>
    <w:qFormat/>
    <w:rsid w:val="00A26F81"/>
    <w:pPr>
      <w:keepLines/>
      <w:spacing w:after="60" w:line="240" w:lineRule="auto"/>
      <w:ind w:left="720" w:hanging="720"/>
    </w:pPr>
    <w:rPr>
      <w:sz w:val="16"/>
    </w:rPr>
  </w:style>
  <w:style w:type="paragraph" w:styleId="Header">
    <w:name w:val="header"/>
    <w:basedOn w:val="Normal"/>
    <w:qFormat/>
    <w:rsid w:val="00A26F81"/>
  </w:style>
  <w:style w:type="character" w:styleId="FootnoteReference">
    <w:name w:val="footnote reference"/>
    <w:basedOn w:val="DefaultParagraphFont"/>
    <w:unhideWhenUsed/>
    <w:qFormat/>
    <w:rsid w:val="00A26F81"/>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eading1Char">
    <w:name w:val="Heading 1 Char"/>
    <w:link w:val="Heading1"/>
    <w:rsid w:val="00A92B0F"/>
    <w:rPr>
      <w:kern w:val="28"/>
      <w:sz w:val="22"/>
      <w:szCs w:val="22"/>
      <w:lang w:val="fr-FR" w:eastAsia="fr-FR"/>
    </w:rPr>
  </w:style>
  <w:style w:type="character" w:customStyle="1" w:styleId="FooterChar">
    <w:name w:val="Footer Char"/>
    <w:basedOn w:val="DefaultParagraphFont"/>
    <w:link w:val="Footer"/>
    <w:rsid w:val="00B312BB"/>
    <w:rPr>
      <w:sz w:val="22"/>
      <w:szCs w:val="22"/>
      <w:lang w:val="fr-FR" w:eastAsia="fr-FR"/>
    </w:rPr>
  </w:style>
  <w:style w:type="paragraph" w:customStyle="1" w:styleId="quotes">
    <w:name w:val="quotes"/>
    <w:basedOn w:val="Normal"/>
    <w:next w:val="Normal"/>
    <w:rsid w:val="00A26F81"/>
    <w:pPr>
      <w:ind w:left="720"/>
    </w:pPr>
    <w:rPr>
      <w:i/>
    </w:rPr>
  </w:style>
  <w:style w:type="paragraph" w:styleId="BalloonText">
    <w:name w:val="Balloon Text"/>
    <w:basedOn w:val="Normal"/>
    <w:link w:val="BalloonTextChar"/>
    <w:rsid w:val="005A76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A7673"/>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37910386">
      <w:bodyDiv w:val="1"/>
      <w:marLeft w:val="0"/>
      <w:marRight w:val="0"/>
      <w:marTop w:val="0"/>
      <w:marBottom w:val="0"/>
      <w:divBdr>
        <w:top w:val="none" w:sz="0" w:space="0" w:color="auto"/>
        <w:left w:val="none" w:sz="0" w:space="0" w:color="auto"/>
        <w:bottom w:val="none" w:sz="0" w:space="0" w:color="auto"/>
        <w:right w:val="none" w:sz="0" w:space="0" w:color="auto"/>
      </w:divBdr>
    </w:div>
    <w:div w:id="29360595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7161880">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1001853677">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689442">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25136464">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2171777">
      <w:bodyDiv w:val="1"/>
      <w:marLeft w:val="0"/>
      <w:marRight w:val="0"/>
      <w:marTop w:val="0"/>
      <w:marBottom w:val="0"/>
      <w:divBdr>
        <w:top w:val="none" w:sz="0" w:space="0" w:color="auto"/>
        <w:left w:val="none" w:sz="0" w:space="0" w:color="auto"/>
        <w:bottom w:val="none" w:sz="0" w:space="0" w:color="auto"/>
        <w:right w:val="none" w:sz="0" w:space="0" w:color="auto"/>
      </w:divBdr>
      <w:divsChild>
        <w:div w:id="533813614">
          <w:marLeft w:val="0"/>
          <w:marRight w:val="0"/>
          <w:marTop w:val="0"/>
          <w:marBottom w:val="0"/>
          <w:divBdr>
            <w:top w:val="none" w:sz="0" w:space="0" w:color="auto"/>
            <w:left w:val="none" w:sz="0" w:space="0" w:color="auto"/>
            <w:bottom w:val="none" w:sz="0" w:space="0" w:color="auto"/>
            <w:right w:val="none" w:sz="0" w:space="0" w:color="auto"/>
          </w:divBdr>
          <w:divsChild>
            <w:div w:id="1868133632">
              <w:marLeft w:val="0"/>
              <w:marRight w:val="0"/>
              <w:marTop w:val="0"/>
              <w:marBottom w:val="0"/>
              <w:divBdr>
                <w:top w:val="none" w:sz="0" w:space="0" w:color="auto"/>
                <w:left w:val="none" w:sz="0" w:space="0" w:color="auto"/>
                <w:bottom w:val="none" w:sz="0" w:space="0" w:color="auto"/>
                <w:right w:val="none" w:sz="0" w:space="0" w:color="auto"/>
              </w:divBdr>
              <w:divsChild>
                <w:div w:id="668289092">
                  <w:marLeft w:val="0"/>
                  <w:marRight w:val="0"/>
                  <w:marTop w:val="0"/>
                  <w:marBottom w:val="0"/>
                  <w:divBdr>
                    <w:top w:val="none" w:sz="0" w:space="0" w:color="auto"/>
                    <w:left w:val="none" w:sz="0" w:space="0" w:color="auto"/>
                    <w:bottom w:val="none" w:sz="0" w:space="0" w:color="auto"/>
                    <w:right w:val="none" w:sz="0" w:space="0" w:color="auto"/>
                  </w:divBdr>
                  <w:divsChild>
                    <w:div w:id="1792631863">
                      <w:marLeft w:val="0"/>
                      <w:marRight w:val="0"/>
                      <w:marTop w:val="0"/>
                      <w:marBottom w:val="0"/>
                      <w:divBdr>
                        <w:top w:val="none" w:sz="0" w:space="0" w:color="auto"/>
                        <w:left w:val="none" w:sz="0" w:space="0" w:color="auto"/>
                        <w:bottom w:val="none" w:sz="0" w:space="0" w:color="auto"/>
                        <w:right w:val="none" w:sz="0" w:space="0" w:color="auto"/>
                      </w:divBdr>
                      <w:divsChild>
                        <w:div w:id="257564567">
                          <w:marLeft w:val="0"/>
                          <w:marRight w:val="0"/>
                          <w:marTop w:val="0"/>
                          <w:marBottom w:val="0"/>
                          <w:divBdr>
                            <w:top w:val="none" w:sz="0" w:space="0" w:color="auto"/>
                            <w:left w:val="none" w:sz="0" w:space="0" w:color="auto"/>
                            <w:bottom w:val="none" w:sz="0" w:space="0" w:color="auto"/>
                            <w:right w:val="none" w:sz="0" w:space="0" w:color="auto"/>
                          </w:divBdr>
                          <w:divsChild>
                            <w:div w:id="288122464">
                              <w:marLeft w:val="0"/>
                              <w:marRight w:val="0"/>
                              <w:marTop w:val="0"/>
                              <w:marBottom w:val="0"/>
                              <w:divBdr>
                                <w:top w:val="none" w:sz="0" w:space="0" w:color="auto"/>
                                <w:left w:val="none" w:sz="0" w:space="0" w:color="auto"/>
                                <w:bottom w:val="none" w:sz="0" w:space="0" w:color="auto"/>
                                <w:right w:val="none" w:sz="0" w:space="0" w:color="auto"/>
                              </w:divBdr>
                              <w:divsChild>
                                <w:div w:id="1837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7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lun.Jones@eesc.europa.e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i=portal.fr.events-and-activities-europe-asbestos-free-opinions" TargetMode="External"/><Relationship Id="rId2" Type="http://schemas.openxmlformats.org/officeDocument/2006/relationships/customXml" Target="../customXml/item2.xml"/><Relationship Id="rId16" Type="http://schemas.openxmlformats.org/officeDocument/2006/relationships/hyperlink" Target="http://www.eesc.europa.eu/?i=portal.fr.events-and-activities-europe-asbestos-fr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SNS6YXTC77FS-7-2303</_dlc_DocId>
    <_dlc_DocIdUrl xmlns="9f264e46-9252-4f01-a3b2-4cb67eb6fc3c">
      <Url>http://dm/EESC/2015/_layouts/DocIdRedir.aspx?ID=SNS6YXTC77FS-7-2303</Url>
      <Description>SNS6YXTC77FS-7-2303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0a2d9f3-f5a4-416c-8f36-52580e991f0c"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2015-06-26T12:00:00+00:00</ProductionDate>
    <DocumentNumber xmlns="d0a2d9f3-f5a4-416c-8f36-52580e991f0c">3557</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9f264e46-9252-4f01-a3b2-4cb67eb6fc3c">
      <Value>20</Value>
      <Value>17</Value>
      <Value>16</Value>
      <Value>38</Value>
      <Value>34</Value>
      <Value>120</Value>
      <Value>9</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6773</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B571297-D8CD-4BCE-931B-9393854CC857}">
  <ds:schemaRefs>
    <ds:schemaRef ds:uri="http://purl.org/dc/terms/"/>
    <ds:schemaRef ds:uri="9f264e46-9252-4f01-a3b2-4cb67eb6fc3c"/>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0a2d9f3-f5a4-416c-8f36-52580e991f0c"/>
    <ds:schemaRef ds:uri="http://purl.org/dc/elements/1.1/"/>
    <ds:schemaRef ds:uri="http://schemas.microsoft.com/sharepoint/v3/field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D4ABF68C-9F25-411E-AB89-30EDCEA651EF}">
  <ds:schemaRefs>
    <ds:schemaRef ds:uri="http://schemas.microsoft.com/sharepoint/events"/>
  </ds:schemaRefs>
</ds:datastoreItem>
</file>

<file path=customXml/itemProps5.xml><?xml version="1.0" encoding="utf-8"?>
<ds:datastoreItem xmlns:ds="http://schemas.openxmlformats.org/officeDocument/2006/customXml" ds:itemID="{3B6EA2DB-F832-4273-91BA-49706817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0a2d9f3-f5a4-416c-8f36-52580e99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D6A804-8ED6-41B0-8C1B-C438DF4C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910</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CP 38 FR Conférence sur l'amiante</vt:lpstr>
    </vt:vector>
  </TitlesOfParts>
  <Company>CESE-CdR</Company>
  <LinksUpToDate>false</LinksUpToDate>
  <CharactersWithSpaces>5905</CharactersWithSpaces>
  <SharedDoc>false</SharedDoc>
  <HLinks>
    <vt:vector size="78" baseType="variant">
      <vt:variant>
        <vt:i4>983091</vt:i4>
      </vt:variant>
      <vt:variant>
        <vt:i4>21</vt:i4>
      </vt:variant>
      <vt:variant>
        <vt:i4>0</vt:i4>
      </vt:variant>
      <vt:variant>
        <vt:i4>5</vt:i4>
      </vt:variant>
      <vt:variant>
        <vt:lpwstr>mailto:siana.glouharova@eesc.europa.eu</vt:lpwstr>
      </vt:variant>
      <vt:variant>
        <vt:lpwstr/>
      </vt:variant>
      <vt:variant>
        <vt:i4>7995495</vt:i4>
      </vt:variant>
      <vt:variant>
        <vt:i4>18</vt:i4>
      </vt:variant>
      <vt:variant>
        <vt:i4>0</vt:i4>
      </vt:variant>
      <vt:variant>
        <vt:i4>5</vt:i4>
      </vt:variant>
      <vt:variant>
        <vt:lpwstr>https://www.youtube.com/watch?v=vpV2RlWM-f8</vt:lpwstr>
      </vt:variant>
      <vt:variant>
        <vt:lpwstr/>
      </vt:variant>
      <vt:variant>
        <vt:i4>7471135</vt:i4>
      </vt:variant>
      <vt:variant>
        <vt:i4>15</vt:i4>
      </vt:variant>
      <vt:variant>
        <vt:i4>0</vt:i4>
      </vt:variant>
      <vt:variant>
        <vt:i4>5</vt:i4>
      </vt:variant>
      <vt:variant>
        <vt:lpwstr>ttps://twitter.com/EESC_CHALLENGE</vt:lpwstr>
      </vt:variant>
      <vt:variant>
        <vt:lpwstr/>
      </vt:variant>
      <vt:variant>
        <vt:i4>2687077</vt:i4>
      </vt:variant>
      <vt:variant>
        <vt:i4>12</vt:i4>
      </vt:variant>
      <vt:variant>
        <vt:i4>0</vt:i4>
      </vt:variant>
      <vt:variant>
        <vt:i4>5</vt:i4>
      </vt:variant>
      <vt:variant>
        <vt:lpwstr>http://on.fb.me/1FobQG8</vt:lpwstr>
      </vt:variant>
      <vt:variant>
        <vt:lpwstr/>
      </vt:variant>
      <vt:variant>
        <vt:i4>3407968</vt:i4>
      </vt:variant>
      <vt:variant>
        <vt:i4>9</vt:i4>
      </vt:variant>
      <vt:variant>
        <vt:i4>0</vt:i4>
      </vt:variant>
      <vt:variant>
        <vt:i4>5</vt:i4>
      </vt:variant>
      <vt:variant>
        <vt:lpwstr>http://www.eesc.europa.eu/video-challenge/2015/results.html</vt:lpwstr>
      </vt:variant>
      <vt:variant>
        <vt:lpwstr/>
      </vt:variant>
      <vt:variant>
        <vt:i4>262167</vt:i4>
      </vt:variant>
      <vt:variant>
        <vt:i4>6</vt:i4>
      </vt:variant>
      <vt:variant>
        <vt:i4>0</vt:i4>
      </vt:variant>
      <vt:variant>
        <vt:i4>5</vt:i4>
      </vt:variant>
      <vt:variant>
        <vt:lpwstr>http://www.nordicbalticchoir.lv/</vt:lpwstr>
      </vt:variant>
      <vt:variant>
        <vt:lpwstr/>
      </vt:variant>
      <vt:variant>
        <vt:i4>3407968</vt:i4>
      </vt:variant>
      <vt:variant>
        <vt:i4>3</vt:i4>
      </vt:variant>
      <vt:variant>
        <vt:i4>0</vt:i4>
      </vt:variant>
      <vt:variant>
        <vt:i4>5</vt:i4>
      </vt:variant>
      <vt:variant>
        <vt:lpwstr>http://www.eesc.europa.eu/video-challenge/2015/results.html</vt:lpwstr>
      </vt:variant>
      <vt:variant>
        <vt:lpwstr/>
      </vt:variant>
      <vt:variant>
        <vt:i4>327758</vt:i4>
      </vt:variant>
      <vt:variant>
        <vt:i4>0</vt:i4>
      </vt:variant>
      <vt:variant>
        <vt:i4>0</vt:i4>
      </vt:variant>
      <vt:variant>
        <vt:i4>5</vt:i4>
      </vt:variant>
      <vt:variant>
        <vt:lpwstr>http://eesc.europa.eu/video-challenge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38 FR Conférence sur l'amiante</dc:title>
  <dc:subject>Communiqué de presse</dc:subject>
  <cp:lastModifiedBy>Agata Berdys</cp:lastModifiedBy>
  <cp:revision>2</cp:revision>
  <cp:lastPrinted>2015-06-11T08:25:00Z</cp:lastPrinted>
  <dcterms:created xsi:type="dcterms:W3CDTF">2015-06-29T09:34:00Z</dcterms:created>
  <dcterms:modified xsi:type="dcterms:W3CDTF">2015-06-29T09:34:00Z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0x010100EA97B91038054C99906057A708A1480A0018921FC14B20AC41A76D638F195672B9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25/06/2015</vt:lpwstr>
  </property>
  <property fmtid="{D5CDD505-2E9C-101B-9397-08002B2CF9AE}" pid="7" name="Pref_Time">
    <vt:lpwstr>13:38:15</vt:lpwstr>
  </property>
  <property fmtid="{D5CDD505-2E9C-101B-9397-08002B2CF9AE}" pid="8" name="Pref_User">
    <vt:lpwstr>amett</vt:lpwstr>
  </property>
  <property fmtid="{D5CDD505-2E9C-101B-9397-08002B2CF9AE}" pid="9" name="Pref_FileName">
    <vt:lpwstr>EESC-2015-03557-00-00-CP-ORI.docx</vt:lpwstr>
  </property>
  <property fmtid="{D5CDD505-2E9C-101B-9397-08002B2CF9AE}" pid="10" name="_dlc_DocIdItemGuid">
    <vt:lpwstr>788d4736-249b-4c26-baf4-9ea736d3eeba</vt:lpwstr>
  </property>
  <property fmtid="{D5CDD505-2E9C-101B-9397-08002B2CF9AE}" pid="11" name="AvailableTranslations">
    <vt:lpwstr>17;#ES|e7a6b05b-ae16-40c8-add9-68b64b03aeba;#16;#PL|1e03da61-4678-4e07-b136-b5024ca9197b;#4;#FR|d2afafd3-4c81-4f60-8f52-ee33f2f54ff3;#38;#IT|0774613c-01ed-4e5d-a25d-11d2388de825;#20;#DE|f6b31e5a-26fa-4935-b661-318e46daf27e;#9;#EN|f2175f21-25d7-44a3-96da-d</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4;#FR|d2afafd3-4c81-4f60-8f52-ee33f2f54ff3</vt:lpwstr>
  </property>
</Properties>
</file>