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611423" w:rsidRDefault="00D938A8" w:rsidP="007F0055">
      <w:pPr>
        <w:ind w:left="-993"/>
        <w:jc w:val="center"/>
      </w:pPr>
      <w:r>
        <w:rPr>
          <w:noProof/>
          <w:lang w:val="en-US" w:eastAsia="en-US" w:bidi="ar-SA"/>
        </w:rPr>
        <w:drawing>
          <wp:inline distT="0" distB="0" distL="0" distR="0" wp14:anchorId="3533CD6F" wp14:editId="1F5CEE46">
            <wp:extent cx="6921500" cy="1612900"/>
            <wp:effectExtent l="0" t="0" r="0" b="6350"/>
            <wp:docPr id="5" name="Picture 5"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21500" cy="16129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F24A80" w:rsidTr="00FB0E98">
        <w:trPr>
          <w:cantSplit/>
        </w:trPr>
        <w:tc>
          <w:tcPr>
            <w:tcW w:w="5168" w:type="dxa"/>
          </w:tcPr>
          <w:p w:rsidR="007F0055" w:rsidRPr="00611423" w:rsidRDefault="00853633" w:rsidP="00853633">
            <w:pPr>
              <w:spacing w:line="240" w:lineRule="auto"/>
              <w:rPr>
                <w:rFonts w:ascii="Verdana" w:hAnsi="Verdana"/>
                <w:b/>
                <w:bCs/>
                <w:sz w:val="18"/>
                <w:szCs w:val="18"/>
              </w:rPr>
            </w:pPr>
            <w:r>
              <w:rPr>
                <w:rFonts w:ascii="Verdana" w:hAnsi="Verdana"/>
                <w:b/>
                <w:sz w:val="18"/>
              </w:rPr>
              <w:t>Nº 36</w:t>
            </w:r>
            <w:r w:rsidR="00F11CFC">
              <w:rPr>
                <w:rFonts w:ascii="Verdana" w:hAnsi="Verdana"/>
                <w:b/>
                <w:sz w:val="18"/>
              </w:rPr>
              <w:t>/2017</w:t>
            </w:r>
          </w:p>
        </w:tc>
        <w:tc>
          <w:tcPr>
            <w:tcW w:w="4119" w:type="dxa"/>
          </w:tcPr>
          <w:p w:rsidR="007F0055" w:rsidRPr="00F24A80" w:rsidRDefault="00E57687" w:rsidP="00853633">
            <w:pPr>
              <w:spacing w:line="240" w:lineRule="auto"/>
              <w:jc w:val="right"/>
              <w:rPr>
                <w:rFonts w:ascii="Verdana" w:hAnsi="Verdana"/>
                <w:b/>
                <w:bCs/>
                <w:sz w:val="18"/>
                <w:szCs w:val="18"/>
              </w:rPr>
            </w:pPr>
            <w:r>
              <w:rPr>
                <w:rFonts w:ascii="Verdana" w:hAnsi="Verdana"/>
                <w:b/>
                <w:sz w:val="18"/>
              </w:rPr>
              <w:t xml:space="preserve">Le </w:t>
            </w:r>
            <w:r w:rsidR="00853633">
              <w:rPr>
                <w:rFonts w:ascii="Verdana" w:hAnsi="Verdana"/>
                <w:b/>
                <w:sz w:val="18"/>
              </w:rPr>
              <w:t>6 juillet</w:t>
            </w:r>
            <w:r>
              <w:rPr>
                <w:rFonts w:ascii="Verdana" w:hAnsi="Verdana"/>
                <w:b/>
                <w:sz w:val="18"/>
              </w:rPr>
              <w:t xml:space="preserve"> 2017</w:t>
            </w:r>
          </w:p>
        </w:tc>
      </w:tr>
    </w:tbl>
    <w:p w:rsidR="007F0055" w:rsidRPr="00F24A80" w:rsidRDefault="007F0055" w:rsidP="007F0055">
      <w:pPr>
        <w:spacing w:line="240" w:lineRule="auto"/>
        <w:rPr>
          <w:rFonts w:ascii="Verdana" w:hAnsi="Verdana"/>
          <w:b/>
          <w:i/>
          <w:sz w:val="20"/>
        </w:rPr>
        <w:sectPr w:rsidR="007F0055" w:rsidRPr="00F24A80" w:rsidSect="00FB0E98">
          <w:footerReference w:type="default" r:id="rId14"/>
          <w:pgSz w:w="11907" w:h="16839" w:code="9"/>
          <w:pgMar w:top="426" w:right="1418" w:bottom="1418" w:left="1418" w:header="3062" w:footer="118" w:gutter="0"/>
          <w:cols w:space="720"/>
          <w:docGrid w:linePitch="299"/>
        </w:sectPr>
      </w:pPr>
    </w:p>
    <w:p w:rsidR="007F0055" w:rsidRPr="00F24A80" w:rsidRDefault="007F0055" w:rsidP="007F0055">
      <w:pPr>
        <w:jc w:val="center"/>
        <w:rPr>
          <w:rFonts w:ascii="Verdana" w:hAnsi="Verdana"/>
          <w:b/>
          <w:sz w:val="18"/>
          <w:szCs w:val="18"/>
        </w:rPr>
      </w:pPr>
    </w:p>
    <w:p w:rsidR="00853633" w:rsidRPr="0088136F" w:rsidRDefault="00853633" w:rsidP="00853633">
      <w:pPr>
        <w:jc w:val="center"/>
        <w:rPr>
          <w:rFonts w:ascii="Verdana" w:hAnsi="Verdana"/>
          <w:b/>
          <w:sz w:val="18"/>
          <w:szCs w:val="18"/>
        </w:rPr>
      </w:pPr>
      <w:r w:rsidRPr="00853633">
        <w:rPr>
          <w:rFonts w:ascii="Verdana" w:hAnsi="Verdana"/>
          <w:b/>
          <w:color w:val="0070C0"/>
          <w:sz w:val="28"/>
          <w:szCs w:val="28"/>
        </w:rPr>
        <w:t>L’Europe doit s’efforcer de dégager une vision commune tout en cherchant des moyens d’aller de l’avant</w:t>
      </w:r>
    </w:p>
    <w:p w:rsidR="00853633" w:rsidRPr="0088136F" w:rsidRDefault="00853633" w:rsidP="00853633">
      <w:pPr>
        <w:rPr>
          <w:rFonts w:ascii="Verdana" w:hAnsi="Verdana"/>
          <w:b/>
          <w:sz w:val="18"/>
          <w:szCs w:val="18"/>
        </w:rPr>
      </w:pPr>
    </w:p>
    <w:p w:rsidR="00853633" w:rsidRPr="00853633" w:rsidRDefault="00853633" w:rsidP="00853633">
      <w:pPr>
        <w:rPr>
          <w:rFonts w:ascii="Verdana" w:hAnsi="Verdana"/>
          <w:b/>
          <w:sz w:val="18"/>
          <w:szCs w:val="18"/>
        </w:rPr>
      </w:pPr>
      <w:r w:rsidRPr="00853633">
        <w:rPr>
          <w:rFonts w:ascii="Verdana" w:hAnsi="Verdana"/>
          <w:b/>
          <w:sz w:val="18"/>
          <w:szCs w:val="18"/>
        </w:rPr>
        <w:t>À l’heure où elle décide de son avenir, l’Union européenne devrait s’efforcer de dégager une vision commune, à l’instar de celle qui a inspiré les pères fondateurs et qui a marqué chacune de ses avancées majeures à ce jour, a déclaré ce mercredi le Comité économique et social européen (CESE).</w:t>
      </w:r>
    </w:p>
    <w:p w:rsidR="00853633" w:rsidRPr="0088136F" w:rsidRDefault="00853633" w:rsidP="00853633">
      <w:pPr>
        <w:rPr>
          <w:rFonts w:ascii="Verdana" w:hAnsi="Verdana"/>
          <w:sz w:val="18"/>
          <w:szCs w:val="18"/>
        </w:rPr>
      </w:pPr>
    </w:p>
    <w:p w:rsidR="00853633" w:rsidRPr="0088136F" w:rsidRDefault="00853633" w:rsidP="00853633">
      <w:pPr>
        <w:rPr>
          <w:rFonts w:ascii="Verdana" w:hAnsi="Verdana"/>
          <w:sz w:val="18"/>
          <w:szCs w:val="18"/>
        </w:rPr>
      </w:pPr>
      <w:r w:rsidRPr="0088136F">
        <w:rPr>
          <w:rFonts w:ascii="Verdana" w:hAnsi="Verdana"/>
          <w:sz w:val="18"/>
          <w:szCs w:val="18"/>
        </w:rPr>
        <w:t xml:space="preserve">Dans sa </w:t>
      </w:r>
      <w:r w:rsidRPr="0088136F">
        <w:rPr>
          <w:rFonts w:ascii="Verdana" w:hAnsi="Verdana"/>
          <w:b/>
          <w:sz w:val="18"/>
          <w:szCs w:val="18"/>
        </w:rPr>
        <w:t>résolution</w:t>
      </w:r>
      <w:r w:rsidRPr="0088136F">
        <w:rPr>
          <w:rFonts w:ascii="Verdana" w:hAnsi="Verdana"/>
          <w:sz w:val="18"/>
          <w:szCs w:val="18"/>
        </w:rPr>
        <w:t xml:space="preserve"> sur le </w:t>
      </w:r>
      <w:hyperlink r:id="rId15">
        <w:r w:rsidRPr="0088136F">
          <w:rPr>
            <w:rStyle w:val="Hyperlink"/>
            <w:rFonts w:ascii="Verdana" w:hAnsi="Verdana"/>
            <w:sz w:val="18"/>
            <w:szCs w:val="18"/>
          </w:rPr>
          <w:t>Livre blanc de la Commission sur l’avenir de l’Europe</w:t>
        </w:r>
      </w:hyperlink>
      <w:r w:rsidRPr="0088136F">
        <w:rPr>
          <w:rFonts w:ascii="Verdana" w:hAnsi="Verdana"/>
          <w:sz w:val="18"/>
          <w:szCs w:val="18"/>
        </w:rPr>
        <w:t>, qui présente les cinq scénarios possibles de l’évolution de l’UE à partir d’aujourd’hui jusqu’à 2025, le CESE indique qu’il ne considère pas que choisir entre les scénarios proposés permette de dégager cette vision commune, ni qu’une telle approche offre un moyen efficace pour définir la voie à suivre par l’Europe.</w:t>
      </w:r>
    </w:p>
    <w:p w:rsidR="00853633" w:rsidRPr="0088136F" w:rsidRDefault="00853633" w:rsidP="00853633">
      <w:pPr>
        <w:rPr>
          <w:rFonts w:ascii="Verdana" w:hAnsi="Verdana"/>
          <w:sz w:val="18"/>
          <w:szCs w:val="18"/>
        </w:rPr>
      </w:pPr>
    </w:p>
    <w:p w:rsidR="00853633" w:rsidRPr="0088136F" w:rsidRDefault="00853633" w:rsidP="00853633">
      <w:pPr>
        <w:rPr>
          <w:rFonts w:ascii="Verdana" w:hAnsi="Verdana"/>
          <w:sz w:val="18"/>
          <w:szCs w:val="18"/>
        </w:rPr>
      </w:pPr>
      <w:r w:rsidRPr="0088136F">
        <w:rPr>
          <w:rFonts w:ascii="Verdana" w:hAnsi="Verdana"/>
          <w:sz w:val="18"/>
          <w:szCs w:val="18"/>
        </w:rPr>
        <w:t>Le Comité suggère à la Commission de rechercher plutôt des solutions dans les soixante années d’existence de l’UE.</w:t>
      </w:r>
    </w:p>
    <w:p w:rsidR="00853633" w:rsidRPr="0088136F" w:rsidRDefault="00853633" w:rsidP="00853633">
      <w:pPr>
        <w:rPr>
          <w:rFonts w:ascii="Verdana" w:hAnsi="Verdana"/>
          <w:sz w:val="18"/>
          <w:szCs w:val="18"/>
        </w:rPr>
      </w:pPr>
    </w:p>
    <w:p w:rsidR="00853633" w:rsidRPr="0088136F" w:rsidRDefault="00853633" w:rsidP="00853633">
      <w:pPr>
        <w:rPr>
          <w:rFonts w:ascii="Verdana" w:hAnsi="Verdana"/>
          <w:sz w:val="18"/>
          <w:szCs w:val="18"/>
        </w:rPr>
      </w:pPr>
      <w:r w:rsidRPr="0088136F">
        <w:rPr>
          <w:rFonts w:ascii="Verdana" w:hAnsi="Verdana"/>
          <w:sz w:val="18"/>
          <w:szCs w:val="18"/>
        </w:rPr>
        <w:t xml:space="preserve">«L’Europe ne part pas de rien. Par conséquent, la Commission devrait faire reposer ses propositions sur une analyse approfondie de l’histoire de l’Union – avec ses réussites et ses faiblesses –, qui constitue une source précieuse pour préparer l’avenir», souligne le CESE dans la résolution, ajoutant que les engagements pris par les États membres dans la </w:t>
      </w:r>
      <w:hyperlink r:id="rId16">
        <w:r w:rsidRPr="0088136F">
          <w:rPr>
            <w:rStyle w:val="Hyperlink"/>
            <w:rFonts w:ascii="Verdana" w:hAnsi="Verdana"/>
            <w:sz w:val="18"/>
            <w:szCs w:val="18"/>
          </w:rPr>
          <w:t>déclaration de Rome</w:t>
        </w:r>
      </w:hyperlink>
      <w:r w:rsidRPr="0088136F">
        <w:rPr>
          <w:rFonts w:ascii="Verdana" w:hAnsi="Verdana"/>
          <w:sz w:val="18"/>
          <w:szCs w:val="18"/>
        </w:rPr>
        <w:t xml:space="preserve"> constituent un “point de départ positif et salutaire”». </w:t>
      </w:r>
    </w:p>
    <w:p w:rsidR="00853633" w:rsidRPr="0088136F" w:rsidRDefault="00853633" w:rsidP="00853633">
      <w:pPr>
        <w:rPr>
          <w:rFonts w:ascii="Verdana" w:hAnsi="Verdana"/>
          <w:sz w:val="18"/>
          <w:szCs w:val="18"/>
        </w:rPr>
      </w:pPr>
      <w:bookmarkStart w:id="0" w:name="_GoBack"/>
      <w:bookmarkEnd w:id="0"/>
    </w:p>
    <w:p w:rsidR="00853633" w:rsidRPr="0088136F" w:rsidRDefault="00853633" w:rsidP="00853633">
      <w:pPr>
        <w:rPr>
          <w:rFonts w:ascii="Verdana" w:hAnsi="Verdana"/>
          <w:sz w:val="18"/>
          <w:szCs w:val="18"/>
        </w:rPr>
      </w:pPr>
      <w:r w:rsidRPr="0088136F">
        <w:rPr>
          <w:rFonts w:ascii="Verdana" w:hAnsi="Verdana"/>
          <w:sz w:val="18"/>
          <w:szCs w:val="18"/>
        </w:rPr>
        <w:t xml:space="preserve">La résolution, adoptée lors de la session plénière du CESE de juillet, fait suite à une demande formulée par </w:t>
      </w:r>
      <w:r w:rsidRPr="00853633">
        <w:rPr>
          <w:rFonts w:ascii="Verdana" w:hAnsi="Verdana"/>
          <w:b/>
          <w:sz w:val="18"/>
          <w:szCs w:val="18"/>
        </w:rPr>
        <w:t>Jean</w:t>
      </w:r>
      <w:r w:rsidRPr="00853633">
        <w:rPr>
          <w:rFonts w:ascii="Verdana" w:hAnsi="Verdana"/>
          <w:b/>
          <w:sz w:val="18"/>
          <w:szCs w:val="18"/>
        </w:rPr>
        <w:noBreakHyphen/>
        <w:t>Claude Juncker</w:t>
      </w:r>
      <w:r w:rsidRPr="0088136F">
        <w:rPr>
          <w:rFonts w:ascii="Verdana" w:hAnsi="Verdana"/>
          <w:sz w:val="18"/>
          <w:szCs w:val="18"/>
        </w:rPr>
        <w:t>, président de la Commission, qui, en avril dernier, avait invité le CESE à collecter les points de vue des organisations de la société civile de l’UE sur le développement futur de l’Europe. Cette résolution est la première contribution du CESE à l’actuel débat public paneuropéen sur l’avenir de l’Europe. Le CESE a également organisé des débats nationaux avec les représentants de la société civile dans 27 États membres. Leurs conclusions seront prises en compte dans un avis sur ce thème qui sera élaboré avant la fin de cette année.</w:t>
      </w:r>
    </w:p>
    <w:p w:rsidR="00853633" w:rsidRPr="0088136F" w:rsidRDefault="00853633" w:rsidP="00853633">
      <w:pPr>
        <w:rPr>
          <w:rFonts w:ascii="Verdana" w:hAnsi="Verdana"/>
          <w:sz w:val="18"/>
          <w:szCs w:val="18"/>
        </w:rPr>
      </w:pPr>
    </w:p>
    <w:p w:rsidR="00853633" w:rsidRPr="0088136F" w:rsidRDefault="00853633" w:rsidP="00853633">
      <w:pPr>
        <w:rPr>
          <w:rFonts w:ascii="Verdana" w:hAnsi="Verdana"/>
          <w:sz w:val="18"/>
          <w:szCs w:val="18"/>
        </w:rPr>
      </w:pPr>
      <w:r w:rsidRPr="0088136F">
        <w:rPr>
          <w:rFonts w:ascii="Verdana" w:hAnsi="Verdana"/>
          <w:sz w:val="18"/>
          <w:szCs w:val="18"/>
        </w:rPr>
        <w:t xml:space="preserve">La résolution insiste sur une </w:t>
      </w:r>
      <w:r w:rsidRPr="00853633">
        <w:rPr>
          <w:rFonts w:ascii="Verdana" w:hAnsi="Verdana"/>
          <w:b/>
          <w:sz w:val="18"/>
          <w:szCs w:val="18"/>
        </w:rPr>
        <w:t>vision commune de l’avenir</w:t>
      </w:r>
      <w:r w:rsidRPr="0088136F">
        <w:rPr>
          <w:rFonts w:ascii="Verdana" w:hAnsi="Verdana"/>
          <w:sz w:val="18"/>
          <w:szCs w:val="18"/>
        </w:rPr>
        <w:t>, indispensable si l’Europe veut aller de l’avant. Il faut que cesse le fameux «C’est la faute à Bruxelles!», dont on a tant usé par le passé et dont on use encore, conclut le CESE, en appelant de ses vœux un engagement commun de la part des institutions européennes et d’un large éventail d’acteurs, au nombre desquels les partenaires sociaux et les organisations de la société civile.</w:t>
      </w:r>
    </w:p>
    <w:p w:rsidR="00853633" w:rsidRPr="0088136F" w:rsidRDefault="00853633" w:rsidP="00853633">
      <w:pPr>
        <w:rPr>
          <w:rFonts w:ascii="Verdana" w:hAnsi="Verdana"/>
          <w:sz w:val="18"/>
          <w:szCs w:val="18"/>
        </w:rPr>
      </w:pPr>
    </w:p>
    <w:p w:rsidR="00853633" w:rsidRPr="0088136F" w:rsidRDefault="00853633" w:rsidP="00853633">
      <w:pPr>
        <w:rPr>
          <w:rFonts w:ascii="Verdana" w:hAnsi="Verdana"/>
          <w:sz w:val="18"/>
          <w:szCs w:val="18"/>
        </w:rPr>
      </w:pPr>
      <w:r w:rsidRPr="0088136F">
        <w:rPr>
          <w:rFonts w:ascii="Verdana" w:hAnsi="Verdana"/>
          <w:sz w:val="18"/>
          <w:szCs w:val="18"/>
        </w:rPr>
        <w:t xml:space="preserve">Le Comité affirme que l’UE a besoin de stratégies globales et d’une approche cohérente pour son avenir, de manière à accorder une attention particulière aux résultats tangibles et à renforcer la confiance des citoyens. Il souligne la nécessité d’inscrire une mission commune et des thématiques stratégiques dans une perspective partagée pour éviter les risques d’une «Europe à la carte ou de tendances centrifuges». </w:t>
      </w:r>
    </w:p>
    <w:p w:rsidR="00853633" w:rsidRPr="0088136F" w:rsidRDefault="00853633" w:rsidP="00853633">
      <w:pPr>
        <w:rPr>
          <w:rFonts w:ascii="Verdana" w:hAnsi="Verdana"/>
          <w:sz w:val="18"/>
          <w:szCs w:val="18"/>
        </w:rPr>
      </w:pPr>
    </w:p>
    <w:p w:rsidR="00853633" w:rsidRPr="0088136F" w:rsidRDefault="00853633" w:rsidP="00853633">
      <w:pPr>
        <w:rPr>
          <w:rFonts w:ascii="Verdana" w:hAnsi="Verdana"/>
          <w:sz w:val="18"/>
          <w:szCs w:val="18"/>
        </w:rPr>
      </w:pPr>
      <w:r w:rsidRPr="0088136F">
        <w:rPr>
          <w:rFonts w:ascii="Verdana" w:hAnsi="Verdana"/>
          <w:sz w:val="18"/>
          <w:szCs w:val="18"/>
        </w:rPr>
        <w:t xml:space="preserve">Le CESE fait valoir qu’un meilleur partage du pouvoir politique dans tous les domaines – qui dépend principalement de la volonté politique – doit s’imposer comme la question centrale d’un authentique débat concernant l’avenir. À cette fin, la distinction traditionnelle entre le niveau national et le niveau </w:t>
      </w:r>
      <w:r w:rsidRPr="0088136F">
        <w:rPr>
          <w:rFonts w:ascii="Verdana" w:hAnsi="Verdana"/>
          <w:sz w:val="18"/>
          <w:szCs w:val="18"/>
        </w:rPr>
        <w:lastRenderedPageBreak/>
        <w:t>européen devrait disparaître et une citoyenneté européenne devrait être reconnue aux côtés de la citoyenneté nationale.</w:t>
      </w:r>
    </w:p>
    <w:p w:rsidR="00853633" w:rsidRPr="0088136F" w:rsidRDefault="00853633" w:rsidP="00853633">
      <w:pPr>
        <w:rPr>
          <w:rFonts w:ascii="Verdana" w:hAnsi="Verdana"/>
          <w:sz w:val="18"/>
          <w:szCs w:val="18"/>
        </w:rPr>
      </w:pPr>
    </w:p>
    <w:p w:rsidR="00853633" w:rsidRPr="0088136F" w:rsidRDefault="00853633" w:rsidP="00853633">
      <w:pPr>
        <w:rPr>
          <w:rFonts w:ascii="Verdana" w:hAnsi="Verdana"/>
          <w:sz w:val="18"/>
          <w:szCs w:val="18"/>
        </w:rPr>
      </w:pPr>
      <w:r w:rsidRPr="0088136F">
        <w:rPr>
          <w:rFonts w:ascii="Verdana" w:hAnsi="Verdana"/>
          <w:sz w:val="18"/>
          <w:szCs w:val="18"/>
        </w:rPr>
        <w:t>Le CESE admet toutefois que des mécanismes favorisant une intégration différenciée, tels que la coopération renforcée entre certains États membres dans des domaines particuliers, pourraient constituer un instrument utile pour surmonter les blocages ou insuffler une dynamique positive dans le processus d’intégration de l’Union. Il souligne cependant la «nécessité de promouvoir la convergence au sein de l’Union et de lutter contre la fragmentation et la division», qu’il considère comme un élément essentiel pour préserver l’intégration européenne.</w:t>
      </w:r>
    </w:p>
    <w:p w:rsidR="00853633" w:rsidRPr="0088136F" w:rsidRDefault="00853633" w:rsidP="00853633">
      <w:pPr>
        <w:rPr>
          <w:rFonts w:ascii="Verdana" w:hAnsi="Verdana"/>
          <w:sz w:val="18"/>
          <w:szCs w:val="18"/>
        </w:rPr>
      </w:pPr>
    </w:p>
    <w:p w:rsidR="00853633" w:rsidRPr="0088136F" w:rsidRDefault="00853633" w:rsidP="00853633">
      <w:pPr>
        <w:rPr>
          <w:rFonts w:ascii="Verdana" w:hAnsi="Verdana"/>
          <w:sz w:val="18"/>
          <w:szCs w:val="18"/>
        </w:rPr>
      </w:pPr>
      <w:r w:rsidRPr="0088136F">
        <w:rPr>
          <w:rFonts w:ascii="Verdana" w:hAnsi="Verdana"/>
          <w:sz w:val="18"/>
          <w:szCs w:val="18"/>
        </w:rPr>
        <w:t>Le CESE propose que le Parlement européen joue un rôle central dans la définition de la future orientation de l’Europe, avec l’aide des parlements nationaux. Il plaide en faveur d’une intégration plus approfondie, d’une avancée progressive vers une union politique dotée d’une dimension sociale affirmée, d’un approfondissement de l’Union économique et monétaire et d’une gouvernance plus cohérente.</w:t>
      </w:r>
    </w:p>
    <w:p w:rsidR="00853633" w:rsidRPr="0088136F" w:rsidRDefault="00853633" w:rsidP="00853633">
      <w:pPr>
        <w:rPr>
          <w:rFonts w:ascii="Verdana" w:hAnsi="Verdana"/>
          <w:sz w:val="18"/>
          <w:szCs w:val="18"/>
        </w:rPr>
      </w:pPr>
    </w:p>
    <w:p w:rsidR="00853633" w:rsidRPr="0088136F" w:rsidRDefault="00853633" w:rsidP="00853633">
      <w:pPr>
        <w:overflowPunct/>
        <w:autoSpaceDE/>
        <w:autoSpaceDN/>
        <w:adjustRightInd/>
        <w:textAlignment w:val="auto"/>
        <w:rPr>
          <w:rFonts w:ascii="Verdana" w:hAnsi="Verdana"/>
          <w:sz w:val="18"/>
          <w:szCs w:val="18"/>
        </w:rPr>
      </w:pPr>
      <w:r w:rsidRPr="0088136F">
        <w:rPr>
          <w:rFonts w:ascii="Verdana" w:hAnsi="Verdana"/>
          <w:sz w:val="18"/>
          <w:szCs w:val="18"/>
        </w:rPr>
        <w:t>Il appelle également à l’encouragement d’une convergence sociale ascendante, à une union de l’énergie dotée de la gouvernance idoine, à un marché unique numérique et à un cadre législatif pour lutter contre le changement climatique, tout en soulignant la nécessité de traiter les questions sociales et d’éducation d’une manière beaucoup plus systématique dans toute l’Union.</w:t>
      </w:r>
    </w:p>
    <w:p w:rsidR="00477CBF" w:rsidRDefault="00477CBF" w:rsidP="00477CBF">
      <w:pPr>
        <w:spacing w:after="200" w:line="276" w:lineRule="auto"/>
        <w:rPr>
          <w:rFonts w:ascii="Verdana" w:hAnsi="Verdana"/>
          <w:sz w:val="18"/>
          <w:szCs w:val="18"/>
        </w:rPr>
      </w:pPr>
    </w:p>
    <w:p w:rsidR="008277EC" w:rsidRDefault="008277EC" w:rsidP="00882AFD">
      <w:pPr>
        <w:jc w:val="center"/>
        <w:rPr>
          <w:rFonts w:ascii="Verdana" w:hAnsi="Verdana"/>
          <w:b/>
          <w:bCs/>
          <w:sz w:val="18"/>
          <w:szCs w:val="18"/>
        </w:rPr>
      </w:pPr>
      <w:r>
        <w:rPr>
          <w:rFonts w:ascii="Verdana" w:hAnsi="Verdana"/>
          <w:b/>
          <w:sz w:val="18"/>
        </w:rPr>
        <w:t>Pour de plus amples informations, veuillez contacter:</w:t>
      </w:r>
    </w:p>
    <w:p w:rsidR="00853633" w:rsidRPr="008D3FE0" w:rsidRDefault="00853633" w:rsidP="00853633">
      <w:pPr>
        <w:spacing w:line="240" w:lineRule="auto"/>
        <w:jc w:val="center"/>
        <w:rPr>
          <w:rFonts w:asciiTheme="minorHAnsi" w:eastAsia="PMingLiU" w:hAnsiTheme="minorHAnsi"/>
          <w:szCs w:val="22"/>
        </w:rPr>
      </w:pPr>
      <w:r>
        <w:rPr>
          <w:rFonts w:ascii="Verdana" w:hAnsi="Verdana"/>
          <w:sz w:val="18"/>
          <w:szCs w:val="18"/>
          <w:lang w:val="pt-PT"/>
        </w:rPr>
        <w:t xml:space="preserve">Laura Lui </w:t>
      </w:r>
      <w:r w:rsidRPr="008D3FE0">
        <w:rPr>
          <w:rFonts w:asciiTheme="minorHAnsi" w:hAnsiTheme="minorHAnsi"/>
          <w:szCs w:val="22"/>
        </w:rPr>
        <w:t xml:space="preserve">- EESC </w:t>
      </w:r>
      <w:proofErr w:type="spellStart"/>
      <w:r w:rsidRPr="008D3FE0">
        <w:rPr>
          <w:rFonts w:asciiTheme="minorHAnsi" w:hAnsiTheme="minorHAnsi"/>
          <w:szCs w:val="22"/>
        </w:rPr>
        <w:t>Press</w:t>
      </w:r>
      <w:proofErr w:type="spellEnd"/>
      <w:r w:rsidRPr="008D3FE0">
        <w:rPr>
          <w:rFonts w:asciiTheme="minorHAnsi" w:hAnsiTheme="minorHAnsi"/>
          <w:szCs w:val="22"/>
        </w:rPr>
        <w:t xml:space="preserve"> Unit</w:t>
      </w:r>
    </w:p>
    <w:p w:rsidR="00853633" w:rsidRDefault="00853633" w:rsidP="00853633">
      <w:pPr>
        <w:jc w:val="center"/>
      </w:pPr>
      <w:r>
        <w:rPr>
          <w:rFonts w:ascii="Verdana" w:hAnsi="Verdana"/>
          <w:sz w:val="18"/>
        </w:rPr>
        <w:t>Courrier électronique</w:t>
      </w:r>
      <w:r>
        <w:rPr>
          <w:rFonts w:ascii="Verdana" w:hAnsi="Verdana"/>
          <w:sz w:val="18"/>
          <w:szCs w:val="18"/>
          <w:lang w:val="pt-PT"/>
        </w:rPr>
        <w:t xml:space="preserve">: </w:t>
      </w:r>
      <w:hyperlink r:id="rId17" w:history="1">
        <w:r>
          <w:rPr>
            <w:rStyle w:val="Hyperlink"/>
            <w:rFonts w:ascii="Verdana" w:hAnsi="Verdana"/>
            <w:sz w:val="18"/>
            <w:szCs w:val="18"/>
            <w:lang w:val="pt-PT"/>
          </w:rPr>
          <w:t>press@eesc.europa.eu</w:t>
        </w:r>
      </w:hyperlink>
    </w:p>
    <w:p w:rsidR="00853633" w:rsidRPr="00853633" w:rsidRDefault="00853633" w:rsidP="00853633">
      <w:pPr>
        <w:jc w:val="center"/>
        <w:rPr>
          <w:rStyle w:val="Hyperlink"/>
          <w:rFonts w:ascii="Calibri" w:hAnsi="Calibri"/>
          <w:color w:val="000000"/>
          <w:szCs w:val="22"/>
          <w:u w:val="none"/>
          <w:lang w:val="fr-BE"/>
        </w:rPr>
      </w:pPr>
      <w:r w:rsidRPr="00853633">
        <w:rPr>
          <w:rStyle w:val="Hyperlink"/>
          <w:rFonts w:ascii="Verdana" w:hAnsi="Verdana"/>
          <w:color w:val="000000"/>
          <w:sz w:val="18"/>
          <w:szCs w:val="18"/>
          <w:u w:val="none"/>
          <w:lang w:val="fr-BE"/>
        </w:rPr>
        <w:t>Tel: +32 2 546 9189</w:t>
      </w:r>
    </w:p>
    <w:p w:rsidR="00853633" w:rsidRDefault="00853633" w:rsidP="00853633">
      <w:pPr>
        <w:jc w:val="center"/>
        <w:rPr>
          <w:lang w:val="en-US"/>
        </w:rPr>
      </w:pPr>
      <w:hyperlink r:id="rId18" w:history="1">
        <w:r>
          <w:rPr>
            <w:rStyle w:val="Hyperlink"/>
            <w:rFonts w:ascii="Verdana" w:hAnsi="Verdana"/>
            <w:sz w:val="18"/>
            <w:szCs w:val="18"/>
            <w:lang w:eastAsia="fr-BE"/>
          </w:rPr>
          <w:t xml:space="preserve">VIDEO: How has the EESC made a </w:t>
        </w:r>
        <w:proofErr w:type="spellStart"/>
        <w:r>
          <w:rPr>
            <w:rStyle w:val="Hyperlink"/>
            <w:rFonts w:ascii="Verdana" w:hAnsi="Verdana"/>
            <w:sz w:val="18"/>
            <w:szCs w:val="18"/>
            <w:lang w:eastAsia="fr-BE"/>
          </w:rPr>
          <w:t>difference</w:t>
        </w:r>
        <w:proofErr w:type="spellEnd"/>
      </w:hyperlink>
    </w:p>
    <w:p w:rsidR="00853633" w:rsidRPr="008D3FE0" w:rsidRDefault="00853633" w:rsidP="00853633">
      <w:pPr>
        <w:spacing w:line="240" w:lineRule="auto"/>
        <w:jc w:val="center"/>
        <w:rPr>
          <w:rFonts w:asciiTheme="minorHAnsi" w:hAnsiTheme="minorHAnsi"/>
          <w:szCs w:val="22"/>
        </w:rPr>
      </w:pPr>
      <w:r>
        <w:rPr>
          <w:rFonts w:ascii="Verdana" w:hAnsi="Verdana"/>
          <w:sz w:val="18"/>
          <w:szCs w:val="18"/>
        </w:rPr>
        <w:t xml:space="preserve">Twitter: </w:t>
      </w:r>
      <w:r w:rsidRPr="008D3FE0">
        <w:rPr>
          <w:rFonts w:asciiTheme="minorHAnsi" w:eastAsia="PMingLiU" w:hAnsiTheme="minorHAnsi"/>
          <w:b/>
          <w:color w:val="1F497D" w:themeColor="text2"/>
          <w:szCs w:val="22"/>
        </w:rPr>
        <w:t>@EESC_PRESS</w:t>
      </w:r>
    </w:p>
    <w:p w:rsidR="008277EC" w:rsidRDefault="008277EC" w:rsidP="008277EC">
      <w:pPr>
        <w:jc w:val="center"/>
        <w:rPr>
          <w:rFonts w:ascii="Verdana" w:hAnsi="Verdana"/>
          <w:sz w:val="16"/>
          <w:szCs w:val="16"/>
        </w:rPr>
      </w:pPr>
    </w:p>
    <w:p w:rsidR="008277EC" w:rsidRDefault="008277EC" w:rsidP="008277EC">
      <w:pPr>
        <w:jc w:val="center"/>
        <w:rPr>
          <w:rFonts w:ascii="Verdana" w:hAnsi="Verdana"/>
          <w:sz w:val="16"/>
          <w:szCs w:val="16"/>
        </w:rPr>
      </w:pPr>
    </w:p>
    <w:p w:rsidR="008277EC" w:rsidRDefault="008277EC" w:rsidP="00657D6A">
      <w:pPr>
        <w:pBdr>
          <w:top w:val="single" w:sz="4" w:space="1" w:color="auto"/>
          <w:bottom w:val="single" w:sz="4" w:space="1" w:color="auto"/>
        </w:pBdr>
        <w:rPr>
          <w:rFonts w:ascii="Verdana" w:hAnsi="Verdana"/>
          <w:i/>
          <w:iCs/>
          <w:sz w:val="14"/>
          <w:szCs w:val="14"/>
        </w:rPr>
      </w:pPr>
      <w:r>
        <w:rPr>
          <w:rFonts w:ascii="Verdana" w:hAnsi="Verdana"/>
          <w:i/>
          <w:sz w:val="14"/>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8277EC" w:rsidRDefault="008277EC" w:rsidP="00657D6A">
      <w:pPr>
        <w:rPr>
          <w:rFonts w:ascii="Verdana" w:hAnsi="Verdana"/>
          <w:b/>
          <w:bCs/>
          <w:i/>
          <w:iCs/>
          <w:sz w:val="16"/>
          <w:szCs w:val="16"/>
        </w:rPr>
      </w:pPr>
    </w:p>
    <w:p w:rsidR="008277EC" w:rsidRDefault="008277EC" w:rsidP="008277EC">
      <w:pPr>
        <w:rPr>
          <w:rStyle w:val="Hyperlink"/>
          <w:rFonts w:ascii="Verdana" w:hAnsi="Verdana"/>
          <w:sz w:val="16"/>
          <w:szCs w:val="16"/>
        </w:rPr>
      </w:pPr>
      <w:r>
        <w:rPr>
          <w:rFonts w:ascii="Verdana" w:hAnsi="Verdana"/>
          <w:sz w:val="16"/>
        </w:rPr>
        <w:t xml:space="preserve">Si vous ne souhaitez plus recevoir de notifications, veuillez nous envoyer un courriel à l’adresse suivante: </w:t>
      </w:r>
      <w:hyperlink r:id="rId19" w:history="1">
        <w:r w:rsidR="00853633" w:rsidRPr="00917D09">
          <w:rPr>
            <w:rStyle w:val="Hyperlink"/>
            <w:rFonts w:ascii="Verdana" w:hAnsi="Verdana"/>
            <w:sz w:val="16"/>
          </w:rPr>
          <w:t>press@eesc.europa.eu</w:t>
        </w:r>
      </w:hyperlink>
      <w:r w:rsidR="00853633">
        <w:rPr>
          <w:rFonts w:ascii="Verdana" w:hAnsi="Verdana"/>
          <w:sz w:val="16"/>
        </w:rPr>
        <w:t xml:space="preserve"> </w:t>
      </w:r>
    </w:p>
    <w:p w:rsidR="00882AFD" w:rsidRDefault="00882AFD" w:rsidP="008277EC">
      <w:pPr>
        <w:rPr>
          <w:rStyle w:val="Hyperlink"/>
          <w:rFonts w:ascii="Verdana" w:hAnsi="Verdana"/>
          <w:sz w:val="16"/>
          <w:szCs w:val="16"/>
        </w:rPr>
      </w:pPr>
    </w:p>
    <w:p w:rsidR="00474E33" w:rsidRDefault="00474E33" w:rsidP="008277EC">
      <w:pPr>
        <w:overflowPunct/>
        <w:autoSpaceDE/>
        <w:autoSpaceDN/>
        <w:adjustRightInd/>
        <w:spacing w:line="276" w:lineRule="auto"/>
        <w:jc w:val="center"/>
        <w:textAlignment w:val="auto"/>
      </w:pPr>
    </w:p>
    <w:sectPr w:rsidR="00474E33"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EA" w:rsidRDefault="003B59EA">
      <w:r>
        <w:separator/>
      </w:r>
    </w:p>
  </w:endnote>
  <w:endnote w:type="continuationSeparator" w:id="0">
    <w:p w:rsidR="003B59EA" w:rsidRDefault="003B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 99 — 1040 Bruxelles — BELGIQUE</w:t>
    </w:r>
  </w:p>
  <w:p w:rsidR="00D15561" w:rsidRPr="00EA5513" w:rsidRDefault="00D15561" w:rsidP="00FB0E98">
    <w:pPr>
      <w:spacing w:line="240" w:lineRule="auto"/>
      <w:jc w:val="center"/>
      <w:rPr>
        <w:rFonts w:ascii="Verdana" w:hAnsi="Verdana"/>
        <w:sz w:val="16"/>
      </w:rPr>
    </w:pPr>
    <w:r>
      <w:rPr>
        <w:rFonts w:ascii="Verdana" w:hAnsi="Verdana"/>
        <w:sz w:val="16"/>
      </w:rPr>
      <w:t>Tél. +32 25469779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5E78EB02" wp14:editId="5FDC84D1">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29E01EA4" wp14:editId="160455D1">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3F5CFD68" wp14:editId="6D724762">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EA" w:rsidRDefault="003B59EA">
      <w:r>
        <w:separator/>
      </w:r>
    </w:p>
  </w:footnote>
  <w:footnote w:type="continuationSeparator" w:id="0">
    <w:p w:rsidR="003B59EA" w:rsidRDefault="003B5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D6C2A"/>
    <w:multiLevelType w:val="hybridMultilevel"/>
    <w:tmpl w:val="315CF6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B140CEF"/>
    <w:multiLevelType w:val="hybridMultilevel"/>
    <w:tmpl w:val="BFC46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1C0A"/>
    <w:rsid w:val="00001CB2"/>
    <w:rsid w:val="00003B1A"/>
    <w:rsid w:val="00005DE0"/>
    <w:rsid w:val="0002395B"/>
    <w:rsid w:val="00027DA8"/>
    <w:rsid w:val="0003102D"/>
    <w:rsid w:val="000354D9"/>
    <w:rsid w:val="0005033B"/>
    <w:rsid w:val="0005131C"/>
    <w:rsid w:val="00051720"/>
    <w:rsid w:val="000723EC"/>
    <w:rsid w:val="00083BD0"/>
    <w:rsid w:val="00085E2B"/>
    <w:rsid w:val="000872FC"/>
    <w:rsid w:val="00092CF1"/>
    <w:rsid w:val="000A4136"/>
    <w:rsid w:val="000C2077"/>
    <w:rsid w:val="000E3882"/>
    <w:rsid w:val="000E4DF9"/>
    <w:rsid w:val="00110004"/>
    <w:rsid w:val="00122CF2"/>
    <w:rsid w:val="00124AC7"/>
    <w:rsid w:val="00132D36"/>
    <w:rsid w:val="00136FB1"/>
    <w:rsid w:val="001376DA"/>
    <w:rsid w:val="0014587D"/>
    <w:rsid w:val="00154CD8"/>
    <w:rsid w:val="00163C39"/>
    <w:rsid w:val="00174D14"/>
    <w:rsid w:val="0017578E"/>
    <w:rsid w:val="00176E23"/>
    <w:rsid w:val="00177E02"/>
    <w:rsid w:val="001821BC"/>
    <w:rsid w:val="001A7776"/>
    <w:rsid w:val="001B7D30"/>
    <w:rsid w:val="001D0035"/>
    <w:rsid w:val="001D5EE5"/>
    <w:rsid w:val="001D7F63"/>
    <w:rsid w:val="001E1D5D"/>
    <w:rsid w:val="00212750"/>
    <w:rsid w:val="00213771"/>
    <w:rsid w:val="00213A27"/>
    <w:rsid w:val="00214B74"/>
    <w:rsid w:val="00220724"/>
    <w:rsid w:val="0022334F"/>
    <w:rsid w:val="00223EED"/>
    <w:rsid w:val="00225877"/>
    <w:rsid w:val="00236CC8"/>
    <w:rsid w:val="00241BA9"/>
    <w:rsid w:val="002423D2"/>
    <w:rsid w:val="002523E2"/>
    <w:rsid w:val="00252E1E"/>
    <w:rsid w:val="00257B69"/>
    <w:rsid w:val="00265BD4"/>
    <w:rsid w:val="002801C2"/>
    <w:rsid w:val="002876E6"/>
    <w:rsid w:val="002906EF"/>
    <w:rsid w:val="00292DA6"/>
    <w:rsid w:val="00293841"/>
    <w:rsid w:val="00296386"/>
    <w:rsid w:val="002A1F48"/>
    <w:rsid w:val="002A3ACB"/>
    <w:rsid w:val="002A4F6A"/>
    <w:rsid w:val="002A77BD"/>
    <w:rsid w:val="002B47DD"/>
    <w:rsid w:val="002B4BBC"/>
    <w:rsid w:val="002B6258"/>
    <w:rsid w:val="002D3680"/>
    <w:rsid w:val="002E0B35"/>
    <w:rsid w:val="002E25EB"/>
    <w:rsid w:val="002F1F53"/>
    <w:rsid w:val="002F25C2"/>
    <w:rsid w:val="002F6138"/>
    <w:rsid w:val="003060A9"/>
    <w:rsid w:val="003070FB"/>
    <w:rsid w:val="00321B20"/>
    <w:rsid w:val="003308C2"/>
    <w:rsid w:val="00333FF2"/>
    <w:rsid w:val="00335862"/>
    <w:rsid w:val="00347565"/>
    <w:rsid w:val="00352101"/>
    <w:rsid w:val="00363F94"/>
    <w:rsid w:val="003819C6"/>
    <w:rsid w:val="003819E4"/>
    <w:rsid w:val="00381CD6"/>
    <w:rsid w:val="0039376C"/>
    <w:rsid w:val="00393C8F"/>
    <w:rsid w:val="003940F2"/>
    <w:rsid w:val="003B59EA"/>
    <w:rsid w:val="003E32A0"/>
    <w:rsid w:val="003F0224"/>
    <w:rsid w:val="003F34AA"/>
    <w:rsid w:val="003F6FAA"/>
    <w:rsid w:val="00403A4A"/>
    <w:rsid w:val="004060B8"/>
    <w:rsid w:val="00412B09"/>
    <w:rsid w:val="00416D30"/>
    <w:rsid w:val="0043667D"/>
    <w:rsid w:val="00440542"/>
    <w:rsid w:val="004409F6"/>
    <w:rsid w:val="004418DE"/>
    <w:rsid w:val="00441BA1"/>
    <w:rsid w:val="004424F7"/>
    <w:rsid w:val="00465A83"/>
    <w:rsid w:val="00467DD6"/>
    <w:rsid w:val="004701CB"/>
    <w:rsid w:val="00474E33"/>
    <w:rsid w:val="00477CBF"/>
    <w:rsid w:val="004879C9"/>
    <w:rsid w:val="004901A5"/>
    <w:rsid w:val="0049036C"/>
    <w:rsid w:val="004915D9"/>
    <w:rsid w:val="004A276C"/>
    <w:rsid w:val="004A2F95"/>
    <w:rsid w:val="004A72E2"/>
    <w:rsid w:val="004B3A43"/>
    <w:rsid w:val="004B41BD"/>
    <w:rsid w:val="004C3355"/>
    <w:rsid w:val="004D496C"/>
    <w:rsid w:val="004D73D5"/>
    <w:rsid w:val="004E158C"/>
    <w:rsid w:val="004E3F4D"/>
    <w:rsid w:val="004F27B6"/>
    <w:rsid w:val="004F67F7"/>
    <w:rsid w:val="00500314"/>
    <w:rsid w:val="005046FB"/>
    <w:rsid w:val="0050545C"/>
    <w:rsid w:val="00521626"/>
    <w:rsid w:val="00525110"/>
    <w:rsid w:val="005304D7"/>
    <w:rsid w:val="00557AA5"/>
    <w:rsid w:val="005633F0"/>
    <w:rsid w:val="0056698D"/>
    <w:rsid w:val="00567BF1"/>
    <w:rsid w:val="005712FF"/>
    <w:rsid w:val="00573666"/>
    <w:rsid w:val="00581617"/>
    <w:rsid w:val="00582628"/>
    <w:rsid w:val="005929F9"/>
    <w:rsid w:val="00592DB2"/>
    <w:rsid w:val="005956B9"/>
    <w:rsid w:val="005B04DF"/>
    <w:rsid w:val="005B1566"/>
    <w:rsid w:val="005B15EF"/>
    <w:rsid w:val="005C42B7"/>
    <w:rsid w:val="005C5536"/>
    <w:rsid w:val="005D14F8"/>
    <w:rsid w:val="005D59DC"/>
    <w:rsid w:val="005E2475"/>
    <w:rsid w:val="005F51A5"/>
    <w:rsid w:val="005F66FD"/>
    <w:rsid w:val="00606BA4"/>
    <w:rsid w:val="0062197B"/>
    <w:rsid w:val="00626D7F"/>
    <w:rsid w:val="00641AB2"/>
    <w:rsid w:val="006532BC"/>
    <w:rsid w:val="006536D5"/>
    <w:rsid w:val="00657D6A"/>
    <w:rsid w:val="00663169"/>
    <w:rsid w:val="00665EA7"/>
    <w:rsid w:val="00666832"/>
    <w:rsid w:val="006713DB"/>
    <w:rsid w:val="0068006A"/>
    <w:rsid w:val="00686150"/>
    <w:rsid w:val="006A3F57"/>
    <w:rsid w:val="006A455B"/>
    <w:rsid w:val="006A67B5"/>
    <w:rsid w:val="006B135B"/>
    <w:rsid w:val="006B4650"/>
    <w:rsid w:val="006B7452"/>
    <w:rsid w:val="006B7F6F"/>
    <w:rsid w:val="006C692B"/>
    <w:rsid w:val="006C6EE9"/>
    <w:rsid w:val="006D0C97"/>
    <w:rsid w:val="006D2A07"/>
    <w:rsid w:val="006D3A89"/>
    <w:rsid w:val="006D43E8"/>
    <w:rsid w:val="006D7366"/>
    <w:rsid w:val="006D73B0"/>
    <w:rsid w:val="006E1CF9"/>
    <w:rsid w:val="006E234F"/>
    <w:rsid w:val="006E2CD5"/>
    <w:rsid w:val="006E3969"/>
    <w:rsid w:val="006E4E30"/>
    <w:rsid w:val="006E4EB9"/>
    <w:rsid w:val="006E71D9"/>
    <w:rsid w:val="006F3085"/>
    <w:rsid w:val="006F49F1"/>
    <w:rsid w:val="00702F9A"/>
    <w:rsid w:val="00716EB6"/>
    <w:rsid w:val="00724291"/>
    <w:rsid w:val="007368F8"/>
    <w:rsid w:val="00751BB3"/>
    <w:rsid w:val="00753FBC"/>
    <w:rsid w:val="00763EC7"/>
    <w:rsid w:val="007642F1"/>
    <w:rsid w:val="007750C2"/>
    <w:rsid w:val="00776265"/>
    <w:rsid w:val="007778C5"/>
    <w:rsid w:val="0078148E"/>
    <w:rsid w:val="007A2A94"/>
    <w:rsid w:val="007B120B"/>
    <w:rsid w:val="007B6D57"/>
    <w:rsid w:val="007C1EA7"/>
    <w:rsid w:val="007C4858"/>
    <w:rsid w:val="007D49EF"/>
    <w:rsid w:val="007F0055"/>
    <w:rsid w:val="00800BAC"/>
    <w:rsid w:val="00801D49"/>
    <w:rsid w:val="0080553F"/>
    <w:rsid w:val="00812AEF"/>
    <w:rsid w:val="00815995"/>
    <w:rsid w:val="00815CCE"/>
    <w:rsid w:val="00820EDA"/>
    <w:rsid w:val="00827629"/>
    <w:rsid w:val="008277EC"/>
    <w:rsid w:val="00835406"/>
    <w:rsid w:val="00837C9C"/>
    <w:rsid w:val="00853633"/>
    <w:rsid w:val="00855176"/>
    <w:rsid w:val="00855EA7"/>
    <w:rsid w:val="0086564C"/>
    <w:rsid w:val="00871793"/>
    <w:rsid w:val="00882AFD"/>
    <w:rsid w:val="00884FD2"/>
    <w:rsid w:val="00885501"/>
    <w:rsid w:val="00890326"/>
    <w:rsid w:val="008933DF"/>
    <w:rsid w:val="00897166"/>
    <w:rsid w:val="008A16D8"/>
    <w:rsid w:val="008A42B7"/>
    <w:rsid w:val="008A57C7"/>
    <w:rsid w:val="008B2610"/>
    <w:rsid w:val="008B27C1"/>
    <w:rsid w:val="008B631E"/>
    <w:rsid w:val="008D2F9F"/>
    <w:rsid w:val="008F2A4F"/>
    <w:rsid w:val="00905EB8"/>
    <w:rsid w:val="009112AB"/>
    <w:rsid w:val="009112DE"/>
    <w:rsid w:val="009133CA"/>
    <w:rsid w:val="009134AE"/>
    <w:rsid w:val="00915CBE"/>
    <w:rsid w:val="00923AA1"/>
    <w:rsid w:val="0093047F"/>
    <w:rsid w:val="009313D6"/>
    <w:rsid w:val="00932CBD"/>
    <w:rsid w:val="00933640"/>
    <w:rsid w:val="009441C7"/>
    <w:rsid w:val="0095681D"/>
    <w:rsid w:val="0095773D"/>
    <w:rsid w:val="009577F1"/>
    <w:rsid w:val="00961654"/>
    <w:rsid w:val="0096676D"/>
    <w:rsid w:val="00974F1A"/>
    <w:rsid w:val="00984F47"/>
    <w:rsid w:val="00990362"/>
    <w:rsid w:val="00991035"/>
    <w:rsid w:val="0099186D"/>
    <w:rsid w:val="00994ACA"/>
    <w:rsid w:val="009972F3"/>
    <w:rsid w:val="009A2733"/>
    <w:rsid w:val="009A6695"/>
    <w:rsid w:val="009A7D21"/>
    <w:rsid w:val="009B7E8D"/>
    <w:rsid w:val="009C0513"/>
    <w:rsid w:val="009C5E6F"/>
    <w:rsid w:val="009D3EC6"/>
    <w:rsid w:val="009D50F2"/>
    <w:rsid w:val="009D6324"/>
    <w:rsid w:val="009E2D20"/>
    <w:rsid w:val="009E5BC8"/>
    <w:rsid w:val="009F0071"/>
    <w:rsid w:val="009F1D68"/>
    <w:rsid w:val="00A00A95"/>
    <w:rsid w:val="00A053EF"/>
    <w:rsid w:val="00A14F04"/>
    <w:rsid w:val="00A233A4"/>
    <w:rsid w:val="00A2567A"/>
    <w:rsid w:val="00A25A28"/>
    <w:rsid w:val="00A271CA"/>
    <w:rsid w:val="00A3451B"/>
    <w:rsid w:val="00A50421"/>
    <w:rsid w:val="00A50479"/>
    <w:rsid w:val="00A6741D"/>
    <w:rsid w:val="00A726C7"/>
    <w:rsid w:val="00A95110"/>
    <w:rsid w:val="00A97A93"/>
    <w:rsid w:val="00AA08CC"/>
    <w:rsid w:val="00AC147F"/>
    <w:rsid w:val="00AD05F3"/>
    <w:rsid w:val="00AD2A23"/>
    <w:rsid w:val="00AE681F"/>
    <w:rsid w:val="00B01C52"/>
    <w:rsid w:val="00B2172F"/>
    <w:rsid w:val="00B21E30"/>
    <w:rsid w:val="00B66ACC"/>
    <w:rsid w:val="00BE33B4"/>
    <w:rsid w:val="00BF2520"/>
    <w:rsid w:val="00C04BD5"/>
    <w:rsid w:val="00C14D46"/>
    <w:rsid w:val="00C215D3"/>
    <w:rsid w:val="00C23B53"/>
    <w:rsid w:val="00C31288"/>
    <w:rsid w:val="00C31F65"/>
    <w:rsid w:val="00C41B7E"/>
    <w:rsid w:val="00C4694C"/>
    <w:rsid w:val="00C54654"/>
    <w:rsid w:val="00C65475"/>
    <w:rsid w:val="00C670BF"/>
    <w:rsid w:val="00C7089D"/>
    <w:rsid w:val="00C803D2"/>
    <w:rsid w:val="00C805EA"/>
    <w:rsid w:val="00CA5181"/>
    <w:rsid w:val="00CB7912"/>
    <w:rsid w:val="00CB79DE"/>
    <w:rsid w:val="00CC362B"/>
    <w:rsid w:val="00CC4D35"/>
    <w:rsid w:val="00CC5C21"/>
    <w:rsid w:val="00CC745E"/>
    <w:rsid w:val="00CC775E"/>
    <w:rsid w:val="00CD2B9F"/>
    <w:rsid w:val="00CD5177"/>
    <w:rsid w:val="00CE2258"/>
    <w:rsid w:val="00CE3E54"/>
    <w:rsid w:val="00CE6CB3"/>
    <w:rsid w:val="00D01AED"/>
    <w:rsid w:val="00D15561"/>
    <w:rsid w:val="00D20CFD"/>
    <w:rsid w:val="00D23754"/>
    <w:rsid w:val="00D2509C"/>
    <w:rsid w:val="00D25E6B"/>
    <w:rsid w:val="00D36367"/>
    <w:rsid w:val="00D37E15"/>
    <w:rsid w:val="00D4072C"/>
    <w:rsid w:val="00D44A5E"/>
    <w:rsid w:val="00D45810"/>
    <w:rsid w:val="00D5772A"/>
    <w:rsid w:val="00D7254D"/>
    <w:rsid w:val="00D74E72"/>
    <w:rsid w:val="00D81293"/>
    <w:rsid w:val="00D938A8"/>
    <w:rsid w:val="00DA38B6"/>
    <w:rsid w:val="00DA3AE1"/>
    <w:rsid w:val="00DB0142"/>
    <w:rsid w:val="00DB1A17"/>
    <w:rsid w:val="00DD2F4B"/>
    <w:rsid w:val="00DE5E22"/>
    <w:rsid w:val="00DF1A72"/>
    <w:rsid w:val="00DF25C8"/>
    <w:rsid w:val="00E124D5"/>
    <w:rsid w:val="00E23B46"/>
    <w:rsid w:val="00E27305"/>
    <w:rsid w:val="00E27C0E"/>
    <w:rsid w:val="00E56013"/>
    <w:rsid w:val="00E57687"/>
    <w:rsid w:val="00E64F52"/>
    <w:rsid w:val="00E70121"/>
    <w:rsid w:val="00E7291F"/>
    <w:rsid w:val="00E83753"/>
    <w:rsid w:val="00E86438"/>
    <w:rsid w:val="00E902B3"/>
    <w:rsid w:val="00E94ED6"/>
    <w:rsid w:val="00EA0FE3"/>
    <w:rsid w:val="00EA1E60"/>
    <w:rsid w:val="00EA3005"/>
    <w:rsid w:val="00EA4262"/>
    <w:rsid w:val="00EA6691"/>
    <w:rsid w:val="00EB0910"/>
    <w:rsid w:val="00ED33DF"/>
    <w:rsid w:val="00EE3680"/>
    <w:rsid w:val="00EE77CB"/>
    <w:rsid w:val="00EF59CE"/>
    <w:rsid w:val="00F11CFC"/>
    <w:rsid w:val="00F13585"/>
    <w:rsid w:val="00F1734D"/>
    <w:rsid w:val="00F439F5"/>
    <w:rsid w:val="00F44330"/>
    <w:rsid w:val="00F52CCB"/>
    <w:rsid w:val="00F64924"/>
    <w:rsid w:val="00F7044E"/>
    <w:rsid w:val="00F730E9"/>
    <w:rsid w:val="00F73F98"/>
    <w:rsid w:val="00F81886"/>
    <w:rsid w:val="00F84EA0"/>
    <w:rsid w:val="00F9570C"/>
    <w:rsid w:val="00FB00B9"/>
    <w:rsid w:val="00FB0E98"/>
    <w:rsid w:val="00FB2AC6"/>
    <w:rsid w:val="00FB5E7A"/>
    <w:rsid w:val="00FB7330"/>
    <w:rsid w:val="00FD36DD"/>
    <w:rsid w:val="00FD5013"/>
    <w:rsid w:val="00FE469D"/>
    <w:rsid w:val="00FF745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fr-FR"/>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fr-FR"/>
    </w:rPr>
  </w:style>
  <w:style w:type="paragraph" w:styleId="Revision">
    <w:name w:val="Revision"/>
    <w:hidden/>
    <w:uiPriority w:val="99"/>
    <w:semiHidden/>
    <w:rsid w:val="00885501"/>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fr-FR"/>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fr-FR"/>
    </w:rPr>
  </w:style>
  <w:style w:type="paragraph" w:styleId="Revision">
    <w:name w:val="Revision"/>
    <w:hidden/>
    <w:uiPriority w:val="99"/>
    <w:semiHidden/>
    <w:rsid w:val="00885501"/>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934172298">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eesc.europa.eu/?i=portal.en.videos.4108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ress@eesc.europa.euT" TargetMode="External"/><Relationship Id="rId2" Type="http://schemas.openxmlformats.org/officeDocument/2006/relationships/customXml" Target="../customXml/item2.xml"/><Relationship Id="rId16" Type="http://schemas.openxmlformats.org/officeDocument/2006/relationships/hyperlink" Target="http://www.consilium.europa.eu/fr/press/press-releases/2017/03/25-rome-decla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c.europa.eu/commission/sites/beta-political/files/livre_blanc_sur_lavenir_de_leurope_fr.pdf" TargetMode="External"/><Relationship Id="rId10" Type="http://schemas.openxmlformats.org/officeDocument/2006/relationships/webSettings" Target="webSettings.xml"/><Relationship Id="rId19" Type="http://schemas.openxmlformats.org/officeDocument/2006/relationships/hyperlink" Target="mailto:press@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WTPCSN73YJ26-5-2652</_dlc_DocId>
    <_dlc_DocIdUrl xmlns="8a3471f6-0f36-4ccf-b5ee-1ca67ea797ef">
      <Url>http://dm/EESC/2017/_layouts/DocIdRedir.aspx?ID=WTPCSN73YJ26-5-2652</Url>
      <Description>WTPCSN73YJ26-5-2652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2017-05-24T12:00:00+00:00</ProductionDate>
    <DocumentNumber xmlns="d1332135-b17a-446f-a1ae-f2f9eb486b6d">2583</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6045</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410B4-05DA-49B4-8E9F-62DE258FE6E3}">
  <ds:schemaRefs>
    <ds:schemaRef ds:uri="http://schemas.microsoft.com/sharepoint/v3/contenttype/forms"/>
  </ds:schemaRefs>
</ds:datastoreItem>
</file>

<file path=customXml/itemProps2.xml><?xml version="1.0" encoding="utf-8"?>
<ds:datastoreItem xmlns:ds="http://schemas.openxmlformats.org/officeDocument/2006/customXml" ds:itemID="{18E93619-351C-4DB1-B346-7D346EF8C310}">
  <ds:schemaRefs>
    <ds:schemaRef ds:uri="http://schemas.microsoft.com/sharepoint/events"/>
  </ds:schemaRefs>
</ds:datastoreItem>
</file>

<file path=customXml/itemProps3.xml><?xml version="1.0" encoding="utf-8"?>
<ds:datastoreItem xmlns:ds="http://schemas.openxmlformats.org/officeDocument/2006/customXml" ds:itemID="{9E0B5FA5-CBFC-4ED7-B3C2-9078D642C306}">
  <ds:schemaRefs>
    <ds:schemaRef ds:uri="http://purl.org/dc/terms/"/>
    <ds:schemaRef ds:uri="http://www.w3.org/XML/1998/namespace"/>
    <ds:schemaRef ds:uri="8a3471f6-0f36-4ccf-b5ee-1ca67ea797ef"/>
    <ds:schemaRef ds:uri="http://purl.org/dc/dcmitype/"/>
    <ds:schemaRef ds:uri="http://purl.org/dc/elements/1.1/"/>
    <ds:schemaRef ds:uri="d1332135-b17a-446f-a1ae-f2f9eb486b6d"/>
    <ds:schemaRef ds:uri="http://schemas.microsoft.com/office/infopath/2007/PartnerControls"/>
    <ds:schemaRef ds:uri="http://schemas.microsoft.com/office/2006/documentManagement/types"/>
    <ds:schemaRef ds:uri="http://schemas.microsoft.com/sharepoint/v3/field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880CAD5-E11F-48A9-A478-2FDA091E7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90747E-A3D7-4E0C-AB17-280DA8C1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Pages>
  <Words>837</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Conférence ODD</vt:lpstr>
    </vt:vector>
  </TitlesOfParts>
  <Company>CESE-CdR</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Conférence ODD</dc:title>
  <dc:subject>Communiqué de presse</dc:subject>
  <dc:creator>Silvia Monika Aumair</dc:creator>
  <cp:keywords>EESC-2017-02583-00-00-CP-TRA-FR</cp:keywords>
  <dc:description>Rapporteur : -_x000d_
Langue originale : EN_x000d_
Date du document : 24/05/2017_x000d_
Date de la réunion : _x000d_
Documents externes : -_x000d_
Fonctionnaire responsable : Aumair Silvia Monika, téléphone : + 2 546 8141_x000d_
_x000d_
Résumé :</dc:description>
  <cp:lastModifiedBy>Laura Irena Lui</cp:lastModifiedBy>
  <cp:revision>3</cp:revision>
  <cp:lastPrinted>2017-05-22T16:55:00Z</cp:lastPrinted>
  <dcterms:created xsi:type="dcterms:W3CDTF">2017-05-24T11:02:00Z</dcterms:created>
  <dcterms:modified xsi:type="dcterms:W3CDTF">2017-07-06T08:43:00Z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24/05/2017</vt:lpwstr>
  </property>
  <property fmtid="{D5CDD505-2E9C-101B-9397-08002B2CF9AE}" pid="4" name="Pref_Time">
    <vt:lpwstr>08:21:53</vt:lpwstr>
  </property>
  <property fmtid="{D5CDD505-2E9C-101B-9397-08002B2CF9AE}" pid="5" name="Pref_User">
    <vt:lpwstr>tvoc</vt:lpwstr>
  </property>
  <property fmtid="{D5CDD505-2E9C-101B-9397-08002B2CF9AE}" pid="6" name="Pref_FileName">
    <vt:lpwstr>EESC-2017-02583-00-00-CP-ORI.docx</vt:lpwstr>
  </property>
  <property fmtid="{D5CDD505-2E9C-101B-9397-08002B2CF9AE}" pid="7" name="ContentTypeId">
    <vt:lpwstr>0x010100EA97B91038054C99906057A708A1480A003F2E69B9A178FF4F86235F65FC497A74</vt:lpwstr>
  </property>
  <property fmtid="{D5CDD505-2E9C-101B-9397-08002B2CF9AE}" pid="8" name="_dlc_DocIdItemGuid">
    <vt:lpwstr>cfd01293-797d-4c07-b489-ff2b226ceafe</vt:lpwstr>
  </property>
  <property fmtid="{D5CDD505-2E9C-101B-9397-08002B2CF9AE}" pid="9" name="DocumentType_0">
    <vt:lpwstr>CP|de8ad211-9e8d-408b-8324-674d21bb7d18</vt:lpwstr>
  </property>
  <property fmtid="{D5CDD505-2E9C-101B-9397-08002B2CF9AE}" pid="10" name="AvailableTranslations">
    <vt:lpwstr>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2583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5;#Unrestricted|826e22d7-d029-4ec0-a450-0c28ff673572;#6;#Final|ea5e6674-7b27-4bac-b091-73adbb394efe;#57;#CP|de8ad211-9e8d-408b-8324-674d21bb7d18;#4;#EN|f2175f21-25d7-44a3-96da-d6a61b075e1b;#2;#TRA|150d2a88-1431-44e6-a8ca-0bb753ab8672;#1;#EESC|422833ec-8d7</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6045</vt:i4>
  </property>
  <property fmtid="{D5CDD505-2E9C-101B-9397-08002B2CF9AE}" pid="34" name="DocumentYear">
    <vt:i4>2017</vt:i4>
  </property>
  <property fmtid="{D5CDD505-2E9C-101B-9397-08002B2CF9AE}" pid="35" name="DocumentLanguage">
    <vt:lpwstr>8;#FR|d2afafd3-4c81-4f60-8f52-ee33f2f54ff3</vt:lpwstr>
  </property>
</Properties>
</file>