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EA" w:rsidRPr="0035474A" w:rsidRDefault="008F61EA" w:rsidP="00FB6162">
      <w:pPr>
        <w:spacing w:line="240" w:lineRule="auto"/>
        <w:rPr>
          <w:lang w:val="pl-PL"/>
        </w:rPr>
      </w:pPr>
      <w:bookmarkStart w:id="0" w:name="_GoBack"/>
      <w:bookmarkEnd w:id="0"/>
      <w:r w:rsidRPr="0035474A">
        <w:rPr>
          <w:noProof/>
          <w:lang w:val="fr-BE" w:eastAsia="fr-BE"/>
        </w:rPr>
        <w:drawing>
          <wp:inline distT="0" distB="0" distL="0" distR="0" wp14:anchorId="495A887D" wp14:editId="31330E42">
            <wp:extent cx="5760085" cy="139236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39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F83179" w:rsidRPr="0035474A">
        <w:trPr>
          <w:cantSplit/>
        </w:trPr>
        <w:tc>
          <w:tcPr>
            <w:tcW w:w="5168" w:type="dxa"/>
          </w:tcPr>
          <w:p w:rsidR="00F83179" w:rsidRPr="0035474A" w:rsidRDefault="00F83179" w:rsidP="00FB6162">
            <w:pPr>
              <w:spacing w:line="240" w:lineRule="auto"/>
              <w:rPr>
                <w:rFonts w:ascii="Verdana" w:hAnsi="Verdana"/>
                <w:b/>
                <w:bCs/>
                <w:sz w:val="20"/>
                <w:lang w:val="pl-PL" w:eastAsia="pl-PL" w:bidi="pl-PL"/>
              </w:rPr>
            </w:pPr>
            <w:r w:rsidRPr="0035474A">
              <w:rPr>
                <w:rFonts w:ascii="Verdana" w:hAnsi="Verdana"/>
                <w:b/>
                <w:sz w:val="20"/>
                <w:lang w:val="pl-PL"/>
              </w:rPr>
              <w:t>KOMUNIKAT PRASOWY nr 33/2015</w:t>
            </w:r>
          </w:p>
        </w:tc>
        <w:tc>
          <w:tcPr>
            <w:tcW w:w="4119" w:type="dxa"/>
          </w:tcPr>
          <w:p w:rsidR="00F83179" w:rsidRPr="0035474A" w:rsidRDefault="004718C9" w:rsidP="00FB6162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20"/>
                <w:lang w:val="pl-PL" w:eastAsia="pl-PL" w:bidi="pl-PL"/>
              </w:rPr>
            </w:pPr>
            <w:r w:rsidRPr="0035474A">
              <w:rPr>
                <w:rFonts w:ascii="Verdana" w:hAnsi="Verdana"/>
                <w:b/>
                <w:sz w:val="20"/>
                <w:lang w:val="pl-PL"/>
              </w:rPr>
              <w:t>28 maja 2015 r.</w:t>
            </w:r>
          </w:p>
        </w:tc>
      </w:tr>
    </w:tbl>
    <w:p w:rsidR="00F83179" w:rsidRPr="0035474A" w:rsidRDefault="004718C9" w:rsidP="00FB6162">
      <w:pPr>
        <w:spacing w:line="240" w:lineRule="auto"/>
        <w:rPr>
          <w:rFonts w:ascii="Verdana" w:hAnsi="Verdana"/>
          <w:sz w:val="20"/>
          <w:lang w:val="pl-PL"/>
        </w:rPr>
      </w:pPr>
      <w:r w:rsidRPr="0035474A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EB6D491" wp14:editId="1705894F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179" w:rsidRPr="00582C17" w:rsidRDefault="00F83179" w:rsidP="00582C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lang w:val="pl-PL"/>
                              </w:rPr>
                            </w:pPr>
                            <w:r w:rsidRPr="00582C17">
                              <w:rPr>
                                <w:rFonts w:ascii="Arial" w:hAnsi="Arial" w:cs="Arial"/>
                                <w:b/>
                                <w:sz w:val="48"/>
                                <w:lang w:val="pl-PL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jB4tQ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DW+jB4tQIAALg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F83179" w:rsidRPr="00582C17" w:rsidRDefault="00F83179" w:rsidP="00582C17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lang w:val="pl-PL"/>
                        </w:rPr>
                      </w:pPr>
                      <w:r w:rsidRPr="00582C17">
                        <w:rPr>
                          <w:rFonts w:ascii="Arial" w:hAnsi="Arial" w:cs="Arial"/>
                          <w:b/>
                          <w:sz w:val="48"/>
                          <w:lang w:val="pl-PL"/>
                        </w:rPr>
                        <w:t>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83179" w:rsidRPr="0035474A" w:rsidRDefault="00F83179" w:rsidP="00FB6162">
      <w:pPr>
        <w:spacing w:line="240" w:lineRule="auto"/>
        <w:rPr>
          <w:rFonts w:ascii="Verdana" w:hAnsi="Verdana"/>
          <w:sz w:val="20"/>
          <w:lang w:val="pl-PL"/>
        </w:rPr>
        <w:sectPr w:rsidR="00F83179" w:rsidRPr="0035474A" w:rsidSect="00582C17">
          <w:footerReference w:type="default" r:id="rId13"/>
          <w:pgSz w:w="11907" w:h="16839" w:code="9"/>
          <w:pgMar w:top="425" w:right="1418" w:bottom="1418" w:left="1418" w:header="3062" w:footer="454" w:gutter="0"/>
          <w:cols w:space="720"/>
          <w:docGrid w:linePitch="299"/>
        </w:sectPr>
      </w:pPr>
    </w:p>
    <w:p w:rsidR="004718C9" w:rsidRPr="0035474A" w:rsidRDefault="004718C9" w:rsidP="00FB6162">
      <w:pPr>
        <w:spacing w:line="240" w:lineRule="auto"/>
        <w:jc w:val="center"/>
        <w:rPr>
          <w:rFonts w:ascii="Verdana" w:hAnsi="Verdana"/>
          <w:b/>
          <w:sz w:val="28"/>
          <w:lang w:val="pl-PL"/>
        </w:rPr>
      </w:pPr>
    </w:p>
    <w:p w:rsidR="00741B4E" w:rsidRPr="0035474A" w:rsidRDefault="00741B4E" w:rsidP="00FB6162">
      <w:pPr>
        <w:spacing w:line="240" w:lineRule="auto"/>
        <w:jc w:val="center"/>
        <w:rPr>
          <w:rFonts w:ascii="Verdana" w:hAnsi="Verdana"/>
          <w:b/>
          <w:sz w:val="28"/>
          <w:lang w:val="pl-PL"/>
        </w:rPr>
      </w:pPr>
    </w:p>
    <w:p w:rsidR="004718C9" w:rsidRPr="0035474A" w:rsidRDefault="004718C9" w:rsidP="00FB6162">
      <w:pPr>
        <w:spacing w:line="240" w:lineRule="auto"/>
        <w:jc w:val="center"/>
        <w:rPr>
          <w:rFonts w:ascii="Verdana" w:hAnsi="Verdana"/>
          <w:b/>
          <w:sz w:val="28"/>
          <w:lang w:val="pl-PL"/>
        </w:rPr>
      </w:pPr>
      <w:r w:rsidRPr="0035474A">
        <w:rPr>
          <w:rFonts w:ascii="Verdana" w:hAnsi="Verdana"/>
          <w:b/>
          <w:sz w:val="28"/>
          <w:lang w:val="pl-PL"/>
        </w:rPr>
        <w:t>EKES sprzeciwia się włączeniu ISDS do TTIP i CETA i</w:t>
      </w:r>
      <w:r w:rsidR="00741B4E" w:rsidRPr="0035474A">
        <w:rPr>
          <w:rFonts w:ascii="Verdana" w:hAnsi="Verdana"/>
          <w:b/>
          <w:sz w:val="28"/>
          <w:lang w:val="pl-PL"/>
        </w:rPr>
        <w:t> </w:t>
      </w:r>
      <w:r w:rsidRPr="0035474A">
        <w:rPr>
          <w:rFonts w:ascii="Verdana" w:hAnsi="Verdana"/>
          <w:b/>
          <w:sz w:val="28"/>
          <w:lang w:val="pl-PL"/>
        </w:rPr>
        <w:t xml:space="preserve">wzywa do ustanowienia międzynarodowego trybunału inwestycyjnego </w:t>
      </w:r>
    </w:p>
    <w:p w:rsidR="00F83179" w:rsidRPr="0035474A" w:rsidRDefault="00F83179" w:rsidP="00FB6162">
      <w:pPr>
        <w:spacing w:line="240" w:lineRule="auto"/>
        <w:jc w:val="center"/>
        <w:rPr>
          <w:rFonts w:ascii="Verdana" w:hAnsi="Verdana"/>
          <w:b/>
          <w:sz w:val="28"/>
          <w:lang w:val="pl-PL"/>
        </w:rPr>
      </w:pPr>
    </w:p>
    <w:p w:rsidR="004718C9" w:rsidRPr="0035474A" w:rsidRDefault="004718C9" w:rsidP="00FB6162">
      <w:pPr>
        <w:spacing w:line="240" w:lineRule="auto"/>
        <w:jc w:val="center"/>
        <w:rPr>
          <w:rFonts w:ascii="Verdana" w:hAnsi="Verdana"/>
          <w:b/>
          <w:sz w:val="28"/>
          <w:lang w:val="pl-PL"/>
        </w:rPr>
      </w:pPr>
    </w:p>
    <w:p w:rsidR="004718C9" w:rsidRPr="0035474A" w:rsidRDefault="004718C9" w:rsidP="00FB6162">
      <w:pPr>
        <w:spacing w:line="240" w:lineRule="auto"/>
        <w:rPr>
          <w:rFonts w:ascii="Verdana" w:hAnsi="Verdana"/>
          <w:b/>
          <w:sz w:val="20"/>
          <w:lang w:val="pl-PL"/>
        </w:rPr>
      </w:pPr>
      <w:r w:rsidRPr="0035474A">
        <w:rPr>
          <w:rFonts w:ascii="Verdana" w:hAnsi="Verdana"/>
          <w:b/>
          <w:sz w:val="20"/>
          <w:lang w:val="pl-PL"/>
        </w:rPr>
        <w:t xml:space="preserve">W przyjętej 27 maja opinii Europejski Komitet Ekonomiczno-Społeczny sprzeciwia się włączeniu postanowień dotyczących rozstrzygania sporów między inwestorem a państwem (ISDS) do transatlantyckiego partnerstwa handlowo-inwestycyjnego (TTIP) oraz kompleksowej umowy gospodarczo-handlowej (CETA), gdyż mogą one negatywnie wpłynąć na obydwa porozumienia. </w:t>
      </w:r>
    </w:p>
    <w:p w:rsidR="00F83179" w:rsidRPr="0035474A" w:rsidRDefault="00F83179" w:rsidP="00FB6162">
      <w:pPr>
        <w:spacing w:line="240" w:lineRule="auto"/>
        <w:rPr>
          <w:rFonts w:ascii="Verdana" w:hAnsi="Verdana"/>
          <w:sz w:val="18"/>
          <w:szCs w:val="18"/>
          <w:lang w:val="pl-PL"/>
        </w:rPr>
      </w:pPr>
    </w:p>
    <w:p w:rsidR="004718C9" w:rsidRPr="0035474A" w:rsidRDefault="004718C9" w:rsidP="00FB6162">
      <w:pPr>
        <w:spacing w:line="240" w:lineRule="auto"/>
        <w:rPr>
          <w:rFonts w:ascii="Verdana" w:hAnsi="Verdana"/>
          <w:i/>
          <w:sz w:val="18"/>
          <w:lang w:val="pl-PL"/>
        </w:rPr>
      </w:pPr>
      <w:r w:rsidRPr="0035474A">
        <w:rPr>
          <w:rFonts w:ascii="Verdana" w:hAnsi="Verdana"/>
          <w:sz w:val="18"/>
          <w:lang w:val="pl-PL"/>
        </w:rPr>
        <w:t xml:space="preserve">„To nie jest opinia przeciwko ochronie inwestorów, lecz opinia, w której sprzeciwiamy się ISDS, gdyż nie jest to forma rozstrzygania sporów, która byłaby do przyjęcia przez większość społeczeństwa obywatelskiego”, powiedział </w:t>
      </w:r>
      <w:r w:rsidRPr="0035474A">
        <w:rPr>
          <w:rFonts w:ascii="Verdana" w:hAnsi="Verdana"/>
          <w:b/>
          <w:sz w:val="18"/>
          <w:lang w:val="pl-PL"/>
        </w:rPr>
        <w:t>sprawozdawca EKES-u Sandy Boyle</w:t>
      </w:r>
      <w:r w:rsidRPr="0035474A">
        <w:rPr>
          <w:rFonts w:ascii="Verdana" w:hAnsi="Verdana"/>
          <w:sz w:val="18"/>
          <w:lang w:val="pl-PL"/>
        </w:rPr>
        <w:t xml:space="preserve">. </w:t>
      </w:r>
      <w:r w:rsidRPr="0035474A">
        <w:rPr>
          <w:rFonts w:ascii="Verdana" w:hAnsi="Verdana"/>
          <w:i/>
          <w:sz w:val="18"/>
          <w:lang w:val="pl-PL"/>
        </w:rPr>
        <w:t>„Brak przejrzystości i jasnych przepisów dotyczących arbitrażu, brak prawa do odwołania oraz dyskryminacja inwestorów krajowych, którzy nie mogą skorzystać z tego systemu, podważyły jego wiarygodność”.</w:t>
      </w:r>
    </w:p>
    <w:p w:rsidR="004718C9" w:rsidRPr="0035474A" w:rsidRDefault="004718C9" w:rsidP="00FB6162">
      <w:pPr>
        <w:spacing w:line="240" w:lineRule="auto"/>
        <w:rPr>
          <w:rFonts w:ascii="Verdana" w:hAnsi="Verdana"/>
          <w:sz w:val="18"/>
          <w:lang w:val="pl-PL"/>
        </w:rPr>
      </w:pPr>
    </w:p>
    <w:p w:rsidR="004718C9" w:rsidRPr="0035474A" w:rsidRDefault="004718C9" w:rsidP="00FB6162">
      <w:pPr>
        <w:spacing w:line="240" w:lineRule="auto"/>
        <w:rPr>
          <w:rFonts w:ascii="Verdana" w:hAnsi="Verdana"/>
          <w:sz w:val="18"/>
          <w:lang w:val="pl-PL"/>
        </w:rPr>
      </w:pPr>
      <w:r w:rsidRPr="0035474A">
        <w:rPr>
          <w:rFonts w:ascii="Verdana" w:hAnsi="Verdana"/>
          <w:sz w:val="18"/>
          <w:lang w:val="pl-PL"/>
        </w:rPr>
        <w:t>Po dokładnym przeanalizowaniu postanowień dotyczących inwestycji w ramach CETA i umowy o</w:t>
      </w:r>
      <w:r w:rsidR="009329D4" w:rsidRPr="0035474A">
        <w:rPr>
          <w:rFonts w:ascii="Verdana" w:hAnsi="Verdana"/>
          <w:sz w:val="18"/>
          <w:lang w:val="pl-PL"/>
        </w:rPr>
        <w:t> </w:t>
      </w:r>
      <w:r w:rsidRPr="0035474A">
        <w:rPr>
          <w:rFonts w:ascii="Verdana" w:hAnsi="Verdana"/>
          <w:sz w:val="18"/>
          <w:lang w:val="pl-PL"/>
        </w:rPr>
        <w:t>wolnym handlu z Singapurem EKES stwierdził, że usprawnienia poczynione w obecnym systemie ISDS nie wystarczą do złagodzenia obaw społeczeństwa. Dlatego też z zaniepokojeniem odnotowuje, że model ISDS w ramach CETA stanowi obecnie podstawę negocjacji umowy o</w:t>
      </w:r>
      <w:r w:rsidR="009329D4" w:rsidRPr="0035474A">
        <w:rPr>
          <w:rFonts w:ascii="Verdana" w:hAnsi="Verdana"/>
          <w:sz w:val="18"/>
          <w:lang w:val="pl-PL"/>
        </w:rPr>
        <w:t> </w:t>
      </w:r>
      <w:r w:rsidRPr="0035474A">
        <w:rPr>
          <w:rFonts w:ascii="Verdana" w:hAnsi="Verdana"/>
          <w:sz w:val="18"/>
          <w:lang w:val="pl-PL"/>
        </w:rPr>
        <w:t>wolnym handlu między UE a Japonią.</w:t>
      </w:r>
    </w:p>
    <w:p w:rsidR="004718C9" w:rsidRPr="0035474A" w:rsidRDefault="004718C9" w:rsidP="00FB6162">
      <w:pPr>
        <w:spacing w:line="240" w:lineRule="auto"/>
        <w:rPr>
          <w:rFonts w:ascii="Verdana" w:hAnsi="Verdana"/>
          <w:sz w:val="18"/>
          <w:lang w:val="pl-PL"/>
        </w:rPr>
      </w:pPr>
    </w:p>
    <w:p w:rsidR="004718C9" w:rsidRPr="0035474A" w:rsidRDefault="004718C9" w:rsidP="00FB6162">
      <w:pPr>
        <w:spacing w:line="240" w:lineRule="auto"/>
        <w:rPr>
          <w:rFonts w:ascii="Verdana" w:hAnsi="Verdana"/>
          <w:sz w:val="18"/>
          <w:lang w:val="pl-PL"/>
        </w:rPr>
      </w:pPr>
      <w:r w:rsidRPr="0035474A">
        <w:rPr>
          <w:rFonts w:ascii="Verdana" w:hAnsi="Verdana"/>
          <w:sz w:val="18"/>
          <w:lang w:val="pl-PL"/>
        </w:rPr>
        <w:t xml:space="preserve">EKES szczegółowo analizuje cztery obszary reform wskazane przez Komisję Europejską i zwraca uwagę na potrzebę opracowania alternatywnej procedury rozstrzygania sporów inwestycyjnych, tak </w:t>
      </w:r>
      <w:proofErr w:type="gramStart"/>
      <w:r w:rsidRPr="0035474A">
        <w:rPr>
          <w:rFonts w:ascii="Verdana" w:hAnsi="Verdana"/>
          <w:sz w:val="18"/>
          <w:lang w:val="pl-PL"/>
        </w:rPr>
        <w:t>aby</w:t>
      </w:r>
      <w:proofErr w:type="gramEnd"/>
      <w:r w:rsidRPr="0035474A">
        <w:rPr>
          <w:rFonts w:ascii="Verdana" w:hAnsi="Verdana"/>
          <w:sz w:val="18"/>
          <w:lang w:val="pl-PL"/>
        </w:rPr>
        <w:t xml:space="preserve"> pogodzić uzasadnione wymagania inwestorów i obawy społeczeństwa obywatelskiego. Aby zapewnić demokratyczny, sprawiedliwy, przejrzysty i oparty na równych warunkach system, Komitet wzywa do ustanowienia </w:t>
      </w:r>
      <w:r w:rsidRPr="0035474A">
        <w:rPr>
          <w:rFonts w:ascii="Verdana" w:hAnsi="Verdana"/>
          <w:b/>
          <w:sz w:val="18"/>
          <w:lang w:val="pl-PL"/>
        </w:rPr>
        <w:t>międzynarodowego trybunału inwestycyjnego</w:t>
      </w:r>
      <w:r w:rsidRPr="0035474A">
        <w:rPr>
          <w:rFonts w:ascii="Verdana" w:hAnsi="Verdana"/>
          <w:sz w:val="18"/>
          <w:lang w:val="pl-PL"/>
        </w:rPr>
        <w:t>.</w:t>
      </w:r>
    </w:p>
    <w:p w:rsidR="004718C9" w:rsidRPr="0035474A" w:rsidRDefault="004718C9" w:rsidP="00FB6162">
      <w:pPr>
        <w:spacing w:line="240" w:lineRule="auto"/>
        <w:rPr>
          <w:rFonts w:ascii="Verdana" w:hAnsi="Verdana"/>
          <w:sz w:val="18"/>
          <w:lang w:val="pl-PL"/>
        </w:rPr>
      </w:pPr>
    </w:p>
    <w:p w:rsidR="004718C9" w:rsidRPr="0035474A" w:rsidRDefault="004718C9" w:rsidP="00FB6162">
      <w:pPr>
        <w:spacing w:line="240" w:lineRule="auto"/>
        <w:rPr>
          <w:rFonts w:ascii="Verdana" w:hAnsi="Verdana"/>
          <w:sz w:val="18"/>
          <w:lang w:val="pl-PL"/>
        </w:rPr>
      </w:pPr>
      <w:r w:rsidRPr="0035474A">
        <w:rPr>
          <w:rFonts w:ascii="Verdana" w:hAnsi="Verdana"/>
          <w:sz w:val="18"/>
          <w:lang w:val="pl-PL"/>
        </w:rPr>
        <w:t xml:space="preserve">Postrzega </w:t>
      </w:r>
      <w:proofErr w:type="gramStart"/>
      <w:r w:rsidRPr="0035474A">
        <w:rPr>
          <w:rFonts w:ascii="Verdana" w:hAnsi="Verdana"/>
          <w:sz w:val="18"/>
          <w:lang w:val="pl-PL"/>
        </w:rPr>
        <w:t>to jako</w:t>
      </w:r>
      <w:proofErr w:type="gramEnd"/>
      <w:r w:rsidRPr="0035474A">
        <w:rPr>
          <w:rFonts w:ascii="Verdana" w:hAnsi="Verdana"/>
          <w:sz w:val="18"/>
          <w:lang w:val="pl-PL"/>
        </w:rPr>
        <w:t xml:space="preserve"> kwestię o pierwszorzędnym znaczeniu. Wprawdzie potrzeba ochrony inwestycji jest różna w różnych krajach, jednak zdaniem Komitetu w państwach o funkcjonującym, dojrzałym, demokratycznym i nieskorumpowanym systemie prawnym spory inwestycyjne powinny być rozstrzygane w drodze mediacji, przed sądami krajowymi oraz w ramach systemu rozwiązywania sporów między państwami.</w:t>
      </w:r>
    </w:p>
    <w:p w:rsidR="004718C9" w:rsidRPr="0035474A" w:rsidRDefault="004718C9" w:rsidP="00FB6162">
      <w:pPr>
        <w:spacing w:line="240" w:lineRule="auto"/>
        <w:rPr>
          <w:rFonts w:ascii="Verdana" w:hAnsi="Verdana"/>
          <w:sz w:val="18"/>
          <w:lang w:val="pl-PL"/>
        </w:rPr>
      </w:pPr>
    </w:p>
    <w:p w:rsidR="004718C9" w:rsidRPr="0035474A" w:rsidRDefault="004718C9" w:rsidP="00FB6162">
      <w:pPr>
        <w:spacing w:line="240" w:lineRule="auto"/>
        <w:rPr>
          <w:rFonts w:ascii="Verdana" w:hAnsi="Verdana"/>
          <w:sz w:val="18"/>
          <w:lang w:val="pl-PL"/>
        </w:rPr>
      </w:pPr>
      <w:r w:rsidRPr="0035474A">
        <w:rPr>
          <w:rFonts w:ascii="Verdana" w:hAnsi="Verdana"/>
          <w:sz w:val="18"/>
          <w:lang w:val="pl-PL"/>
        </w:rPr>
        <w:t xml:space="preserve">Opinia została przyjęta 73% głosów po burzliwej dyskusji i odrzuceniu </w:t>
      </w:r>
      <w:proofErr w:type="spellStart"/>
      <w:r w:rsidRPr="0035474A">
        <w:rPr>
          <w:rFonts w:ascii="Verdana" w:hAnsi="Verdana"/>
          <w:sz w:val="18"/>
          <w:lang w:val="pl-PL"/>
        </w:rPr>
        <w:t>kontropinii</w:t>
      </w:r>
      <w:proofErr w:type="spellEnd"/>
      <w:r w:rsidRPr="0035474A">
        <w:rPr>
          <w:rFonts w:ascii="Verdana" w:hAnsi="Verdana"/>
          <w:sz w:val="18"/>
          <w:lang w:val="pl-PL"/>
        </w:rPr>
        <w:t xml:space="preserve"> zgłoszonej przez Grupę Pracodawców.</w:t>
      </w:r>
    </w:p>
    <w:p w:rsidR="004718C9" w:rsidRPr="0035474A" w:rsidRDefault="004718C9" w:rsidP="00FB6162">
      <w:pPr>
        <w:spacing w:line="240" w:lineRule="auto"/>
        <w:rPr>
          <w:rFonts w:ascii="Verdana" w:hAnsi="Verdana"/>
          <w:sz w:val="18"/>
          <w:lang w:val="pl-PL"/>
        </w:rPr>
      </w:pPr>
    </w:p>
    <w:p w:rsidR="004718C9" w:rsidRPr="0035474A" w:rsidRDefault="004718C9" w:rsidP="00FB6162">
      <w:pPr>
        <w:keepNext/>
        <w:spacing w:line="240" w:lineRule="auto"/>
        <w:rPr>
          <w:rFonts w:ascii="Verdana" w:hAnsi="Verdana"/>
          <w:b/>
          <w:sz w:val="18"/>
          <w:u w:val="single"/>
          <w:lang w:val="pl-PL"/>
        </w:rPr>
      </w:pPr>
      <w:r w:rsidRPr="0035474A">
        <w:rPr>
          <w:rFonts w:ascii="Verdana" w:hAnsi="Verdana"/>
          <w:b/>
          <w:sz w:val="18"/>
          <w:u w:val="single"/>
          <w:lang w:val="pl-PL"/>
        </w:rPr>
        <w:t>Kontekst</w:t>
      </w:r>
    </w:p>
    <w:p w:rsidR="004718C9" w:rsidRPr="0035474A" w:rsidRDefault="004718C9" w:rsidP="00FB6162">
      <w:pPr>
        <w:keepNext/>
        <w:spacing w:line="240" w:lineRule="auto"/>
        <w:rPr>
          <w:lang w:val="pl-PL"/>
        </w:rPr>
      </w:pPr>
    </w:p>
    <w:p w:rsidR="004718C9" w:rsidRPr="0035474A" w:rsidRDefault="0028654C" w:rsidP="00FB6162">
      <w:pPr>
        <w:spacing w:line="240" w:lineRule="auto"/>
        <w:rPr>
          <w:rFonts w:ascii="Verdana" w:hAnsi="Verdana"/>
          <w:sz w:val="18"/>
          <w:lang w:val="pl-PL"/>
        </w:rPr>
      </w:pPr>
      <w:hyperlink r:id="rId14">
        <w:r w:rsidR="00935FEB" w:rsidRPr="0035474A">
          <w:rPr>
            <w:rStyle w:val="Hyperlink"/>
            <w:rFonts w:ascii="Verdana" w:eastAsiaTheme="majorEastAsia" w:hAnsi="Verdana"/>
            <w:sz w:val="18"/>
            <w:lang w:val="pl-PL"/>
          </w:rPr>
          <w:t>Opinia EKES-u „Ochrona inwestorów i rozstrzyganie sporów między inwestorem a państwem w</w:t>
        </w:r>
        <w:r w:rsidR="009329D4" w:rsidRPr="0035474A">
          <w:rPr>
            <w:rStyle w:val="Hyperlink"/>
            <w:rFonts w:ascii="Verdana" w:eastAsiaTheme="majorEastAsia" w:hAnsi="Verdana"/>
            <w:sz w:val="18"/>
            <w:lang w:val="pl-PL"/>
          </w:rPr>
          <w:t> </w:t>
        </w:r>
        <w:r w:rsidR="00935FEB" w:rsidRPr="0035474A">
          <w:rPr>
            <w:rStyle w:val="Hyperlink"/>
            <w:rFonts w:ascii="Verdana" w:eastAsiaTheme="majorEastAsia" w:hAnsi="Verdana"/>
            <w:sz w:val="18"/>
            <w:lang w:val="pl-PL"/>
          </w:rPr>
          <w:t>umowach handlowych i inwestycyjnych między UE a państwami trzecimi”</w:t>
        </w:r>
      </w:hyperlink>
    </w:p>
    <w:p w:rsidR="004718C9" w:rsidRPr="0035474A" w:rsidRDefault="004718C9" w:rsidP="00FB6162">
      <w:pPr>
        <w:spacing w:line="240" w:lineRule="auto"/>
        <w:rPr>
          <w:rFonts w:ascii="Verdana" w:hAnsi="Verdana"/>
          <w:sz w:val="18"/>
          <w:lang w:val="pl-PL"/>
        </w:rPr>
      </w:pPr>
    </w:p>
    <w:p w:rsidR="004718C9" w:rsidRPr="0035474A" w:rsidRDefault="004718C9" w:rsidP="00FB6162">
      <w:pPr>
        <w:spacing w:line="240" w:lineRule="auto"/>
        <w:rPr>
          <w:rFonts w:ascii="Verdana" w:hAnsi="Verdana"/>
          <w:sz w:val="18"/>
          <w:lang w:val="pl-PL"/>
        </w:rPr>
      </w:pPr>
      <w:r w:rsidRPr="0035474A">
        <w:rPr>
          <w:rFonts w:ascii="Verdana" w:hAnsi="Verdana"/>
          <w:sz w:val="18"/>
          <w:lang w:val="pl-PL"/>
        </w:rPr>
        <w:t>Wynik głosowania: 199 głosów za, 55 przeciw, 30 osób wstrzymało się od głosu.</w:t>
      </w:r>
    </w:p>
    <w:p w:rsidR="004718C9" w:rsidRPr="0035474A" w:rsidRDefault="004718C9" w:rsidP="00FB6162">
      <w:pPr>
        <w:spacing w:line="240" w:lineRule="auto"/>
        <w:rPr>
          <w:lang w:val="pl-PL"/>
        </w:rPr>
      </w:pPr>
    </w:p>
    <w:p w:rsidR="004718C9" w:rsidRPr="0035474A" w:rsidRDefault="004718C9" w:rsidP="00FB6162">
      <w:pPr>
        <w:keepNext/>
        <w:keepLines/>
        <w:spacing w:line="240" w:lineRule="auto"/>
        <w:ind w:left="720"/>
        <w:jc w:val="center"/>
        <w:rPr>
          <w:rFonts w:ascii="Verdana" w:hAnsi="Verdana"/>
          <w:color w:val="1F497D"/>
          <w:sz w:val="18"/>
          <w:lang w:val="pl-PL"/>
        </w:rPr>
      </w:pPr>
      <w:r w:rsidRPr="0035474A">
        <w:rPr>
          <w:rFonts w:ascii="Verdana" w:hAnsi="Verdana"/>
          <w:b/>
          <w:sz w:val="18"/>
          <w:lang w:val="pl-PL"/>
        </w:rPr>
        <w:lastRenderedPageBreak/>
        <w:t>Szczegółowych informacji udziela:</w:t>
      </w:r>
    </w:p>
    <w:p w:rsidR="004718C9" w:rsidRPr="0035474A" w:rsidRDefault="004718C9" w:rsidP="00FB6162">
      <w:pPr>
        <w:keepNext/>
        <w:keepLines/>
        <w:overflowPunct/>
        <w:autoSpaceDE/>
        <w:autoSpaceDN/>
        <w:adjustRightInd/>
        <w:spacing w:line="240" w:lineRule="auto"/>
        <w:jc w:val="center"/>
        <w:textAlignment w:val="auto"/>
        <w:rPr>
          <w:rFonts w:ascii="Verdana" w:eastAsia="PMingLiU" w:hAnsi="Verdana"/>
          <w:sz w:val="18"/>
          <w:lang w:val="pl-PL"/>
        </w:rPr>
      </w:pPr>
      <w:r w:rsidRPr="0035474A">
        <w:rPr>
          <w:rFonts w:ascii="Verdana" w:hAnsi="Verdana"/>
          <w:sz w:val="18"/>
          <w:lang w:val="pl-PL"/>
        </w:rPr>
        <w:t>Dział Prasy EKES-u</w:t>
      </w:r>
    </w:p>
    <w:p w:rsidR="004718C9" w:rsidRPr="0035474A" w:rsidRDefault="004718C9" w:rsidP="00FB6162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Verdana" w:eastAsia="PMingLiU" w:hAnsi="Verdana"/>
          <w:sz w:val="18"/>
          <w:lang w:val="pl-PL"/>
        </w:rPr>
      </w:pPr>
      <w:proofErr w:type="gramStart"/>
      <w:r w:rsidRPr="0035474A">
        <w:rPr>
          <w:rFonts w:ascii="Verdana" w:hAnsi="Verdana"/>
          <w:sz w:val="18"/>
          <w:lang w:val="pl-PL"/>
        </w:rPr>
        <w:t>e-mail</w:t>
      </w:r>
      <w:proofErr w:type="gramEnd"/>
      <w:r w:rsidRPr="0035474A">
        <w:rPr>
          <w:rFonts w:ascii="Verdana" w:hAnsi="Verdana"/>
          <w:sz w:val="18"/>
          <w:lang w:val="pl-PL"/>
        </w:rPr>
        <w:t xml:space="preserve">: </w:t>
      </w:r>
      <w:hyperlink r:id="rId15">
        <w:r w:rsidRPr="0035474A">
          <w:rPr>
            <w:rStyle w:val="Hyperlink"/>
            <w:rFonts w:ascii="Verdana" w:hAnsi="Verdana"/>
            <w:sz w:val="18"/>
            <w:lang w:val="pl-PL"/>
          </w:rPr>
          <w:t>press@eesc.europa.eu</w:t>
        </w:r>
      </w:hyperlink>
    </w:p>
    <w:p w:rsidR="004718C9" w:rsidRPr="0035474A" w:rsidRDefault="004718C9" w:rsidP="00FB6162">
      <w:pPr>
        <w:spacing w:line="240" w:lineRule="auto"/>
        <w:jc w:val="center"/>
        <w:rPr>
          <w:rFonts w:ascii="Verdana" w:eastAsia="PMingLiU" w:hAnsi="Verdana"/>
          <w:sz w:val="18"/>
          <w:lang w:val="pl-PL"/>
        </w:rPr>
      </w:pPr>
      <w:proofErr w:type="gramStart"/>
      <w:r w:rsidRPr="0035474A">
        <w:rPr>
          <w:rFonts w:ascii="Verdana" w:hAnsi="Verdana"/>
          <w:sz w:val="18"/>
          <w:lang w:val="pl-PL"/>
        </w:rPr>
        <w:t>tel</w:t>
      </w:r>
      <w:proofErr w:type="gramEnd"/>
      <w:r w:rsidRPr="0035474A">
        <w:rPr>
          <w:rFonts w:ascii="Verdana" w:hAnsi="Verdana"/>
          <w:sz w:val="18"/>
          <w:lang w:val="pl-PL"/>
        </w:rPr>
        <w:t xml:space="preserve">. 32 2 546 9406 / +32 475 75 3202 </w:t>
      </w:r>
    </w:p>
    <w:p w:rsidR="004718C9" w:rsidRPr="0035474A" w:rsidRDefault="004718C9" w:rsidP="00FB6162">
      <w:pPr>
        <w:spacing w:line="240" w:lineRule="auto"/>
        <w:jc w:val="center"/>
        <w:rPr>
          <w:rFonts w:ascii="Verdana" w:eastAsia="PMingLiU" w:hAnsi="Verdana"/>
          <w:b/>
          <w:sz w:val="18"/>
          <w:lang w:val="pl-PL"/>
        </w:rPr>
      </w:pPr>
      <w:r w:rsidRPr="0035474A">
        <w:rPr>
          <w:rFonts w:ascii="Verdana" w:hAnsi="Verdana"/>
          <w:b/>
          <w:color w:val="FF0000"/>
          <w:sz w:val="18"/>
          <w:lang w:val="pl-PL"/>
        </w:rPr>
        <w:t xml:space="preserve">@EESC_PRESS </w:t>
      </w:r>
    </w:p>
    <w:p w:rsidR="00F83179" w:rsidRPr="0035474A" w:rsidRDefault="00F83179" w:rsidP="00FB6162">
      <w:pPr>
        <w:spacing w:line="240" w:lineRule="auto"/>
        <w:rPr>
          <w:rFonts w:ascii="Verdana" w:hAnsi="Verdana"/>
          <w:sz w:val="18"/>
          <w:lang w:val="pl-PL"/>
        </w:rPr>
      </w:pPr>
    </w:p>
    <w:p w:rsidR="00F83179" w:rsidRPr="0035474A" w:rsidRDefault="00F83179" w:rsidP="00FB6162">
      <w:pPr>
        <w:spacing w:line="240" w:lineRule="auto"/>
        <w:rPr>
          <w:rFonts w:ascii="Verdana" w:hAnsi="Verdana"/>
          <w:sz w:val="18"/>
          <w:lang w:val="pl-PL"/>
        </w:rPr>
      </w:pPr>
    </w:p>
    <w:p w:rsidR="00F83179" w:rsidRPr="0035474A" w:rsidRDefault="00F83179" w:rsidP="00FB6162">
      <w:pPr>
        <w:spacing w:line="240" w:lineRule="auto"/>
        <w:rPr>
          <w:rFonts w:ascii="Verdana" w:hAnsi="Verdana"/>
          <w:b/>
          <w:i/>
          <w:sz w:val="16"/>
          <w:lang w:val="pl-PL"/>
        </w:rPr>
      </w:pPr>
      <w:r w:rsidRPr="0035474A">
        <w:rPr>
          <w:rFonts w:ascii="Verdana" w:hAnsi="Verdana"/>
          <w:i/>
          <w:sz w:val="16"/>
          <w:lang w:val="pl-PL"/>
        </w:rPr>
        <w:t>__</w:t>
      </w:r>
      <w:r w:rsidRPr="0035474A">
        <w:rPr>
          <w:rFonts w:ascii="Verdana" w:hAnsi="Verdana"/>
          <w:b/>
          <w:i/>
          <w:sz w:val="16"/>
          <w:lang w:val="pl-PL"/>
        </w:rPr>
        <w:t>_____________________________________________________________________________</w:t>
      </w:r>
    </w:p>
    <w:p w:rsidR="00F83179" w:rsidRPr="0035474A" w:rsidRDefault="00F83179" w:rsidP="00FB6162">
      <w:pPr>
        <w:spacing w:line="240" w:lineRule="auto"/>
        <w:rPr>
          <w:rFonts w:ascii="Verdana" w:hAnsi="Verdana"/>
          <w:i/>
          <w:sz w:val="16"/>
          <w:lang w:val="pl-PL"/>
        </w:rPr>
      </w:pPr>
      <w:r w:rsidRPr="0035474A">
        <w:rPr>
          <w:rFonts w:ascii="Verdana" w:hAnsi="Verdana"/>
          <w:i/>
          <w:sz w:val="16"/>
          <w:lang w:val="pl-PL"/>
        </w:rPr>
        <w:t>Europejski Komitet Ekonomiczno-Społeczny (EKES) reprezentuje różnorodne środowiska społeczne i</w:t>
      </w:r>
      <w:r w:rsidR="009329D4" w:rsidRPr="0035474A">
        <w:rPr>
          <w:rFonts w:ascii="Verdana" w:hAnsi="Verdana"/>
          <w:i/>
          <w:sz w:val="16"/>
          <w:lang w:val="pl-PL"/>
        </w:rPr>
        <w:t> </w:t>
      </w:r>
      <w:r w:rsidRPr="0035474A">
        <w:rPr>
          <w:rFonts w:ascii="Verdana" w:hAnsi="Verdana"/>
          <w:i/>
          <w:sz w:val="16"/>
          <w:lang w:val="pl-PL"/>
        </w:rPr>
        <w:t>gospodarcze zorganizowanego społeczeństwa obywatelskiego. Jest instytucjonalnym organem doradczym powołanym w 1957 r. na mocy traktatu rzymskiego. Doradcza funkcja EKES-u umożliwia jego członkom, a</w:t>
      </w:r>
      <w:r w:rsidR="009329D4" w:rsidRPr="0035474A">
        <w:rPr>
          <w:rFonts w:ascii="Verdana" w:hAnsi="Verdana"/>
          <w:i/>
          <w:sz w:val="16"/>
          <w:lang w:val="pl-PL"/>
        </w:rPr>
        <w:t> </w:t>
      </w:r>
      <w:r w:rsidRPr="0035474A">
        <w:rPr>
          <w:rFonts w:ascii="Verdana" w:hAnsi="Verdana"/>
          <w:i/>
          <w:sz w:val="16"/>
          <w:lang w:val="pl-PL"/>
        </w:rPr>
        <w:t>zatem i reprezentowanym przez nich organizacjom, uczestniczenie w unijnym procesie decyzyjnym. Komitet liczy 353 członków z całej Europy, którzy są powoływani przez Radę UE.</w:t>
      </w:r>
    </w:p>
    <w:p w:rsidR="00F83179" w:rsidRPr="0035474A" w:rsidRDefault="00F83179" w:rsidP="00FB6162">
      <w:pPr>
        <w:spacing w:line="240" w:lineRule="auto"/>
        <w:rPr>
          <w:rFonts w:ascii="Verdana" w:hAnsi="Verdana"/>
          <w:b/>
          <w:i/>
          <w:sz w:val="16"/>
          <w:lang w:val="pl-PL"/>
        </w:rPr>
      </w:pPr>
      <w:r w:rsidRPr="0035474A">
        <w:rPr>
          <w:rFonts w:ascii="Verdana" w:hAnsi="Verdana"/>
          <w:i/>
          <w:sz w:val="16"/>
          <w:lang w:val="pl-PL"/>
        </w:rPr>
        <w:t>__</w:t>
      </w:r>
      <w:r w:rsidRPr="0035474A">
        <w:rPr>
          <w:rFonts w:ascii="Verdana" w:hAnsi="Verdana"/>
          <w:b/>
          <w:i/>
          <w:sz w:val="16"/>
          <w:lang w:val="pl-PL"/>
        </w:rPr>
        <w:t>_____________________________________________________________________________</w:t>
      </w:r>
    </w:p>
    <w:p w:rsidR="00F83179" w:rsidRPr="0035474A" w:rsidRDefault="00F83179" w:rsidP="00FB6162">
      <w:pPr>
        <w:spacing w:line="240" w:lineRule="auto"/>
        <w:rPr>
          <w:lang w:val="pl-PL"/>
        </w:rPr>
      </w:pPr>
    </w:p>
    <w:sectPr w:rsidR="00F83179" w:rsidRPr="0035474A" w:rsidSect="00582C17">
      <w:type w:val="continuous"/>
      <w:pgSz w:w="11907" w:h="16839" w:code="9"/>
      <w:pgMar w:top="2126" w:right="1418" w:bottom="1418" w:left="1418" w:header="3062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79" w:rsidRDefault="00F83179">
      <w:r>
        <w:separator/>
      </w:r>
    </w:p>
  </w:endnote>
  <w:endnote w:type="continuationSeparator" w:id="0">
    <w:p w:rsidR="00F83179" w:rsidRDefault="00F8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79" w:rsidRPr="00582C17" w:rsidRDefault="00F83179" w:rsidP="0004715C">
    <w:pPr>
      <w:spacing w:line="240" w:lineRule="auto"/>
      <w:jc w:val="center"/>
      <w:rPr>
        <w:rFonts w:ascii="Verdana" w:hAnsi="Verdana"/>
        <w:sz w:val="16"/>
        <w:lang w:val="pl-PL"/>
      </w:rPr>
    </w:pPr>
    <w:proofErr w:type="spellStart"/>
    <w:r w:rsidRPr="00582C17">
      <w:rPr>
        <w:rFonts w:ascii="Verdana" w:hAnsi="Verdana"/>
        <w:sz w:val="16"/>
        <w:lang w:val="pl-PL"/>
      </w:rPr>
      <w:t>Rue</w:t>
    </w:r>
    <w:proofErr w:type="spellEnd"/>
    <w:r w:rsidRPr="00582C17">
      <w:rPr>
        <w:rFonts w:ascii="Verdana" w:hAnsi="Verdana"/>
        <w:sz w:val="16"/>
        <w:lang w:val="pl-PL"/>
      </w:rPr>
      <w:t xml:space="preserve"> </w:t>
    </w:r>
    <w:proofErr w:type="spellStart"/>
    <w:r w:rsidRPr="00582C17">
      <w:rPr>
        <w:rFonts w:ascii="Verdana" w:hAnsi="Verdana"/>
        <w:sz w:val="16"/>
        <w:lang w:val="pl-PL"/>
      </w:rPr>
      <w:t>Belliard</w:t>
    </w:r>
    <w:proofErr w:type="spellEnd"/>
    <w:r w:rsidRPr="00582C17">
      <w:rPr>
        <w:rFonts w:ascii="Verdana" w:hAnsi="Verdana"/>
        <w:sz w:val="16"/>
        <w:lang w:val="pl-PL"/>
      </w:rPr>
      <w:t>/</w:t>
    </w:r>
    <w:proofErr w:type="spellStart"/>
    <w:r w:rsidRPr="00582C17">
      <w:rPr>
        <w:rFonts w:ascii="Verdana" w:hAnsi="Verdana"/>
        <w:sz w:val="16"/>
        <w:lang w:val="pl-PL"/>
      </w:rPr>
      <w:t>Belliardstraat</w:t>
    </w:r>
    <w:proofErr w:type="spellEnd"/>
    <w:r w:rsidRPr="00582C17">
      <w:rPr>
        <w:rFonts w:ascii="Verdana" w:hAnsi="Verdana"/>
        <w:sz w:val="16"/>
        <w:lang w:val="pl-PL"/>
      </w:rPr>
      <w:t xml:space="preserve"> 99 – 1040 Bruxelles/</w:t>
    </w:r>
    <w:proofErr w:type="spellStart"/>
    <w:r w:rsidRPr="00582C17">
      <w:rPr>
        <w:rFonts w:ascii="Verdana" w:hAnsi="Verdana"/>
        <w:sz w:val="16"/>
        <w:lang w:val="pl-PL"/>
      </w:rPr>
      <w:t>Brussel</w:t>
    </w:r>
    <w:proofErr w:type="spellEnd"/>
    <w:r w:rsidRPr="00582C17">
      <w:rPr>
        <w:rFonts w:ascii="Verdana" w:hAnsi="Verdana"/>
        <w:sz w:val="16"/>
        <w:lang w:val="pl-PL"/>
      </w:rPr>
      <w:t xml:space="preserve"> – BELGIQUE/BELGIË</w:t>
    </w:r>
  </w:p>
  <w:p w:rsidR="00F83179" w:rsidRPr="00582C17" w:rsidRDefault="00F83179" w:rsidP="0004715C">
    <w:pPr>
      <w:spacing w:line="240" w:lineRule="auto"/>
      <w:jc w:val="center"/>
      <w:rPr>
        <w:rFonts w:ascii="Verdana" w:hAnsi="Verdana"/>
        <w:sz w:val="16"/>
        <w:lang w:val="pl-PL"/>
      </w:rPr>
    </w:pPr>
    <w:proofErr w:type="gramStart"/>
    <w:r w:rsidRPr="00582C17">
      <w:rPr>
        <w:rFonts w:ascii="Verdana" w:hAnsi="Verdana"/>
        <w:sz w:val="16"/>
        <w:lang w:val="pl-PL"/>
      </w:rPr>
      <w:t>tel</w:t>
    </w:r>
    <w:proofErr w:type="gramEnd"/>
    <w:r w:rsidRPr="00582C17">
      <w:rPr>
        <w:rFonts w:ascii="Verdana" w:hAnsi="Verdana"/>
        <w:sz w:val="16"/>
        <w:lang w:val="pl-PL"/>
      </w:rPr>
      <w:t>. +32 25469406 – faks +32 25469764</w:t>
    </w:r>
  </w:p>
  <w:p w:rsidR="00F83179" w:rsidRPr="00582C17" w:rsidRDefault="00F83179" w:rsidP="0004715C">
    <w:pPr>
      <w:spacing w:line="240" w:lineRule="auto"/>
      <w:jc w:val="center"/>
      <w:rPr>
        <w:rFonts w:ascii="Verdana" w:hAnsi="Verdana"/>
        <w:sz w:val="16"/>
        <w:lang w:val="pl-PL"/>
      </w:rPr>
    </w:pPr>
    <w:proofErr w:type="gramStart"/>
    <w:r w:rsidRPr="00582C17">
      <w:rPr>
        <w:rFonts w:ascii="Verdana" w:hAnsi="Verdana"/>
        <w:sz w:val="16"/>
        <w:lang w:val="pl-PL"/>
      </w:rPr>
      <w:t>e-mail</w:t>
    </w:r>
    <w:proofErr w:type="gramEnd"/>
    <w:r w:rsidRPr="00582C17">
      <w:rPr>
        <w:rFonts w:ascii="Verdana" w:hAnsi="Verdana"/>
        <w:sz w:val="16"/>
        <w:lang w:val="pl-PL"/>
      </w:rPr>
      <w:t xml:space="preserve">: </w:t>
    </w:r>
    <w:hyperlink r:id="rId1">
      <w:r w:rsidRPr="00582C17">
        <w:rPr>
          <w:rStyle w:val="Hyperlink"/>
          <w:rFonts w:ascii="Verdana" w:hAnsi="Verdana"/>
          <w:sz w:val="16"/>
          <w:lang w:val="pl-PL"/>
        </w:rPr>
        <w:t>press@eesc.europa.eu</w:t>
      </w:r>
    </w:hyperlink>
    <w:r w:rsidRPr="00582C17">
      <w:rPr>
        <w:rFonts w:ascii="Verdana" w:hAnsi="Verdana"/>
        <w:sz w:val="16"/>
        <w:lang w:val="pl-PL"/>
      </w:rPr>
      <w:t xml:space="preserve"> – </w:t>
    </w:r>
    <w:proofErr w:type="spellStart"/>
    <w:r w:rsidRPr="00582C17">
      <w:rPr>
        <w:rFonts w:ascii="Verdana" w:hAnsi="Verdana"/>
        <w:sz w:val="16"/>
        <w:lang w:val="pl-PL"/>
      </w:rPr>
      <w:t>internet</w:t>
    </w:r>
    <w:proofErr w:type="spellEnd"/>
    <w:r w:rsidRPr="00582C17">
      <w:rPr>
        <w:rFonts w:ascii="Verdana" w:hAnsi="Verdana"/>
        <w:sz w:val="16"/>
        <w:lang w:val="pl-PL"/>
      </w:rPr>
      <w:t xml:space="preserve">: </w:t>
    </w:r>
    <w:hyperlink r:id="rId2">
      <w:r w:rsidRPr="00582C17">
        <w:rPr>
          <w:rStyle w:val="Hyperlink"/>
          <w:rFonts w:ascii="Verdana" w:hAnsi="Verdana"/>
          <w:sz w:val="16"/>
          <w:lang w:val="pl-PL"/>
        </w:rPr>
        <w:t>www.eesc.europa.eu</w:t>
      </w:r>
    </w:hyperlink>
  </w:p>
  <w:p w:rsidR="00F83179" w:rsidRPr="00582C17" w:rsidRDefault="00F83179" w:rsidP="00F61167">
    <w:pPr>
      <w:spacing w:line="240" w:lineRule="auto"/>
      <w:jc w:val="center"/>
    </w:pPr>
    <w:r w:rsidRPr="00582C17">
      <w:rPr>
        <w:rFonts w:ascii="Verdana" w:hAnsi="Verdana"/>
        <w:sz w:val="16"/>
        <w:lang w:val="pl-PL"/>
      </w:rPr>
      <w:t xml:space="preserve">Śledź EKES na </w:t>
    </w:r>
    <w:r w:rsidRPr="00582C17">
      <w:rPr>
        <w:noProof/>
        <w:lang w:val="fr-BE" w:eastAsia="fr-BE"/>
      </w:rPr>
      <w:drawing>
        <wp:inline distT="0" distB="0" distL="0" distR="0" wp14:anchorId="38B3178B" wp14:editId="499B06F0">
          <wp:extent cx="222250" cy="222250"/>
          <wp:effectExtent l="0" t="0" r="6350" b="6350"/>
          <wp:docPr id="9" name="Picture 9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C17">
      <w:rPr>
        <w:rFonts w:ascii="Verdana" w:hAnsi="Verdana"/>
        <w:sz w:val="16"/>
        <w:lang w:val="pl-PL"/>
      </w:rPr>
      <w:t>  </w:t>
    </w:r>
    <w:r w:rsidRPr="00582C17">
      <w:rPr>
        <w:noProof/>
        <w:lang w:val="fr-BE" w:eastAsia="fr-BE"/>
      </w:rPr>
      <w:drawing>
        <wp:inline distT="0" distB="0" distL="0" distR="0" wp14:anchorId="5B65FE0D" wp14:editId="72D022E5">
          <wp:extent cx="222250" cy="222250"/>
          <wp:effectExtent l="0" t="0" r="6350" b="6350"/>
          <wp:docPr id="10" name="Picture 10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C17">
      <w:rPr>
        <w:lang w:val="pl-PL"/>
      </w:rPr>
      <w:t>  </w:t>
    </w:r>
    <w:r w:rsidRPr="00582C17">
      <w:rPr>
        <w:noProof/>
        <w:lang w:val="fr-BE" w:eastAsia="fr-BE"/>
      </w:rPr>
      <w:drawing>
        <wp:inline distT="0" distB="0" distL="0" distR="0" wp14:anchorId="35D793CB" wp14:editId="2A4D9C1A">
          <wp:extent cx="222250" cy="222250"/>
          <wp:effectExtent l="0" t="0" r="6350" b="6350"/>
          <wp:docPr id="11" name="Picture 11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79" w:rsidRDefault="00F83179">
      <w:r>
        <w:separator/>
      </w:r>
    </w:p>
  </w:footnote>
  <w:footnote w:type="continuationSeparator" w:id="0">
    <w:p w:rsidR="00F83179" w:rsidRDefault="00F83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5"/>
    <w:rsid w:val="0004715C"/>
    <w:rsid w:val="00067F21"/>
    <w:rsid w:val="00104DFA"/>
    <w:rsid w:val="00142677"/>
    <w:rsid w:val="0018613F"/>
    <w:rsid w:val="00227A31"/>
    <w:rsid w:val="00240560"/>
    <w:rsid w:val="00265AA7"/>
    <w:rsid w:val="002734F3"/>
    <w:rsid w:val="0028654C"/>
    <w:rsid w:val="00337F0A"/>
    <w:rsid w:val="0035474A"/>
    <w:rsid w:val="00394D81"/>
    <w:rsid w:val="003B714A"/>
    <w:rsid w:val="003E6928"/>
    <w:rsid w:val="00424928"/>
    <w:rsid w:val="004605FD"/>
    <w:rsid w:val="004718C9"/>
    <w:rsid w:val="00494BBC"/>
    <w:rsid w:val="004B3364"/>
    <w:rsid w:val="005270ED"/>
    <w:rsid w:val="005549A1"/>
    <w:rsid w:val="00556CD0"/>
    <w:rsid w:val="00582C17"/>
    <w:rsid w:val="005A0E46"/>
    <w:rsid w:val="005B3342"/>
    <w:rsid w:val="005C08F4"/>
    <w:rsid w:val="005C2258"/>
    <w:rsid w:val="005C46DB"/>
    <w:rsid w:val="00612F2E"/>
    <w:rsid w:val="00626C38"/>
    <w:rsid w:val="00662EE3"/>
    <w:rsid w:val="00686EC2"/>
    <w:rsid w:val="006B0FBA"/>
    <w:rsid w:val="006B4D96"/>
    <w:rsid w:val="007060BA"/>
    <w:rsid w:val="00712EA3"/>
    <w:rsid w:val="007141AB"/>
    <w:rsid w:val="00741B4E"/>
    <w:rsid w:val="007A5486"/>
    <w:rsid w:val="007E1A74"/>
    <w:rsid w:val="008133EA"/>
    <w:rsid w:val="0083329C"/>
    <w:rsid w:val="008820BE"/>
    <w:rsid w:val="008C573E"/>
    <w:rsid w:val="008F61EA"/>
    <w:rsid w:val="009329D4"/>
    <w:rsid w:val="00935FEB"/>
    <w:rsid w:val="00995335"/>
    <w:rsid w:val="009C2FCF"/>
    <w:rsid w:val="009D3245"/>
    <w:rsid w:val="00A74687"/>
    <w:rsid w:val="00A96CE7"/>
    <w:rsid w:val="00AA61D9"/>
    <w:rsid w:val="00AF2692"/>
    <w:rsid w:val="00B239E2"/>
    <w:rsid w:val="00B9349D"/>
    <w:rsid w:val="00B96D77"/>
    <w:rsid w:val="00BB36F5"/>
    <w:rsid w:val="00C97D1B"/>
    <w:rsid w:val="00CB5993"/>
    <w:rsid w:val="00CE439D"/>
    <w:rsid w:val="00CF3AD7"/>
    <w:rsid w:val="00D9016E"/>
    <w:rsid w:val="00DC66B3"/>
    <w:rsid w:val="00F61167"/>
    <w:rsid w:val="00F83179"/>
    <w:rsid w:val="00FB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335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995335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995335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995335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995335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995335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995335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995335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95335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995335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74F9"/>
    <w:rPr>
      <w:kern w:val="28"/>
      <w:sz w:val="22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1374F9"/>
    <w:rPr>
      <w:sz w:val="22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1374F9"/>
    <w:rPr>
      <w:sz w:val="22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1374F9"/>
    <w:rPr>
      <w:sz w:val="22"/>
      <w:lang w:val="en-GB" w:eastAsia="en-US" w:bidi="ar-SA"/>
    </w:rPr>
  </w:style>
  <w:style w:type="character" w:customStyle="1" w:styleId="Heading5Char">
    <w:name w:val="Heading 5 Char"/>
    <w:basedOn w:val="DefaultParagraphFont"/>
    <w:link w:val="Heading5"/>
    <w:rsid w:val="001374F9"/>
    <w:rPr>
      <w:sz w:val="22"/>
      <w:lang w:val="en-GB" w:eastAsia="en-US" w:bidi="ar-SA"/>
    </w:rPr>
  </w:style>
  <w:style w:type="character" w:customStyle="1" w:styleId="Heading6Char">
    <w:name w:val="Heading 6 Char"/>
    <w:basedOn w:val="DefaultParagraphFont"/>
    <w:link w:val="Heading6"/>
    <w:rsid w:val="001374F9"/>
    <w:rPr>
      <w:sz w:val="22"/>
      <w:lang w:val="en-GB" w:eastAsia="en-US" w:bidi="ar-SA"/>
    </w:rPr>
  </w:style>
  <w:style w:type="character" w:customStyle="1" w:styleId="Heading7Char">
    <w:name w:val="Heading 7 Char"/>
    <w:basedOn w:val="DefaultParagraphFont"/>
    <w:link w:val="Heading7"/>
    <w:rsid w:val="001374F9"/>
    <w:rPr>
      <w:sz w:val="22"/>
      <w:lang w:val="en-GB" w:eastAsia="en-US" w:bidi="ar-SA"/>
    </w:rPr>
  </w:style>
  <w:style w:type="character" w:customStyle="1" w:styleId="Heading8Char">
    <w:name w:val="Heading 8 Char"/>
    <w:basedOn w:val="DefaultParagraphFont"/>
    <w:link w:val="Heading8"/>
    <w:rsid w:val="001374F9"/>
    <w:rPr>
      <w:sz w:val="22"/>
      <w:lang w:val="en-GB" w:eastAsia="en-US" w:bidi="ar-SA"/>
    </w:rPr>
  </w:style>
  <w:style w:type="character" w:customStyle="1" w:styleId="Heading9Char">
    <w:name w:val="Heading 9 Char"/>
    <w:basedOn w:val="DefaultParagraphFont"/>
    <w:link w:val="Heading9"/>
    <w:rsid w:val="001374F9"/>
    <w:rPr>
      <w:sz w:val="22"/>
      <w:lang w:val="en-GB" w:eastAsia="en-US" w:bidi="ar-SA"/>
    </w:rPr>
  </w:style>
  <w:style w:type="paragraph" w:styleId="Footer">
    <w:name w:val="footer"/>
    <w:basedOn w:val="Normal"/>
    <w:link w:val="FooterChar"/>
    <w:rsid w:val="00995335"/>
  </w:style>
  <w:style w:type="character" w:customStyle="1" w:styleId="FooterChar">
    <w:name w:val="Footer Char"/>
    <w:basedOn w:val="DefaultParagraphFont"/>
    <w:link w:val="Footer"/>
    <w:rsid w:val="001374F9"/>
    <w:rPr>
      <w:sz w:val="22"/>
      <w:lang w:val="en-GB" w:eastAsia="en-US" w:bidi="ar-SA"/>
    </w:rPr>
  </w:style>
  <w:style w:type="paragraph" w:styleId="FootnoteText">
    <w:name w:val="footnote text"/>
    <w:basedOn w:val="Normal"/>
    <w:link w:val="FootnoteTextChar"/>
    <w:rsid w:val="00995335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374F9"/>
    <w:rPr>
      <w:sz w:val="16"/>
      <w:lang w:val="en-GB" w:eastAsia="en-US" w:bidi="ar-SA"/>
    </w:rPr>
  </w:style>
  <w:style w:type="paragraph" w:styleId="Header">
    <w:name w:val="header"/>
    <w:basedOn w:val="Normal"/>
    <w:link w:val="HeaderChar"/>
    <w:rsid w:val="00995335"/>
  </w:style>
  <w:style w:type="character" w:customStyle="1" w:styleId="HeaderChar">
    <w:name w:val="Header Char"/>
    <w:basedOn w:val="DefaultParagraphFont"/>
    <w:link w:val="Header"/>
    <w:rsid w:val="001374F9"/>
    <w:rPr>
      <w:sz w:val="22"/>
      <w:lang w:val="en-GB" w:eastAsia="en-US" w:bidi="ar-SA"/>
    </w:rPr>
  </w:style>
  <w:style w:type="character" w:styleId="FootnoteReference">
    <w:name w:val="footnote reference"/>
    <w:basedOn w:val="DefaultParagraphFont"/>
    <w:semiHidden/>
    <w:rsid w:val="00995335"/>
    <w:rPr>
      <w:sz w:val="24"/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335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995335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995335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995335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995335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995335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995335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995335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95335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995335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74F9"/>
    <w:rPr>
      <w:kern w:val="28"/>
      <w:sz w:val="22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1374F9"/>
    <w:rPr>
      <w:sz w:val="22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1374F9"/>
    <w:rPr>
      <w:sz w:val="22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1374F9"/>
    <w:rPr>
      <w:sz w:val="22"/>
      <w:lang w:val="en-GB" w:eastAsia="en-US" w:bidi="ar-SA"/>
    </w:rPr>
  </w:style>
  <w:style w:type="character" w:customStyle="1" w:styleId="Heading5Char">
    <w:name w:val="Heading 5 Char"/>
    <w:basedOn w:val="DefaultParagraphFont"/>
    <w:link w:val="Heading5"/>
    <w:rsid w:val="001374F9"/>
    <w:rPr>
      <w:sz w:val="22"/>
      <w:lang w:val="en-GB" w:eastAsia="en-US" w:bidi="ar-SA"/>
    </w:rPr>
  </w:style>
  <w:style w:type="character" w:customStyle="1" w:styleId="Heading6Char">
    <w:name w:val="Heading 6 Char"/>
    <w:basedOn w:val="DefaultParagraphFont"/>
    <w:link w:val="Heading6"/>
    <w:rsid w:val="001374F9"/>
    <w:rPr>
      <w:sz w:val="22"/>
      <w:lang w:val="en-GB" w:eastAsia="en-US" w:bidi="ar-SA"/>
    </w:rPr>
  </w:style>
  <w:style w:type="character" w:customStyle="1" w:styleId="Heading7Char">
    <w:name w:val="Heading 7 Char"/>
    <w:basedOn w:val="DefaultParagraphFont"/>
    <w:link w:val="Heading7"/>
    <w:rsid w:val="001374F9"/>
    <w:rPr>
      <w:sz w:val="22"/>
      <w:lang w:val="en-GB" w:eastAsia="en-US" w:bidi="ar-SA"/>
    </w:rPr>
  </w:style>
  <w:style w:type="character" w:customStyle="1" w:styleId="Heading8Char">
    <w:name w:val="Heading 8 Char"/>
    <w:basedOn w:val="DefaultParagraphFont"/>
    <w:link w:val="Heading8"/>
    <w:rsid w:val="001374F9"/>
    <w:rPr>
      <w:sz w:val="22"/>
      <w:lang w:val="en-GB" w:eastAsia="en-US" w:bidi="ar-SA"/>
    </w:rPr>
  </w:style>
  <w:style w:type="character" w:customStyle="1" w:styleId="Heading9Char">
    <w:name w:val="Heading 9 Char"/>
    <w:basedOn w:val="DefaultParagraphFont"/>
    <w:link w:val="Heading9"/>
    <w:rsid w:val="001374F9"/>
    <w:rPr>
      <w:sz w:val="22"/>
      <w:lang w:val="en-GB" w:eastAsia="en-US" w:bidi="ar-SA"/>
    </w:rPr>
  </w:style>
  <w:style w:type="paragraph" w:styleId="Footer">
    <w:name w:val="footer"/>
    <w:basedOn w:val="Normal"/>
    <w:link w:val="FooterChar"/>
    <w:rsid w:val="00995335"/>
  </w:style>
  <w:style w:type="character" w:customStyle="1" w:styleId="FooterChar">
    <w:name w:val="Footer Char"/>
    <w:basedOn w:val="DefaultParagraphFont"/>
    <w:link w:val="Footer"/>
    <w:rsid w:val="001374F9"/>
    <w:rPr>
      <w:sz w:val="22"/>
      <w:lang w:val="en-GB" w:eastAsia="en-US" w:bidi="ar-SA"/>
    </w:rPr>
  </w:style>
  <w:style w:type="paragraph" w:styleId="FootnoteText">
    <w:name w:val="footnote text"/>
    <w:basedOn w:val="Normal"/>
    <w:link w:val="FootnoteTextChar"/>
    <w:rsid w:val="00995335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374F9"/>
    <w:rPr>
      <w:sz w:val="16"/>
      <w:lang w:val="en-GB" w:eastAsia="en-US" w:bidi="ar-SA"/>
    </w:rPr>
  </w:style>
  <w:style w:type="paragraph" w:styleId="Header">
    <w:name w:val="header"/>
    <w:basedOn w:val="Normal"/>
    <w:link w:val="HeaderChar"/>
    <w:rsid w:val="00995335"/>
  </w:style>
  <w:style w:type="character" w:customStyle="1" w:styleId="HeaderChar">
    <w:name w:val="Header Char"/>
    <w:basedOn w:val="DefaultParagraphFont"/>
    <w:link w:val="Header"/>
    <w:rsid w:val="001374F9"/>
    <w:rPr>
      <w:sz w:val="22"/>
      <w:lang w:val="en-GB" w:eastAsia="en-US" w:bidi="ar-SA"/>
    </w:rPr>
  </w:style>
  <w:style w:type="character" w:styleId="FootnoteReference">
    <w:name w:val="footnote reference"/>
    <w:basedOn w:val="DefaultParagraphFont"/>
    <w:semiHidden/>
    <w:rsid w:val="00995335"/>
    <w:rPr>
      <w:sz w:val="24"/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press@eesc.europa.eu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esc.europa.eu/?i=portal.pl.home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/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\su2003t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264e46-9252-4f01-a3b2-4cb67eb6fc3c">SNS6YXTC77FS-5-4389</_dlc_DocId>
    <_dlc_DocIdUrl xmlns="9f264e46-9252-4f01-a3b2-4cb67eb6fc3c">
      <Url>http://dm/EESC/2015/_layouts/DocIdRedir.aspx?ID=SNS6YXTC77FS-5-4389</Url>
      <Description>SNS6YXTC77FS-5-4389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038702fe-995b-46f5-84ea-df3a80fad2cf" xsi:nil="true"/>
    <Procedure xmlns="9f264e46-9252-4f01-a3b2-4cb67eb6fc3c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DossierName_0 xmlns="http://schemas.microsoft.com/sharepoint/v3/fields">
      <Terms xmlns="http://schemas.microsoft.com/office/infopath/2007/PartnerControls"/>
    </DossierName_0>
    <ProductionDate xmlns="9f264e46-9252-4f01-a3b2-4cb67eb6fc3c">2015-06-01T12:00:00+00:00</ProductionDate>
    <DocumentNumber xmlns="038702fe-995b-46f5-84ea-df3a80fad2cf">2960</DocumentNumber>
    <FicheYear xmlns="9f264e46-9252-4f01-a3b2-4cb67eb6fc3c">2015</FicheYear>
    <DocumentVersion xmlns="9f264e46-9252-4f01-a3b2-4cb67eb6fc3c">0</DocumentVersion>
    <DossierNumber xmlns="9f264e46-9252-4f01-a3b2-4cb67eb6fc3c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9f264e46-9252-4f01-a3b2-4cb67eb6fc3c" xsi:nil="true"/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TaxCatchAll xmlns="9f264e46-9252-4f01-a3b2-4cb67eb6fc3c">
      <Value>20</Value>
      <Value>17</Value>
      <Value>16</Value>
      <Value>38</Value>
      <Value>34</Value>
      <Value>120</Value>
      <Value>9</Value>
      <Value>5</Value>
      <Value>4</Value>
      <Value>2</Value>
      <Value>1</Value>
    </TaxCatchAll>
    <Rapporteur xmlns="9f264e46-9252-4f01-a3b2-4cb67eb6fc3c" xsi:nil="true"/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DocumentYear xmlns="9f264e46-9252-4f01-a3b2-4cb67eb6fc3c">2015</DocumentYear>
    <FicheNumber xmlns="9f264e46-9252-4f01-a3b2-4cb67eb6fc3c">5546</FicheNumber>
    <AdoptionDate xmlns="9f264e46-9252-4f01-a3b2-4cb67eb6fc3c" xsi:nil="true"/>
    <DocumentPart xmlns="9f264e46-9252-4f01-a3b2-4cb67eb6fc3c">0</DocumentPart>
    <MeetingName_0 xmlns="http://schemas.microsoft.com/sharepoint/v3/fields">
      <Terms xmlns="http://schemas.microsoft.com/office/infopath/2007/PartnerControls"/>
    </MeetingName_0>
    <RequestingService xmlns="9f264e46-9252-4f01-a3b2-4cb67eb6fc3c">Presse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E68383620920FD4C833D84C1183451B2" ma:contentTypeVersion="5" ma:contentTypeDescription="Defines the documents for Document Manager V2" ma:contentTypeScope="" ma:versionID="fb83c7911e74a4410a02da0d913e054e">
  <xsd:schema xmlns:xsd="http://www.w3.org/2001/XMLSchema" xmlns:xs="http://www.w3.org/2001/XMLSchema" xmlns:p="http://schemas.microsoft.com/office/2006/metadata/properties" xmlns:ns2="9f264e46-9252-4f01-a3b2-4cb67eb6fc3c" xmlns:ns3="http://schemas.microsoft.com/sharepoint/v3/fields" xmlns:ns4="038702fe-995b-46f5-84ea-df3a80fad2cf" targetNamespace="http://schemas.microsoft.com/office/2006/metadata/properties" ma:root="true" ma:fieldsID="05e74c252acef44896fd5ba2a40d9037" ns2:_="" ns3:_="" ns4:_="">
    <xsd:import namespace="9f264e46-9252-4f01-a3b2-4cb67eb6fc3c"/>
    <xsd:import namespace="http://schemas.microsoft.com/sharepoint/v3/fields"/>
    <xsd:import namespace="038702fe-995b-46f5-84ea-df3a80fad2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2:MeetingDate" minOccurs="0"/>
                <xsd:element ref="ns4:MeetingNumber" minOccurs="0"/>
                <xsd:element ref="ns2:DocumentVersion" minOccurs="0"/>
                <xsd:element ref="ns3:VersionStatus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64e46-9252-4f01-a3b2-4cb67eb6fc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e9fa9735-0925-4987-9efe-0f2c71b03369}" ma:internalName="TaxCatchAll" ma:showField="CatchAllData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9fa9735-0925-4987-9efe-0f2c71b03369}" ma:internalName="TaxCatchAllLabel" ma:readOnly="true" ma:showField="CatchAllDataLabel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2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4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5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702fe-995b-46f5-84ea-df3a80fad2cf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3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643378-2D68-46C1-B8B1-7FBAFC43DF06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sharepoint/v3/field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038702fe-995b-46f5-84ea-df3a80fad2cf"/>
    <ds:schemaRef ds:uri="9f264e46-9252-4f01-a3b2-4cb67eb6fc3c"/>
  </ds:schemaRefs>
</ds:datastoreItem>
</file>

<file path=customXml/itemProps2.xml><?xml version="1.0" encoding="utf-8"?>
<ds:datastoreItem xmlns:ds="http://schemas.openxmlformats.org/officeDocument/2006/customXml" ds:itemID="{AEC35F0A-E36E-4782-9A9B-3457B1B7172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606B833-3002-431B-A8E0-54D4014427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BF52FF-24C4-4299-8AAA-7CE8506F7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64e46-9252-4f01-a3b2-4cb67eb6fc3c"/>
    <ds:schemaRef ds:uri="http://schemas.microsoft.com/sharepoint/v3/fields"/>
    <ds:schemaRef ds:uri="038702fe-995b-46f5-84ea-df3a80fad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399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 33 EN TTIP</vt:lpstr>
    </vt:vector>
  </TitlesOfParts>
  <Company>CESE-CdR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33 EN TTIP</dc:title>
  <dc:subject>Komunikat prasowy</dc:subject>
  <cp:lastModifiedBy>Agata Berdys</cp:lastModifiedBy>
  <cp:revision>2</cp:revision>
  <cp:lastPrinted>2007-06-05T13:08:00Z</cp:lastPrinted>
  <dcterms:created xsi:type="dcterms:W3CDTF">2015-06-02T13:03:00Z</dcterms:created>
  <dcterms:modified xsi:type="dcterms:W3CDTF">2015-06-02T13:03:00Z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29/05/2015, 29/05/2015</vt:lpwstr>
  </property>
  <property fmtid="{D5CDD505-2E9C-101B-9397-08002B2CF9AE}" pid="4" name="Pref_Time">
    <vt:lpwstr>14:49:17, 14:35:30</vt:lpwstr>
  </property>
  <property fmtid="{D5CDD505-2E9C-101B-9397-08002B2CF9AE}" pid="5" name="Pref_User">
    <vt:lpwstr>tvoc, YMUR</vt:lpwstr>
  </property>
  <property fmtid="{D5CDD505-2E9C-101B-9397-08002B2CF9AE}" pid="6" name="Pref_FileName">
    <vt:lpwstr>EESC-2015-02960-00-00-CP-TRA-EN-CRR.docx, EESC-2015-02960-00-00-CP-CRR-EN.docx</vt:lpwstr>
  </property>
  <property fmtid="{D5CDD505-2E9C-101B-9397-08002B2CF9AE}" pid="7" name="StyleCheckSum">
    <vt:lpwstr>39365_C3318_P39_L0</vt:lpwstr>
  </property>
  <property fmtid="{D5CDD505-2E9C-101B-9397-08002B2CF9AE}" pid="8" name="ContentTypeId">
    <vt:lpwstr>0x010100EA97B91038054C99906057A708A1480A00E68383620920FD4C833D84C1183451B2</vt:lpwstr>
  </property>
  <property fmtid="{D5CDD505-2E9C-101B-9397-08002B2CF9AE}" pid="9" name="_dlc_DocIdItemGuid">
    <vt:lpwstr>8e0bf8a7-3687-40d6-a989-9b04b2d9f06b</vt:lpwstr>
  </property>
  <property fmtid="{D5CDD505-2E9C-101B-9397-08002B2CF9AE}" pid="10" name="AvailableTranslations">
    <vt:lpwstr>38;#IT|0774613c-01ed-4e5d-a25d-11d2388de825;#4;#FR|d2afafd3-4c81-4f60-8f52-ee33f2f54ff3;#20;#DE|f6b31e5a-26fa-4935-b661-318e46daf27e;#16;#PL|1e03da61-4678-4e07-b136-b5024ca9197b;#17;#ES|e7a6b05b-ae16-40c8-add9-68b64b03aeba;#9;#EN|f2175f21-25d7-44a3-96da-d</vt:lpwstr>
  </property>
  <property fmtid="{D5CDD505-2E9C-101B-9397-08002B2CF9AE}" pid="11" name="DossierName">
    <vt:lpwstr/>
  </property>
  <property fmtid="{D5CDD505-2E9C-101B-9397-08002B2CF9AE}" pid="12" name="DocumentStatus">
    <vt:lpwstr>2;#TRA|150d2a88-1431-44e6-a8ca-0bb753ab8672</vt:lpwstr>
  </property>
  <property fmtid="{D5CDD505-2E9C-101B-9397-08002B2CF9AE}" pid="13" name="Confidentiality">
    <vt:lpwstr>5;#Unrestricted|826e22d7-d029-4ec0-a450-0c28ff673572</vt:lpwstr>
  </property>
  <property fmtid="{D5CDD505-2E9C-101B-9397-08002B2CF9AE}" pid="14" name="OriginalLanguage">
    <vt:lpwstr>9;#EN|f2175f21-25d7-44a3-96da-d6a61b075e1b</vt:lpwstr>
  </property>
  <property fmtid="{D5CDD505-2E9C-101B-9397-08002B2CF9AE}" pid="15" name="MeetingName">
    <vt:lpwstr/>
  </property>
  <property fmtid="{D5CDD505-2E9C-101B-9397-08002B2CF9AE}" pid="16" name="VersionStatus">
    <vt:lpwstr>120;#Final|ea5e6674-7b27-4bac-b091-73adbb394efe</vt:lpwstr>
  </property>
  <property fmtid="{D5CDD505-2E9C-101B-9397-08002B2CF9AE}" pid="17" name="DocumentSource">
    <vt:lpwstr>1;#EESC|422833ec-8d7e-4e65-8e4e-8bed07ffb729</vt:lpwstr>
  </property>
  <property fmtid="{D5CDD505-2E9C-101B-9397-08002B2CF9AE}" pid="18" name="DocumentType">
    <vt:lpwstr>34;#CP|de8ad211-9e8d-408b-8324-674d21bb7d18</vt:lpwstr>
  </property>
  <property fmtid="{D5CDD505-2E9C-101B-9397-08002B2CF9AE}" pid="19" name="DocumentLanguage">
    <vt:lpwstr>16;#PL|1e03da61-4678-4e07-b136-b5024ca9197b</vt:lpwstr>
  </property>
</Properties>
</file>