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EA" w:rsidRPr="00615FF2" w:rsidRDefault="008F61EA">
      <w:pPr>
        <w:rPr>
          <w:lang w:val="es-ES_tradnl"/>
        </w:rPr>
      </w:pPr>
      <w:r w:rsidRPr="00615FF2">
        <w:rPr>
          <w:noProof/>
          <w:lang w:val="fr-BE" w:eastAsia="fr-BE" w:bidi="ar-SA"/>
        </w:rPr>
        <w:drawing>
          <wp:inline distT="0" distB="0" distL="0" distR="0" wp14:anchorId="522E821F" wp14:editId="5D42BECB">
            <wp:extent cx="5760085" cy="13923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1392364"/>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F83179" w:rsidRPr="00615FF2">
        <w:trPr>
          <w:cantSplit/>
        </w:trPr>
        <w:tc>
          <w:tcPr>
            <w:tcW w:w="5168" w:type="dxa"/>
          </w:tcPr>
          <w:p w:rsidR="00F83179" w:rsidRPr="00615FF2" w:rsidRDefault="00F83179" w:rsidP="00686EC2">
            <w:pPr>
              <w:spacing w:line="240" w:lineRule="auto"/>
              <w:rPr>
                <w:rFonts w:ascii="Verdana" w:hAnsi="Verdana"/>
                <w:b/>
                <w:bCs/>
                <w:sz w:val="20"/>
                <w:lang w:val="es-ES_tradnl"/>
              </w:rPr>
            </w:pPr>
            <w:r w:rsidRPr="00615FF2">
              <w:rPr>
                <w:rFonts w:ascii="Verdana" w:hAnsi="Verdana"/>
                <w:b/>
                <w:sz w:val="20"/>
                <w:lang w:val="es-ES_tradnl"/>
              </w:rPr>
              <w:t>COMUNICADO DE PRENSA nº 33/2015</w:t>
            </w:r>
          </w:p>
        </w:tc>
        <w:tc>
          <w:tcPr>
            <w:tcW w:w="4119" w:type="dxa"/>
          </w:tcPr>
          <w:p w:rsidR="00F83179" w:rsidRPr="00615FF2" w:rsidRDefault="004718C9" w:rsidP="00686EC2">
            <w:pPr>
              <w:spacing w:line="240" w:lineRule="auto"/>
              <w:jc w:val="right"/>
              <w:rPr>
                <w:rFonts w:ascii="Verdana" w:hAnsi="Verdana"/>
                <w:b/>
                <w:bCs/>
                <w:sz w:val="20"/>
                <w:lang w:val="es-ES_tradnl"/>
              </w:rPr>
            </w:pPr>
            <w:r w:rsidRPr="00615FF2">
              <w:rPr>
                <w:rFonts w:ascii="Verdana" w:hAnsi="Verdana"/>
                <w:b/>
                <w:sz w:val="20"/>
                <w:lang w:val="es-ES_tradnl"/>
              </w:rPr>
              <w:t>28 de mayo de 2015</w:t>
            </w:r>
          </w:p>
        </w:tc>
      </w:tr>
    </w:tbl>
    <w:p w:rsidR="00F83179" w:rsidRPr="00615FF2" w:rsidRDefault="004718C9" w:rsidP="00686EC2">
      <w:pPr>
        <w:spacing w:line="240" w:lineRule="auto"/>
        <w:rPr>
          <w:rFonts w:ascii="Verdana" w:hAnsi="Verdana"/>
          <w:sz w:val="20"/>
          <w:lang w:val="es-ES_tradnl"/>
        </w:rPr>
      </w:pPr>
      <w:r w:rsidRPr="00615FF2">
        <w:rPr>
          <w:noProof/>
          <w:lang w:val="fr-BE" w:eastAsia="fr-BE" w:bidi="ar-SA"/>
        </w:rPr>
        <mc:AlternateContent>
          <mc:Choice Requires="wps">
            <w:drawing>
              <wp:anchor distT="0" distB="0" distL="114300" distR="114300" simplePos="0" relativeHeight="251657728" behindDoc="1" locked="0" layoutInCell="0" allowOverlap="1" wp14:anchorId="649E6249" wp14:editId="2B2D83FB">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8C573E" w:rsidRDefault="00F83179">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8C573E" w:rsidRDefault="00F83179">
                      <w:pPr>
                        <w:jc w:val="center"/>
                        <w:rPr>
                          <w:rFonts w:ascii="Arial" w:hAnsi="Arial" w:cs="Arial"/>
                          <w:b/>
                          <w:bCs/>
                          <w:sz w:val="48"/>
                        </w:rPr>
                      </w:pPr>
                      <w:r>
                        <w:rPr>
                          <w:rFonts w:ascii="Arial" w:hAnsi="Arial"/>
                          <w:b/>
                          <w:sz w:val="48"/>
                        </w:rPr>
                        <w:t>ES</w:t>
                      </w:r>
                    </w:p>
                  </w:txbxContent>
                </v:textbox>
                <w10:wrap xmlns:w10="urn:schemas-microsoft-com:office:word" anchorx="page" anchory="page"/>
              </v:shape>
            </w:pict>
          </mc:Fallback>
        </mc:AlternateContent>
      </w:r>
    </w:p>
    <w:p w:rsidR="00F83179" w:rsidRPr="00615FF2" w:rsidRDefault="00F83179" w:rsidP="00686EC2">
      <w:pPr>
        <w:spacing w:line="240" w:lineRule="auto"/>
        <w:rPr>
          <w:rFonts w:ascii="Verdana" w:hAnsi="Verdana"/>
          <w:sz w:val="20"/>
          <w:lang w:val="es-ES_tradnl"/>
        </w:rPr>
        <w:sectPr w:rsidR="00F83179" w:rsidRPr="00615FF2" w:rsidSect="00240560">
          <w:footerReference w:type="default" r:id="rId13"/>
          <w:pgSz w:w="11907" w:h="16839" w:code="9"/>
          <w:pgMar w:top="425" w:right="1418" w:bottom="1418" w:left="1418" w:header="3062" w:footer="454" w:gutter="0"/>
          <w:cols w:space="720"/>
          <w:docGrid w:linePitch="299"/>
        </w:sectPr>
      </w:pPr>
    </w:p>
    <w:p w:rsidR="004718C9" w:rsidRPr="00615FF2" w:rsidRDefault="004718C9" w:rsidP="00686EC2">
      <w:pPr>
        <w:spacing w:line="240" w:lineRule="auto"/>
        <w:jc w:val="center"/>
        <w:rPr>
          <w:rFonts w:ascii="Verdana" w:hAnsi="Verdana"/>
          <w:b/>
          <w:bCs/>
          <w:sz w:val="28"/>
          <w:szCs w:val="28"/>
          <w:lang w:val="es-ES_tradnl"/>
        </w:rPr>
      </w:pPr>
    </w:p>
    <w:p w:rsidR="004718C9" w:rsidRPr="00615FF2" w:rsidRDefault="004718C9" w:rsidP="004718C9">
      <w:pPr>
        <w:jc w:val="center"/>
        <w:rPr>
          <w:rFonts w:ascii="Verdana" w:hAnsi="Verdana"/>
          <w:b/>
          <w:sz w:val="28"/>
          <w:szCs w:val="28"/>
          <w:lang w:val="es-ES_tradnl"/>
        </w:rPr>
      </w:pPr>
      <w:r w:rsidRPr="00615FF2">
        <w:rPr>
          <w:rFonts w:ascii="Verdana" w:hAnsi="Verdana"/>
          <w:b/>
          <w:sz w:val="28"/>
          <w:lang w:val="es-ES_tradnl"/>
        </w:rPr>
        <w:t xml:space="preserve">El CESE se opone a la RCIE en la ATCI y en el AECG y apela a la creación de un Tribunal Internacional de Inversiones </w:t>
      </w:r>
    </w:p>
    <w:p w:rsidR="00F83179" w:rsidRPr="00615FF2" w:rsidRDefault="00F83179" w:rsidP="00686EC2">
      <w:pPr>
        <w:spacing w:line="240" w:lineRule="auto"/>
        <w:jc w:val="center"/>
        <w:rPr>
          <w:rFonts w:ascii="Verdana" w:hAnsi="Verdana"/>
          <w:b/>
          <w:bCs/>
          <w:sz w:val="28"/>
          <w:szCs w:val="28"/>
          <w:lang w:val="es-ES_tradnl"/>
        </w:rPr>
      </w:pPr>
      <w:bookmarkStart w:id="0" w:name="_GoBack"/>
      <w:bookmarkEnd w:id="0"/>
    </w:p>
    <w:p w:rsidR="004718C9" w:rsidRPr="00615FF2" w:rsidRDefault="004718C9" w:rsidP="00686EC2">
      <w:pPr>
        <w:spacing w:line="240" w:lineRule="auto"/>
        <w:jc w:val="center"/>
        <w:rPr>
          <w:rFonts w:ascii="Verdana" w:hAnsi="Verdana"/>
          <w:b/>
          <w:bCs/>
          <w:sz w:val="28"/>
          <w:szCs w:val="28"/>
          <w:lang w:val="es-ES_tradnl"/>
        </w:rPr>
      </w:pPr>
    </w:p>
    <w:p w:rsidR="004718C9" w:rsidRPr="00615FF2" w:rsidRDefault="004718C9" w:rsidP="004718C9">
      <w:pPr>
        <w:rPr>
          <w:rFonts w:ascii="Verdana" w:hAnsi="Verdana"/>
          <w:b/>
          <w:sz w:val="20"/>
          <w:lang w:val="es-ES_tradnl"/>
        </w:rPr>
      </w:pPr>
      <w:r w:rsidRPr="00615FF2">
        <w:rPr>
          <w:rFonts w:ascii="Verdana" w:hAnsi="Verdana"/>
          <w:b/>
          <w:sz w:val="20"/>
          <w:lang w:val="es-ES_tradnl"/>
        </w:rPr>
        <w:t xml:space="preserve">En su dictamen aprobado el 27 de mayo, el Comité Económico y Social Europeo se opone a la inclusión de un mecanismo de resolución de controversias entre inversores y Estados (RCIE) en la Asociación Transatlántica de Comercio e Inversión (ATCI) o en el Acuerdo Económico y Comercial Global (AECG), ya que considera que este sistema puede poner en peligro los dos acuerdos. </w:t>
      </w:r>
    </w:p>
    <w:p w:rsidR="00F83179" w:rsidRPr="00615FF2" w:rsidRDefault="00F83179" w:rsidP="00686EC2">
      <w:pPr>
        <w:spacing w:line="240" w:lineRule="auto"/>
        <w:rPr>
          <w:rFonts w:ascii="Verdana" w:hAnsi="Verdana"/>
          <w:b/>
          <w:bCs/>
          <w:sz w:val="20"/>
          <w:lang w:val="es-ES_tradnl"/>
        </w:rPr>
      </w:pPr>
    </w:p>
    <w:p w:rsidR="004718C9" w:rsidRPr="00615FF2" w:rsidRDefault="004718C9" w:rsidP="004718C9">
      <w:pPr>
        <w:rPr>
          <w:rFonts w:ascii="Verdana" w:hAnsi="Verdana"/>
          <w:i/>
          <w:sz w:val="18"/>
          <w:szCs w:val="18"/>
          <w:lang w:val="es-ES_tradnl"/>
        </w:rPr>
      </w:pPr>
      <w:r w:rsidRPr="00615FF2">
        <w:rPr>
          <w:rFonts w:ascii="Verdana" w:hAnsi="Verdana"/>
          <w:i/>
          <w:sz w:val="18"/>
          <w:lang w:val="es-ES_tradnl"/>
        </w:rPr>
        <w:t>«No es un dictamen en contra de la protección de los inversores, sino un dictamen que se opone a la RCIE, que no es una forma de resolución de controversias aceptable para una amplia mayoría de la sociedad civil»</w:t>
      </w:r>
      <w:r w:rsidRPr="00615FF2">
        <w:rPr>
          <w:rFonts w:ascii="Verdana" w:hAnsi="Verdana"/>
          <w:sz w:val="18"/>
          <w:lang w:val="es-ES_tradnl"/>
        </w:rPr>
        <w:t xml:space="preserve">, señaló </w:t>
      </w:r>
      <w:r w:rsidRPr="00615FF2">
        <w:rPr>
          <w:rFonts w:ascii="Verdana" w:hAnsi="Verdana"/>
          <w:b/>
          <w:sz w:val="18"/>
          <w:lang w:val="es-ES_tradnl"/>
        </w:rPr>
        <w:t>Sandy Boyle, ponente del CESE</w:t>
      </w:r>
      <w:r w:rsidRPr="00615FF2">
        <w:rPr>
          <w:rFonts w:ascii="Verdana" w:hAnsi="Verdana"/>
          <w:sz w:val="18"/>
          <w:lang w:val="es-ES_tradnl"/>
        </w:rPr>
        <w:t xml:space="preserve">. </w:t>
      </w:r>
      <w:r w:rsidRPr="00615FF2">
        <w:rPr>
          <w:rFonts w:ascii="Verdana" w:hAnsi="Verdana"/>
          <w:i/>
          <w:sz w:val="18"/>
          <w:lang w:val="es-ES_tradnl"/>
        </w:rPr>
        <w:t xml:space="preserve">«La opacidad, la falta de unas normas de arbitraje </w:t>
      </w:r>
      <w:proofErr w:type="gramStart"/>
      <w:r w:rsidRPr="00615FF2">
        <w:rPr>
          <w:rFonts w:ascii="Verdana" w:hAnsi="Verdana"/>
          <w:i/>
          <w:sz w:val="18"/>
          <w:lang w:val="es-ES_tradnl"/>
        </w:rPr>
        <w:t>claras ,</w:t>
      </w:r>
      <w:proofErr w:type="gramEnd"/>
      <w:r w:rsidRPr="00615FF2">
        <w:rPr>
          <w:rFonts w:ascii="Verdana" w:hAnsi="Verdana"/>
          <w:i/>
          <w:sz w:val="18"/>
          <w:lang w:val="es-ES_tradnl"/>
        </w:rPr>
        <w:t xml:space="preserve"> la ausencia de un derecho de recurso, la discriminación contra los inversores nacionales, que no pueden utilizar el sistema, todo ello ha socavado la credibilidad de este sistema».</w:t>
      </w:r>
    </w:p>
    <w:p w:rsidR="004718C9" w:rsidRPr="00615FF2" w:rsidRDefault="004718C9" w:rsidP="004718C9">
      <w:pPr>
        <w:rPr>
          <w:rFonts w:ascii="Verdana" w:hAnsi="Verdana"/>
          <w:sz w:val="18"/>
          <w:szCs w:val="18"/>
          <w:lang w:val="es-ES_tradnl"/>
        </w:rPr>
      </w:pPr>
    </w:p>
    <w:p w:rsidR="004718C9" w:rsidRPr="00615FF2" w:rsidRDefault="004718C9" w:rsidP="004718C9">
      <w:pPr>
        <w:rPr>
          <w:rFonts w:ascii="Verdana" w:hAnsi="Verdana"/>
          <w:sz w:val="18"/>
          <w:szCs w:val="18"/>
          <w:lang w:val="es-ES_tradnl"/>
        </w:rPr>
      </w:pPr>
      <w:r w:rsidRPr="00615FF2">
        <w:rPr>
          <w:rFonts w:ascii="Verdana" w:hAnsi="Verdana"/>
          <w:sz w:val="18"/>
          <w:lang w:val="es-ES_tradnl"/>
        </w:rPr>
        <w:t>Tras un cuidadoso examen de las disposiciones en materia de inversiones en el AECG y en el Acuerdo de Libre Comercio con Singapur, el CESE concluye que las mejoras introducidas en el actual sistema de RCIE no son suficientes para disipar los temores de los ciudadanos. Por tanto, el CESE observa con preocupación que el modelo de RCIE del AECG es la base actual para las negociaciones en el ACL entre la UE y Japón.</w:t>
      </w:r>
    </w:p>
    <w:p w:rsidR="004718C9" w:rsidRPr="00615FF2" w:rsidRDefault="004718C9" w:rsidP="004718C9">
      <w:pPr>
        <w:rPr>
          <w:rFonts w:ascii="Verdana" w:hAnsi="Verdana"/>
          <w:sz w:val="18"/>
          <w:szCs w:val="18"/>
          <w:lang w:val="es-ES_tradnl"/>
        </w:rPr>
      </w:pPr>
    </w:p>
    <w:p w:rsidR="004718C9" w:rsidRPr="00615FF2" w:rsidRDefault="004718C9" w:rsidP="004718C9">
      <w:pPr>
        <w:rPr>
          <w:rFonts w:ascii="Verdana" w:hAnsi="Verdana"/>
          <w:sz w:val="18"/>
          <w:szCs w:val="18"/>
          <w:lang w:val="es-ES_tradnl"/>
        </w:rPr>
      </w:pPr>
      <w:r w:rsidRPr="00615FF2">
        <w:rPr>
          <w:rFonts w:ascii="Verdana" w:hAnsi="Verdana"/>
          <w:sz w:val="18"/>
          <w:lang w:val="es-ES_tradnl"/>
        </w:rPr>
        <w:t xml:space="preserve">El CESE analiza en detalle los cuatro ámbitos de reforma definidos por la Comisión Europea y señala la necesidad de un procedimiento de resolución de controversias sobre inversiones alternativo que reconcilie las legítimas demandas de los inversores y los temores expresados por la sociedad civil en general. Para garantizar un sistema democrático, justo, transparente y equitativo, el CESE aboga por la creación de un </w:t>
      </w:r>
      <w:r w:rsidRPr="00615FF2">
        <w:rPr>
          <w:rFonts w:ascii="Verdana" w:hAnsi="Verdana"/>
          <w:b/>
          <w:sz w:val="18"/>
          <w:lang w:val="es-ES_tradnl"/>
        </w:rPr>
        <w:t>Tribunal Internacional de Inversiones</w:t>
      </w:r>
      <w:r w:rsidRPr="00615FF2">
        <w:rPr>
          <w:rFonts w:ascii="Verdana" w:hAnsi="Verdana"/>
          <w:sz w:val="18"/>
          <w:lang w:val="es-ES_tradnl"/>
        </w:rPr>
        <w:t>.</w:t>
      </w:r>
    </w:p>
    <w:p w:rsidR="004718C9" w:rsidRPr="00615FF2" w:rsidRDefault="004718C9" w:rsidP="004718C9">
      <w:pPr>
        <w:rPr>
          <w:rFonts w:ascii="Verdana" w:hAnsi="Verdana"/>
          <w:sz w:val="18"/>
          <w:szCs w:val="18"/>
          <w:lang w:val="es-ES_tradnl"/>
        </w:rPr>
      </w:pPr>
    </w:p>
    <w:p w:rsidR="004718C9" w:rsidRPr="00615FF2" w:rsidRDefault="004718C9" w:rsidP="004718C9">
      <w:pPr>
        <w:rPr>
          <w:rFonts w:ascii="Verdana" w:hAnsi="Verdana"/>
          <w:sz w:val="18"/>
          <w:szCs w:val="18"/>
          <w:lang w:val="es-ES_tradnl"/>
        </w:rPr>
      </w:pPr>
      <w:r w:rsidRPr="00615FF2">
        <w:rPr>
          <w:rFonts w:ascii="Verdana" w:hAnsi="Verdana"/>
          <w:sz w:val="18"/>
          <w:lang w:val="es-ES_tradnl"/>
        </w:rPr>
        <w:t>El Comité lo considera una prioridad absoluta. Consciente de que la necesidad de protección de las inversiones varía según los países, el Comité considera que en los países que disponen de un sistema jurídico desarrollado, democrático y sin corrupción los conflictos en materia de inversiones deben gestionarse a través de la mediación, el recurso a los tribunales nacionales y la negociación entre Estados.</w:t>
      </w:r>
    </w:p>
    <w:p w:rsidR="004718C9" w:rsidRPr="00615FF2" w:rsidRDefault="004718C9" w:rsidP="004718C9">
      <w:pPr>
        <w:rPr>
          <w:rFonts w:ascii="Verdana" w:hAnsi="Verdana"/>
          <w:sz w:val="18"/>
          <w:szCs w:val="18"/>
          <w:lang w:val="es-ES_tradnl"/>
        </w:rPr>
      </w:pPr>
    </w:p>
    <w:p w:rsidR="004718C9" w:rsidRPr="00615FF2" w:rsidRDefault="004718C9" w:rsidP="004718C9">
      <w:pPr>
        <w:rPr>
          <w:rFonts w:ascii="Verdana" w:hAnsi="Verdana"/>
          <w:sz w:val="18"/>
          <w:szCs w:val="18"/>
          <w:lang w:val="es-ES_tradnl"/>
        </w:rPr>
      </w:pPr>
      <w:r w:rsidRPr="00615FF2">
        <w:rPr>
          <w:rFonts w:ascii="Verdana" w:hAnsi="Verdana"/>
          <w:sz w:val="18"/>
          <w:lang w:val="es-ES_tradnl"/>
        </w:rPr>
        <w:t>Tras un acalorado debate en el pleno del CESE y una enmienda a la totalidad presentada por el Grupo de Empresarios, que fue rechazada, el dictamen del CESE se aprobó con el 73 % de los votos.</w:t>
      </w:r>
    </w:p>
    <w:p w:rsidR="004718C9" w:rsidRPr="00615FF2" w:rsidRDefault="004718C9" w:rsidP="004718C9">
      <w:pPr>
        <w:rPr>
          <w:rFonts w:ascii="Verdana" w:hAnsi="Verdana"/>
          <w:sz w:val="18"/>
          <w:szCs w:val="18"/>
          <w:lang w:val="es-ES_tradnl"/>
        </w:rPr>
      </w:pPr>
    </w:p>
    <w:p w:rsidR="004718C9" w:rsidRPr="00615FF2" w:rsidRDefault="004718C9" w:rsidP="004718C9">
      <w:pPr>
        <w:keepNext/>
        <w:rPr>
          <w:rFonts w:ascii="Verdana" w:hAnsi="Verdana"/>
          <w:b/>
          <w:sz w:val="18"/>
          <w:szCs w:val="18"/>
          <w:u w:val="single"/>
          <w:lang w:val="es-ES_tradnl"/>
        </w:rPr>
      </w:pPr>
      <w:r w:rsidRPr="00615FF2">
        <w:rPr>
          <w:rFonts w:ascii="Verdana" w:hAnsi="Verdana"/>
          <w:b/>
          <w:sz w:val="18"/>
          <w:u w:val="single"/>
          <w:lang w:val="es-ES_tradnl"/>
        </w:rPr>
        <w:lastRenderedPageBreak/>
        <w:t>Contexto</w:t>
      </w:r>
    </w:p>
    <w:p w:rsidR="004718C9" w:rsidRPr="00615FF2" w:rsidRDefault="004718C9" w:rsidP="004718C9">
      <w:pPr>
        <w:keepNext/>
        <w:rPr>
          <w:lang w:val="es-ES_tradnl"/>
        </w:rPr>
      </w:pPr>
    </w:p>
    <w:p w:rsidR="004718C9" w:rsidRPr="00615FF2" w:rsidRDefault="00007167" w:rsidP="004718C9">
      <w:pPr>
        <w:rPr>
          <w:rFonts w:ascii="Verdana" w:hAnsi="Verdana"/>
          <w:sz w:val="18"/>
          <w:szCs w:val="18"/>
          <w:lang w:val="es-ES_tradnl"/>
        </w:rPr>
      </w:pPr>
      <w:hyperlink r:id="rId14">
        <w:r w:rsidR="00935FEB" w:rsidRPr="00615FF2">
          <w:rPr>
            <w:rStyle w:val="Hyperlink"/>
            <w:rFonts w:ascii="Verdana" w:eastAsiaTheme="majorEastAsia" w:hAnsi="Verdana"/>
            <w:sz w:val="18"/>
            <w:lang w:val="es-ES_tradnl"/>
          </w:rPr>
          <w:t>La protección de los inversores y la resolución de controversias entre inversores y Estados en los acuerdos de la UE con terceros países en materia de comercio e inversión</w:t>
        </w:r>
      </w:hyperlink>
    </w:p>
    <w:p w:rsidR="004718C9" w:rsidRPr="00615FF2" w:rsidRDefault="004718C9" w:rsidP="004718C9">
      <w:pPr>
        <w:rPr>
          <w:rFonts w:ascii="Verdana" w:hAnsi="Verdana"/>
          <w:sz w:val="18"/>
          <w:szCs w:val="18"/>
          <w:lang w:val="es-ES_tradnl"/>
        </w:rPr>
      </w:pPr>
    </w:p>
    <w:p w:rsidR="004718C9" w:rsidRPr="00615FF2" w:rsidRDefault="004718C9" w:rsidP="004718C9">
      <w:pPr>
        <w:rPr>
          <w:rFonts w:ascii="Verdana" w:hAnsi="Verdana"/>
          <w:sz w:val="18"/>
          <w:szCs w:val="18"/>
          <w:lang w:val="es-ES_tradnl"/>
        </w:rPr>
      </w:pPr>
      <w:r w:rsidRPr="00615FF2">
        <w:rPr>
          <w:rFonts w:ascii="Verdana" w:hAnsi="Verdana"/>
          <w:sz w:val="18"/>
          <w:lang w:val="es-ES_tradnl"/>
        </w:rPr>
        <w:t>Resultado de la votación: 199 votos a favor, 55 en contra y 30 abstenciones.</w:t>
      </w:r>
    </w:p>
    <w:p w:rsidR="004718C9" w:rsidRPr="00615FF2" w:rsidRDefault="004718C9" w:rsidP="004718C9">
      <w:pPr>
        <w:rPr>
          <w:lang w:val="es-ES_tradnl"/>
        </w:rPr>
      </w:pPr>
    </w:p>
    <w:p w:rsidR="004718C9" w:rsidRPr="00615FF2" w:rsidRDefault="004718C9" w:rsidP="004718C9">
      <w:pPr>
        <w:pStyle w:val="ListParagraph"/>
        <w:jc w:val="center"/>
        <w:rPr>
          <w:rFonts w:ascii="Verdana" w:hAnsi="Verdana"/>
          <w:iCs/>
          <w:color w:val="1F497D"/>
          <w:sz w:val="18"/>
          <w:szCs w:val="18"/>
          <w:lang w:val="es-ES_tradnl"/>
        </w:rPr>
      </w:pPr>
      <w:r w:rsidRPr="00615FF2">
        <w:rPr>
          <w:rFonts w:ascii="Verdana" w:hAnsi="Verdana"/>
          <w:b/>
          <w:sz w:val="18"/>
          <w:lang w:val="es-ES_tradnl"/>
        </w:rPr>
        <w:t>Si desea más información, puede ponerse en contacto con:</w:t>
      </w:r>
    </w:p>
    <w:p w:rsidR="004718C9" w:rsidRPr="00615FF2" w:rsidRDefault="004718C9" w:rsidP="004718C9">
      <w:pPr>
        <w:overflowPunct/>
        <w:autoSpaceDE/>
        <w:autoSpaceDN/>
        <w:adjustRightInd/>
        <w:spacing w:line="240" w:lineRule="auto"/>
        <w:jc w:val="center"/>
        <w:textAlignment w:val="auto"/>
        <w:rPr>
          <w:rFonts w:ascii="Verdana" w:eastAsia="PMingLiU" w:hAnsi="Verdana"/>
          <w:sz w:val="18"/>
          <w:szCs w:val="18"/>
          <w:lang w:val="es-ES_tradnl"/>
        </w:rPr>
      </w:pPr>
      <w:r w:rsidRPr="00615FF2">
        <w:rPr>
          <w:rFonts w:ascii="Verdana" w:hAnsi="Verdana"/>
          <w:sz w:val="18"/>
          <w:lang w:val="es-ES_tradnl"/>
        </w:rPr>
        <w:t>Unidad de Prensa del CESE</w:t>
      </w:r>
    </w:p>
    <w:p w:rsidR="004718C9" w:rsidRPr="00615FF2" w:rsidRDefault="004718C9" w:rsidP="004718C9">
      <w:pPr>
        <w:overflowPunct/>
        <w:autoSpaceDE/>
        <w:autoSpaceDN/>
        <w:adjustRightInd/>
        <w:spacing w:line="240" w:lineRule="auto"/>
        <w:jc w:val="center"/>
        <w:textAlignment w:val="auto"/>
        <w:rPr>
          <w:rFonts w:ascii="Verdana" w:eastAsia="PMingLiU" w:hAnsi="Verdana"/>
          <w:sz w:val="18"/>
          <w:szCs w:val="18"/>
          <w:lang w:val="es-ES_tradnl"/>
        </w:rPr>
      </w:pPr>
      <w:r w:rsidRPr="00615FF2">
        <w:rPr>
          <w:rFonts w:ascii="Verdana" w:hAnsi="Verdana"/>
          <w:sz w:val="18"/>
          <w:lang w:val="es-ES_tradnl"/>
        </w:rPr>
        <w:t xml:space="preserve">Correo electrónico: </w:t>
      </w:r>
      <w:hyperlink r:id="rId15">
        <w:r w:rsidRPr="00615FF2">
          <w:rPr>
            <w:rStyle w:val="Hyperlink"/>
            <w:rFonts w:ascii="Verdana" w:hAnsi="Verdana"/>
            <w:sz w:val="18"/>
            <w:lang w:val="es-ES_tradnl"/>
          </w:rPr>
          <w:t>press@eesc.europa.eu</w:t>
        </w:r>
      </w:hyperlink>
    </w:p>
    <w:p w:rsidR="004718C9" w:rsidRPr="00615FF2" w:rsidRDefault="004718C9" w:rsidP="004718C9">
      <w:pPr>
        <w:spacing w:line="240" w:lineRule="auto"/>
        <w:jc w:val="center"/>
        <w:rPr>
          <w:rFonts w:ascii="Verdana" w:eastAsia="PMingLiU" w:hAnsi="Verdana"/>
          <w:sz w:val="18"/>
          <w:szCs w:val="18"/>
          <w:lang w:val="es-ES_tradnl"/>
        </w:rPr>
      </w:pPr>
      <w:r w:rsidRPr="00615FF2">
        <w:rPr>
          <w:rFonts w:ascii="Verdana" w:hAnsi="Verdana"/>
          <w:sz w:val="18"/>
          <w:lang w:val="es-ES_tradnl"/>
        </w:rPr>
        <w:t xml:space="preserve">Tel.: + 32 2 546 9406 / +32 475 75 3202 </w:t>
      </w:r>
    </w:p>
    <w:p w:rsidR="004718C9" w:rsidRPr="00615FF2" w:rsidRDefault="004718C9" w:rsidP="004718C9">
      <w:pPr>
        <w:spacing w:line="240" w:lineRule="auto"/>
        <w:jc w:val="center"/>
        <w:rPr>
          <w:rFonts w:ascii="Verdana" w:eastAsia="PMingLiU" w:hAnsi="Verdana"/>
          <w:b/>
          <w:sz w:val="18"/>
          <w:szCs w:val="18"/>
          <w:lang w:val="es-ES_tradnl"/>
        </w:rPr>
      </w:pPr>
      <w:r w:rsidRPr="00615FF2">
        <w:rPr>
          <w:rFonts w:ascii="Verdana" w:hAnsi="Verdana"/>
          <w:b/>
          <w:color w:val="FF0000"/>
          <w:sz w:val="18"/>
          <w:lang w:val="es-ES_tradnl"/>
        </w:rPr>
        <w:t xml:space="preserve">@EESC_PRESS </w:t>
      </w:r>
    </w:p>
    <w:p w:rsidR="00F83179" w:rsidRPr="00615FF2" w:rsidRDefault="00F83179" w:rsidP="00686EC2">
      <w:pPr>
        <w:spacing w:line="240" w:lineRule="auto"/>
        <w:rPr>
          <w:rFonts w:ascii="Verdana" w:hAnsi="Verdana"/>
          <w:sz w:val="18"/>
          <w:lang w:val="es-ES_tradnl"/>
        </w:rPr>
      </w:pPr>
    </w:p>
    <w:p w:rsidR="00F83179" w:rsidRPr="00615FF2" w:rsidRDefault="00F83179" w:rsidP="00686EC2">
      <w:pPr>
        <w:spacing w:line="240" w:lineRule="auto"/>
        <w:rPr>
          <w:rFonts w:ascii="Verdana" w:hAnsi="Verdana"/>
          <w:sz w:val="18"/>
          <w:lang w:val="es-ES_tradnl"/>
        </w:rPr>
      </w:pPr>
    </w:p>
    <w:p w:rsidR="00F83179" w:rsidRPr="00615FF2" w:rsidRDefault="00F83179" w:rsidP="00CE439D">
      <w:pPr>
        <w:rPr>
          <w:rFonts w:ascii="Verdana" w:hAnsi="Verdana"/>
          <w:b/>
          <w:bCs/>
          <w:i/>
          <w:sz w:val="16"/>
          <w:szCs w:val="16"/>
          <w:lang w:val="es-ES_tradnl"/>
        </w:rPr>
      </w:pPr>
      <w:r w:rsidRPr="00615FF2">
        <w:rPr>
          <w:rFonts w:ascii="Verdana" w:hAnsi="Verdana"/>
          <w:i/>
          <w:sz w:val="16"/>
          <w:lang w:val="es-ES_tradnl"/>
        </w:rPr>
        <w:t>__</w:t>
      </w:r>
      <w:r w:rsidRPr="00615FF2">
        <w:rPr>
          <w:rFonts w:ascii="Verdana" w:hAnsi="Verdana"/>
          <w:b/>
          <w:i/>
          <w:sz w:val="16"/>
          <w:lang w:val="es-ES_tradnl"/>
        </w:rPr>
        <w:t>_____________________________________________________________________________</w:t>
      </w:r>
    </w:p>
    <w:p w:rsidR="00F83179" w:rsidRPr="00615FF2" w:rsidRDefault="00F83179" w:rsidP="00CE439D">
      <w:pPr>
        <w:rPr>
          <w:rFonts w:ascii="Verdana" w:hAnsi="Verdana"/>
          <w:i/>
          <w:sz w:val="16"/>
          <w:szCs w:val="16"/>
          <w:lang w:val="es-ES_tradnl"/>
        </w:rPr>
      </w:pPr>
      <w:r w:rsidRPr="00615FF2">
        <w:rPr>
          <w:rFonts w:ascii="Verdana" w:hAnsi="Verdana"/>
          <w:i/>
          <w:sz w:val="16"/>
          <w:lang w:val="es-ES_tradnl"/>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 El Comité cuenta con 353 miembros, procedentes de toda Europa, que son designados por el Consejo de la Unión Europea.</w:t>
      </w:r>
    </w:p>
    <w:p w:rsidR="00F83179" w:rsidRPr="00615FF2" w:rsidRDefault="00F83179" w:rsidP="00CE439D">
      <w:pPr>
        <w:rPr>
          <w:rFonts w:ascii="Verdana" w:hAnsi="Verdana"/>
          <w:b/>
          <w:bCs/>
          <w:i/>
          <w:sz w:val="16"/>
          <w:szCs w:val="16"/>
          <w:lang w:val="es-ES_tradnl"/>
        </w:rPr>
      </w:pPr>
      <w:r w:rsidRPr="00615FF2">
        <w:rPr>
          <w:rFonts w:ascii="Verdana" w:hAnsi="Verdana"/>
          <w:i/>
          <w:sz w:val="16"/>
          <w:lang w:val="es-ES_tradnl"/>
        </w:rPr>
        <w:t>__</w:t>
      </w:r>
      <w:r w:rsidRPr="00615FF2">
        <w:rPr>
          <w:rFonts w:ascii="Verdana" w:hAnsi="Verdana"/>
          <w:b/>
          <w:i/>
          <w:sz w:val="16"/>
          <w:lang w:val="es-ES_tradnl"/>
        </w:rPr>
        <w:t>_____________________________________________________________________________</w:t>
      </w:r>
    </w:p>
    <w:p w:rsidR="00F83179" w:rsidRPr="00615FF2" w:rsidRDefault="00F83179" w:rsidP="00686EC2">
      <w:pPr>
        <w:spacing w:line="240" w:lineRule="auto"/>
        <w:rPr>
          <w:rFonts w:ascii="Verdana" w:hAnsi="Verdana"/>
          <w:sz w:val="18"/>
          <w:lang w:val="es-ES_tradnl"/>
        </w:rPr>
      </w:pPr>
    </w:p>
    <w:sectPr w:rsidR="00F83179" w:rsidRPr="00615FF2" w:rsidSect="00240560">
      <w:type w:val="continuous"/>
      <w:pgSz w:w="11907" w:h="16839" w:code="9"/>
      <w:pgMar w:top="2126"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79" w:rsidRDefault="00F83179">
      <w:r>
        <w:separator/>
      </w:r>
    </w:p>
  </w:endnote>
  <w:endnote w:type="continuationSeparator" w:id="0">
    <w:p w:rsidR="00F83179" w:rsidRDefault="00F8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rPr>
      <w:t>Tel. +32 25469406 – Fax +32 25469764</w:t>
    </w:r>
  </w:p>
  <w:p w:rsidR="00F83179" w:rsidRDefault="00F83179" w:rsidP="0004715C">
    <w:pPr>
      <w:spacing w:line="240" w:lineRule="auto"/>
      <w:jc w:val="center"/>
      <w:rPr>
        <w:rFonts w:ascii="Verdana" w:hAnsi="Verdana"/>
        <w:sz w:val="16"/>
        <w:szCs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 xml:space="preserve">Síganos en </w:t>
    </w:r>
    <w:r>
      <w:rPr>
        <w:noProof/>
        <w:lang w:val="fr-BE" w:eastAsia="fr-BE" w:bidi="ar-SA"/>
      </w:rPr>
      <w:drawing>
        <wp:inline distT="0" distB="0" distL="0" distR="0" wp14:anchorId="1CCD566A" wp14:editId="0C78DA81">
          <wp:extent cx="222250" cy="222250"/>
          <wp:effectExtent l="0" t="0" r="6350" b="6350"/>
          <wp:docPr id="9" name="Picture 9"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136350F8" wp14:editId="64260638">
          <wp:extent cx="222250" cy="222250"/>
          <wp:effectExtent l="0" t="0" r="6350" b="6350"/>
          <wp:docPr id="10" name="Picture 10"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21C9812A" wp14:editId="4A6CF489">
          <wp:extent cx="222250" cy="222250"/>
          <wp:effectExtent l="0" t="0" r="6350" b="6350"/>
          <wp:docPr id="11" name="Picture 1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79" w:rsidRDefault="00F83179">
      <w:r>
        <w:separator/>
      </w:r>
    </w:p>
  </w:footnote>
  <w:footnote w:type="continuationSeparator" w:id="0">
    <w:p w:rsidR="00F83179" w:rsidRDefault="00F83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7167"/>
    <w:rsid w:val="0004715C"/>
    <w:rsid w:val="00067F21"/>
    <w:rsid w:val="00104DFA"/>
    <w:rsid w:val="00142677"/>
    <w:rsid w:val="0018613F"/>
    <w:rsid w:val="00227A31"/>
    <w:rsid w:val="00240560"/>
    <w:rsid w:val="00265AA7"/>
    <w:rsid w:val="002734F3"/>
    <w:rsid w:val="00337F0A"/>
    <w:rsid w:val="00394D81"/>
    <w:rsid w:val="003B714A"/>
    <w:rsid w:val="003E6928"/>
    <w:rsid w:val="00424928"/>
    <w:rsid w:val="004605FD"/>
    <w:rsid w:val="004718C9"/>
    <w:rsid w:val="00494BBC"/>
    <w:rsid w:val="005270ED"/>
    <w:rsid w:val="005549A1"/>
    <w:rsid w:val="00556CD0"/>
    <w:rsid w:val="005A0E46"/>
    <w:rsid w:val="005B3342"/>
    <w:rsid w:val="005C08F4"/>
    <w:rsid w:val="005C2258"/>
    <w:rsid w:val="005C46DB"/>
    <w:rsid w:val="00612F2E"/>
    <w:rsid w:val="00615FF2"/>
    <w:rsid w:val="00626C38"/>
    <w:rsid w:val="00662EE3"/>
    <w:rsid w:val="00686EC2"/>
    <w:rsid w:val="006B4D96"/>
    <w:rsid w:val="007060BA"/>
    <w:rsid w:val="00712EA3"/>
    <w:rsid w:val="007141AB"/>
    <w:rsid w:val="007A5486"/>
    <w:rsid w:val="007E1A74"/>
    <w:rsid w:val="008133EA"/>
    <w:rsid w:val="008820BE"/>
    <w:rsid w:val="008C573E"/>
    <w:rsid w:val="008F61EA"/>
    <w:rsid w:val="00935FEB"/>
    <w:rsid w:val="009C2FCF"/>
    <w:rsid w:val="009D3245"/>
    <w:rsid w:val="00A74687"/>
    <w:rsid w:val="00A96CE7"/>
    <w:rsid w:val="00AA61D9"/>
    <w:rsid w:val="00AF2692"/>
    <w:rsid w:val="00B239E2"/>
    <w:rsid w:val="00B9349D"/>
    <w:rsid w:val="00B96D77"/>
    <w:rsid w:val="00BB36F5"/>
    <w:rsid w:val="00C97D1B"/>
    <w:rsid w:val="00CB5993"/>
    <w:rsid w:val="00CE439D"/>
    <w:rsid w:val="00CF3AD7"/>
    <w:rsid w:val="00D9016E"/>
    <w:rsid w:val="00DC66B3"/>
    <w:rsid w:val="00F61167"/>
    <w:rsid w:val="00F831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s-E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s-E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s-E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s-E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s-E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s-E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s-E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s-E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s-E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s-E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s-E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901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9016E"/>
    <w:rPr>
      <w:rFonts w:ascii="Tahoma" w:hAnsi="Tahoma" w:cs="Tahoma"/>
      <w:sz w:val="16"/>
      <w:szCs w:val="16"/>
      <w:lang w:val="es-ES" w:eastAsia="es-ES"/>
    </w:rPr>
  </w:style>
  <w:style w:type="paragraph" w:styleId="ListParagraph">
    <w:name w:val="List Paragraph"/>
    <w:basedOn w:val="Normal"/>
    <w:uiPriority w:val="34"/>
    <w:qFormat/>
    <w:rsid w:val="00471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s-E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s-E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s-E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s-E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s-E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s-E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s-E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s-E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s-E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s-E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s-E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901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9016E"/>
    <w:rPr>
      <w:rFonts w:ascii="Tahoma" w:hAnsi="Tahoma" w:cs="Tahoma"/>
      <w:sz w:val="16"/>
      <w:szCs w:val="16"/>
      <w:lang w:val="es-ES" w:eastAsia="es-ES"/>
    </w:rPr>
  </w:style>
  <w:style w:type="paragraph" w:styleId="ListParagraph">
    <w:name w:val="List Paragraph"/>
    <w:basedOn w:val="Normal"/>
    <w:uiPriority w:val="34"/>
    <w:qFormat/>
    <w:rsid w:val="0047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ss@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s.hom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SNS6YXTC77FS-5-4362</_dlc_DocId>
    <_dlc_DocIdUrl xmlns="9f264e46-9252-4f01-a3b2-4cb67eb6fc3c">
      <Url>http://dm/EESC/2015/_layouts/DocIdRedir.aspx?ID=SNS6YXTC77FS-5-4362</Url>
      <Description>SNS6YXTC77FS-5-4362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38702fe-995b-46f5-84ea-df3a80fad2cf"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2015-06-01T12:00:00+00:00</ProductionDate>
    <DocumentNumber xmlns="038702fe-995b-46f5-84ea-df3a80fad2cf">2960</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9f264e46-9252-4f01-a3b2-4cb67eb6fc3c">
      <Value>20</Value>
      <Value>17</Value>
      <Value>16</Value>
      <Value>38</Value>
      <Value>34</Value>
      <Value>120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5546</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71EC4-64BE-4024-93D5-5169BF10062D}">
  <ds:schemaRefs>
    <ds:schemaRef ds:uri="http://purl.org/dc/terms/"/>
    <ds:schemaRef ds:uri="http://purl.org/dc/elements/1.1/"/>
    <ds:schemaRef ds:uri="http://purl.org/dc/dcmitype/"/>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9f264e46-9252-4f01-a3b2-4cb67eb6fc3c"/>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6B152E-345F-4FE7-8E15-0A025D120AC6}">
  <ds:schemaRefs>
    <ds:schemaRef ds:uri="http://schemas.microsoft.com/sharepoint/events"/>
  </ds:schemaRefs>
</ds:datastoreItem>
</file>

<file path=customXml/itemProps3.xml><?xml version="1.0" encoding="utf-8"?>
<ds:datastoreItem xmlns:ds="http://schemas.openxmlformats.org/officeDocument/2006/customXml" ds:itemID="{4A20AE5E-D9F0-4C3F-A649-E01142E721E9}">
  <ds:schemaRefs>
    <ds:schemaRef ds:uri="http://schemas.microsoft.com/sharepoint/v3/contenttype/forms"/>
  </ds:schemaRefs>
</ds:datastoreItem>
</file>

<file path=customXml/itemProps4.xml><?xml version="1.0" encoding="utf-8"?>
<ds:datastoreItem xmlns:ds="http://schemas.openxmlformats.org/officeDocument/2006/customXml" ds:itemID="{719621F7-70A2-47D4-AC54-F58FDCC9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581</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 33 EN ATCI</vt:lpstr>
    </vt:vector>
  </TitlesOfParts>
  <Company>CESE-CdR</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33 EN ATCI</dc:title>
  <dc:subject>Comunicado de prensa</dc:subject>
  <cp:lastModifiedBy>Agata Berdys</cp:lastModifiedBy>
  <cp:revision>2</cp:revision>
  <cp:lastPrinted>2007-06-05T13:08:00Z</cp:lastPrinted>
  <dcterms:created xsi:type="dcterms:W3CDTF">2015-06-02T13:04:00Z</dcterms:created>
  <dcterms:modified xsi:type="dcterms:W3CDTF">2015-06-02T13:04:00Z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29/05/2015, 29/05/2015</vt:lpwstr>
  </property>
  <property fmtid="{D5CDD505-2E9C-101B-9397-08002B2CF9AE}" pid="4" name="Pref_Time">
    <vt:lpwstr>14:49:17, 14:35:30</vt:lpwstr>
  </property>
  <property fmtid="{D5CDD505-2E9C-101B-9397-08002B2CF9AE}" pid="5" name="Pref_User">
    <vt:lpwstr>tvoc, YMUR</vt:lpwstr>
  </property>
  <property fmtid="{D5CDD505-2E9C-101B-9397-08002B2CF9AE}" pid="6" name="Pref_FileName">
    <vt:lpwstr>EESC-2015-02960-00-00-CP-TRA-EN-CRR.docx, EESC-2015-02960-00-00-CP-CRR-EN.docx</vt:lpwstr>
  </property>
  <property fmtid="{D5CDD505-2E9C-101B-9397-08002B2CF9AE}" pid="7" name="ContentTypeId">
    <vt:lpwstr>0x010100EA97B91038054C99906057A708A1480A00E68383620920FD4C833D84C1183451B2</vt:lpwstr>
  </property>
  <property fmtid="{D5CDD505-2E9C-101B-9397-08002B2CF9AE}" pid="8" name="_dlc_DocIdItemGuid">
    <vt:lpwstr>0b502ab7-c2b6-4163-afdc-c7544b6c79a2</vt:lpwstr>
  </property>
  <property fmtid="{D5CDD505-2E9C-101B-9397-08002B2CF9AE}" pid="9" name="AvailableTranslations">
    <vt:lpwstr>38;#IT|0774613c-01ed-4e5d-a25d-11d2388de825;#4;#FR|d2afafd3-4c81-4f60-8f52-ee33f2f54ff3;#20;#DE|f6b31e5a-26fa-4935-b661-318e46daf27e;#16;#PL|1e03da61-4678-4e07-b136-b5024ca9197b;#17;#ES|e7a6b05b-ae16-40c8-add9-68b64b03aeba;#9;#EN|f2175f21-25d7-44a3-96da-d</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34;#CP|de8ad211-9e8d-408b-8324-674d21bb7d18</vt:lpwstr>
  </property>
  <property fmtid="{D5CDD505-2E9C-101B-9397-08002B2CF9AE}" pid="18" name="DocumentLanguage">
    <vt:lpwstr>17;#ES|e7a6b05b-ae16-40c8-add9-68b64b03aeba</vt:lpwstr>
  </property>
</Properties>
</file>