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AF74F7" w:rsidRDefault="00DA3873" w:rsidP="007F385B">
      <w:pPr>
        <w:ind w:left="-993"/>
        <w:jc w:val="center"/>
      </w:pPr>
      <w:r>
        <w:rPr>
          <w:noProof/>
          <w:lang w:val="fr-BE" w:eastAsia="fr-BE" w:bidi="ar-SA"/>
        </w:rPr>
        <w:drawing>
          <wp:inline distT="0" distB="0" distL="0" distR="0">
            <wp:extent cx="7000257" cy="1702800"/>
            <wp:effectExtent l="0" t="0" r="0" b="0"/>
            <wp:docPr id="1" name="Picture 1" descr="C:\Users\cmarc\Desktop\eesc-pressreleas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c\Desktop\eesc-pressrelease-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57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E" w:rsidRPr="00AF74F7" w:rsidRDefault="007E5B10" w:rsidP="00473E94">
      <w:pPr>
        <w:spacing w:line="240" w:lineRule="auto"/>
        <w:rPr>
          <w:rFonts w:ascii="Verdana" w:hAnsi="Verdana"/>
          <w:sz w:val="20"/>
        </w:rPr>
        <w:sectPr w:rsidR="008820BE" w:rsidRPr="00AF74F7" w:rsidSect="000F445C">
          <w:footerReference w:type="default" r:id="rId15"/>
          <w:pgSz w:w="11907" w:h="16839" w:code="9"/>
          <w:pgMar w:top="426" w:right="1418" w:bottom="1418" w:left="1418" w:header="3062" w:footer="265" w:gutter="0"/>
          <w:cols w:space="720"/>
          <w:docGrid w:linePitch="299"/>
        </w:sectPr>
      </w:pPr>
      <w:r w:rsidRPr="00AF74F7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D86D27" wp14:editId="2AE02A6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b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eYUub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E5B10" w:rsidRPr="00AF74F7" w:rsidTr="002F2926">
        <w:trPr>
          <w:cantSplit/>
        </w:trPr>
        <w:tc>
          <w:tcPr>
            <w:tcW w:w="5168" w:type="dxa"/>
          </w:tcPr>
          <w:p w:rsidR="007E5B10" w:rsidRPr="00AF74F7" w:rsidRDefault="007E5B10" w:rsidP="002F2926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AF74F7">
              <w:rPr>
                <w:rFonts w:ascii="Verdana" w:hAnsi="Verdana"/>
                <w:b/>
                <w:sz w:val="20"/>
              </w:rPr>
              <w:lastRenderedPageBreak/>
              <w:t xml:space="preserve">N. </w:t>
            </w:r>
            <w:r w:rsidR="0009234E">
              <w:rPr>
                <w:rFonts w:ascii="Verdana" w:hAnsi="Verdana"/>
                <w:b/>
                <w:sz w:val="20"/>
              </w:rPr>
              <w:t>27</w:t>
            </w:r>
            <w:r w:rsidR="00535196">
              <w:rPr>
                <w:rFonts w:ascii="Verdana" w:hAnsi="Verdana"/>
                <w:b/>
                <w:sz w:val="20"/>
              </w:rPr>
              <w:t>/</w:t>
            </w:r>
            <w:r w:rsidRPr="00AF74F7">
              <w:rPr>
                <w:rFonts w:ascii="Verdana" w:hAnsi="Verdana"/>
                <w:b/>
                <w:sz w:val="20"/>
              </w:rPr>
              <w:t>2015</w:t>
            </w:r>
          </w:p>
        </w:tc>
        <w:tc>
          <w:tcPr>
            <w:tcW w:w="4119" w:type="dxa"/>
          </w:tcPr>
          <w:p w:rsidR="007E5B10" w:rsidRPr="00AF74F7" w:rsidRDefault="0009234E" w:rsidP="002F292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</w:t>
            </w:r>
            <w:r w:rsidR="007E5B10" w:rsidRPr="00AF74F7">
              <w:rPr>
                <w:rFonts w:ascii="Verdana" w:hAnsi="Verdana"/>
                <w:b/>
                <w:sz w:val="20"/>
              </w:rPr>
              <w:t xml:space="preserve"> aprile 2015</w:t>
            </w:r>
          </w:p>
        </w:tc>
      </w:tr>
    </w:tbl>
    <w:p w:rsidR="007E5B10" w:rsidRPr="00AF74F7" w:rsidRDefault="007E5B10" w:rsidP="007E5B10">
      <w:pPr>
        <w:spacing w:line="240" w:lineRule="auto"/>
        <w:rPr>
          <w:rFonts w:ascii="Verdana" w:hAnsi="Verdana"/>
          <w:sz w:val="20"/>
        </w:rPr>
      </w:pPr>
      <w:r w:rsidRPr="00AF74F7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4C7F5A7" wp14:editId="3627FD0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10" w:rsidRPr="008C573E" w:rsidRDefault="007E5B10" w:rsidP="007E5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33pt;margin-top:793.8pt;width:51pt;height:3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p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AJsjRpuAIA&#10;AMA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7E5B10" w:rsidRPr="008C573E" w:rsidRDefault="007E5B10" w:rsidP="007E5B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5B10" w:rsidRPr="00AF74F7" w:rsidRDefault="007E5B10" w:rsidP="007E5B10">
      <w:pPr>
        <w:spacing w:line="240" w:lineRule="auto"/>
        <w:rPr>
          <w:rFonts w:ascii="Verdana" w:hAnsi="Verdana"/>
          <w:sz w:val="20"/>
        </w:rPr>
        <w:sectPr w:rsidR="007E5B10" w:rsidRPr="00AF74F7" w:rsidSect="007E5B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4139" w:right="1418" w:bottom="1418" w:left="1418" w:header="3062" w:footer="454" w:gutter="0"/>
          <w:cols w:space="720"/>
          <w:docGrid w:linePitch="299"/>
        </w:sectPr>
      </w:pPr>
    </w:p>
    <w:p w:rsidR="007E5B10" w:rsidRPr="00AF74F7" w:rsidRDefault="007E5B10" w:rsidP="007E5B10">
      <w:pPr>
        <w:spacing w:line="240" w:lineRule="auto"/>
        <w:jc w:val="center"/>
        <w:rPr>
          <w:rFonts w:ascii="Verdana" w:hAnsi="Verdana"/>
          <w:b/>
          <w:bCs/>
          <w:sz w:val="28"/>
        </w:rPr>
      </w:pPr>
    </w:p>
    <w:p w:rsidR="00FF5250" w:rsidRPr="00AF74F7" w:rsidRDefault="0009234E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  <w:r w:rsidRPr="0009234E">
        <w:rPr>
          <w:rFonts w:ascii="Verdana" w:hAnsi="Verdana"/>
          <w:b/>
          <w:color w:val="0065B0"/>
          <w:sz w:val="28"/>
        </w:rPr>
        <w:t>Le recenti tragedie umanitarie nel Mediterraneo - Dichiarazione del CESE</w:t>
      </w:r>
    </w:p>
    <w:p w:rsidR="007C4B62" w:rsidRPr="00AF74F7" w:rsidRDefault="007C4B62" w:rsidP="00101522">
      <w:pPr>
        <w:pStyle w:val="PlainText"/>
        <w:jc w:val="center"/>
        <w:rPr>
          <w:rFonts w:ascii="Verdana" w:hAnsi="Verdana"/>
          <w:b/>
          <w:sz w:val="28"/>
          <w:szCs w:val="28"/>
        </w:rPr>
      </w:pP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4203F2">
        <w:rPr>
          <w:rFonts w:ascii="Verdana" w:hAnsi="Verdana"/>
          <w:sz w:val="18"/>
          <w:szCs w:val="18"/>
        </w:rPr>
        <w:t xml:space="preserve">Di fronte alla morte di migliaia </w:t>
      </w:r>
      <w:proofErr w:type="gramStart"/>
      <w:r w:rsidRPr="004203F2">
        <w:rPr>
          <w:rFonts w:ascii="Verdana" w:hAnsi="Verdana"/>
          <w:sz w:val="18"/>
          <w:szCs w:val="18"/>
        </w:rPr>
        <w:t>di</w:t>
      </w:r>
      <w:proofErr w:type="gramEnd"/>
      <w:r w:rsidRPr="004203F2">
        <w:rPr>
          <w:rFonts w:ascii="Verdana" w:hAnsi="Verdana"/>
          <w:sz w:val="18"/>
          <w:szCs w:val="18"/>
        </w:rPr>
        <w:t xml:space="preserve"> persone nel Mediterraneo, la sessione plenaria del CESE con profondo dolore e indignazione, chiede ancora una volta alle istituzioni dell'Unione europea e agli Stati membri di adottare le azioni umanitarie e le decisioni politiche che s'impongono. L'Unione europea ha una responsabilità nei confronti di </w:t>
      </w:r>
      <w:proofErr w:type="gramStart"/>
      <w:r w:rsidRPr="004203F2">
        <w:rPr>
          <w:rFonts w:ascii="Verdana" w:hAnsi="Verdana"/>
          <w:sz w:val="18"/>
          <w:szCs w:val="18"/>
        </w:rPr>
        <w:t>coloro che fuggono</w:t>
      </w:r>
      <w:proofErr w:type="gramEnd"/>
      <w:r w:rsidRPr="004203F2">
        <w:rPr>
          <w:rFonts w:ascii="Verdana" w:hAnsi="Verdana"/>
          <w:sz w:val="18"/>
          <w:szCs w:val="18"/>
        </w:rPr>
        <w:t xml:space="preserve"> dalla guerra, dalle persecuzioni, dai conflitti e dalla povertà.</w:t>
      </w: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4203F2">
        <w:rPr>
          <w:rFonts w:ascii="Verdana" w:hAnsi="Verdana"/>
          <w:sz w:val="18"/>
          <w:szCs w:val="18"/>
        </w:rPr>
        <w:t xml:space="preserve">Un anno e mezzo dopo la catastrofe di Lampedusa, ogni giorno porta una nuova tragedia. Per quanto riguarda i </w:t>
      </w:r>
      <w:proofErr w:type="gramStart"/>
      <w:r w:rsidRPr="004203F2">
        <w:rPr>
          <w:rFonts w:ascii="Verdana" w:hAnsi="Verdana"/>
          <w:sz w:val="18"/>
          <w:szCs w:val="18"/>
        </w:rPr>
        <w:t>10</w:t>
      </w:r>
      <w:proofErr w:type="gramEnd"/>
      <w:r w:rsidRPr="004203F2">
        <w:rPr>
          <w:rFonts w:ascii="Verdana" w:hAnsi="Verdana"/>
          <w:sz w:val="18"/>
          <w:szCs w:val="18"/>
        </w:rPr>
        <w:t xml:space="preserve"> punti adottati dai ministri degli esteri e degli affari interni dell'UE lo scorso 20 aprile, il CESE ritiene fondamentale superare un approccio caratterizzato da considerazioni di sicurezza. I principi essenziali di una politica comune dell'immigrazione nell'UE dovrebbero essere un approccio umanitario, la solidarietà e un'equa ripartizione delle responsabilità.</w:t>
      </w: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4203F2">
        <w:rPr>
          <w:rFonts w:ascii="Verdana" w:hAnsi="Verdana"/>
          <w:sz w:val="18"/>
          <w:szCs w:val="18"/>
        </w:rPr>
        <w:t>Il CESE invita il Consiglio europeo a prendere in considerazione le seguenti misure nella riunione straordinaria del 23 aprile:</w:t>
      </w: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9234E" w:rsidRPr="004203F2" w:rsidRDefault="0009234E" w:rsidP="0009234E">
      <w:pPr>
        <w:numPr>
          <w:ilvl w:val="0"/>
          <w:numId w:val="15"/>
        </w:numPr>
        <w:suppressAutoHyphens/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18"/>
          <w:szCs w:val="18"/>
        </w:rPr>
      </w:pPr>
      <w:r w:rsidRPr="004203F2">
        <w:rPr>
          <w:rFonts w:ascii="Verdana" w:hAnsi="Verdana"/>
          <w:b/>
          <w:sz w:val="18"/>
          <w:szCs w:val="18"/>
        </w:rPr>
        <w:t>L'avvio di un'operazione umanitaria di salvataggio e di accoglienza su vasta scala nel Mar Mediterraneo</w:t>
      </w:r>
      <w:r w:rsidRPr="004203F2">
        <w:rPr>
          <w:rFonts w:ascii="Verdana" w:hAnsi="Verdana"/>
          <w:sz w:val="18"/>
          <w:szCs w:val="18"/>
        </w:rPr>
        <w:t xml:space="preserve">, che vada </w:t>
      </w:r>
      <w:proofErr w:type="gramStart"/>
      <w:r w:rsidRPr="004203F2">
        <w:rPr>
          <w:rFonts w:ascii="Verdana" w:hAnsi="Verdana"/>
          <w:sz w:val="18"/>
          <w:szCs w:val="18"/>
        </w:rPr>
        <w:t>al di là della</w:t>
      </w:r>
      <w:proofErr w:type="gramEnd"/>
      <w:r w:rsidRPr="004203F2">
        <w:rPr>
          <w:rFonts w:ascii="Verdana" w:hAnsi="Verdana"/>
          <w:sz w:val="18"/>
          <w:szCs w:val="18"/>
        </w:rPr>
        <w:t xml:space="preserve"> missione di controllo delle frontiere "</w:t>
      </w:r>
      <w:proofErr w:type="spellStart"/>
      <w:r w:rsidRPr="004203F2">
        <w:rPr>
          <w:rFonts w:ascii="Verdana" w:hAnsi="Verdana"/>
          <w:sz w:val="18"/>
          <w:szCs w:val="18"/>
        </w:rPr>
        <w:t>Triton</w:t>
      </w:r>
      <w:proofErr w:type="spellEnd"/>
      <w:r w:rsidRPr="004203F2">
        <w:rPr>
          <w:rFonts w:ascii="Verdana" w:hAnsi="Verdana"/>
          <w:sz w:val="18"/>
          <w:szCs w:val="18"/>
        </w:rPr>
        <w:t xml:space="preserve">" realizzata da </w:t>
      </w:r>
      <w:proofErr w:type="spellStart"/>
      <w:r w:rsidRPr="004203F2">
        <w:rPr>
          <w:rFonts w:ascii="Verdana" w:hAnsi="Verdana"/>
          <w:sz w:val="18"/>
          <w:szCs w:val="18"/>
        </w:rPr>
        <w:t>Frontex</w:t>
      </w:r>
      <w:proofErr w:type="spellEnd"/>
      <w:r w:rsidRPr="004203F2">
        <w:rPr>
          <w:rFonts w:ascii="Verdana" w:hAnsi="Verdana"/>
          <w:sz w:val="18"/>
          <w:szCs w:val="18"/>
        </w:rPr>
        <w:t xml:space="preserve">. Qualsiasi missione di questo tipo dovrebbe avere lo stesso approccio che ha ispirato l'operazione italiana "Mare Nostrum" ed essere diretta a salvare vite umane. Gli Stati membri dovrebbero essere coinvolti nella missione, che però dovrebbe essere finanziata dall'UE. Il CESE </w:t>
      </w:r>
      <w:proofErr w:type="gramStart"/>
      <w:r w:rsidRPr="004203F2">
        <w:rPr>
          <w:rFonts w:ascii="Verdana" w:hAnsi="Verdana"/>
          <w:sz w:val="18"/>
          <w:szCs w:val="18"/>
        </w:rPr>
        <w:t>sottolinea</w:t>
      </w:r>
      <w:proofErr w:type="gramEnd"/>
      <w:r w:rsidRPr="004203F2">
        <w:rPr>
          <w:rFonts w:ascii="Verdana" w:hAnsi="Verdana"/>
          <w:sz w:val="18"/>
          <w:szCs w:val="18"/>
        </w:rPr>
        <w:t xml:space="preserve"> la necessità di istituire immediatamente un corridoio umanitario. </w:t>
      </w:r>
      <w:r w:rsidRPr="004203F2">
        <w:rPr>
          <w:rFonts w:ascii="Verdana" w:hAnsi="Verdana"/>
          <w:b/>
          <w:sz w:val="18"/>
          <w:szCs w:val="18"/>
        </w:rPr>
        <w:t>L'UE deve migliorare le sue politiche in materia d'asilo.</w:t>
      </w:r>
      <w:r w:rsidRPr="004203F2">
        <w:rPr>
          <w:rFonts w:ascii="Verdana" w:hAnsi="Verdana"/>
          <w:sz w:val="18"/>
          <w:szCs w:val="18"/>
        </w:rPr>
        <w:t xml:space="preserve"> Il CESE ha presentato una serie di proposte per la creazione di un regime comune in materia di asilo, ma la legislazione in materia che è stata adottata è insufficiente o non è correttamente attuata dagli Stati membri. I profughi sono tutelati dal diritto internazionale e dovrebbero essere in grado di </w:t>
      </w:r>
      <w:proofErr w:type="gramStart"/>
      <w:r w:rsidRPr="004203F2">
        <w:rPr>
          <w:rFonts w:ascii="Verdana" w:hAnsi="Verdana"/>
          <w:sz w:val="18"/>
          <w:szCs w:val="18"/>
        </w:rPr>
        <w:t>inoltrare</w:t>
      </w:r>
      <w:proofErr w:type="gramEnd"/>
      <w:r w:rsidRPr="004203F2">
        <w:rPr>
          <w:rFonts w:ascii="Verdana" w:hAnsi="Verdana"/>
          <w:sz w:val="18"/>
          <w:szCs w:val="18"/>
        </w:rPr>
        <w:t xml:space="preserve"> la domanda di asilo alle frontiere esterne dell'UE, nel rispetto del principio di non respingimento alle frontiere. Una </w:t>
      </w:r>
      <w:proofErr w:type="gramStart"/>
      <w:r w:rsidRPr="004203F2">
        <w:rPr>
          <w:rFonts w:ascii="Verdana" w:hAnsi="Verdana"/>
          <w:sz w:val="18"/>
          <w:szCs w:val="18"/>
        </w:rPr>
        <w:t>revisione</w:t>
      </w:r>
      <w:proofErr w:type="gramEnd"/>
      <w:r w:rsidRPr="004203F2">
        <w:rPr>
          <w:rFonts w:ascii="Verdana" w:hAnsi="Verdana"/>
          <w:sz w:val="18"/>
          <w:szCs w:val="18"/>
        </w:rPr>
        <w:t xml:space="preserve"> di fondo del regolamento di Dublino è di vitale importanza. </w:t>
      </w:r>
    </w:p>
    <w:p w:rsidR="0009234E" w:rsidRPr="004203F2" w:rsidRDefault="0009234E" w:rsidP="0009234E">
      <w:pPr>
        <w:numPr>
          <w:ilvl w:val="0"/>
          <w:numId w:val="15"/>
        </w:numPr>
        <w:suppressAutoHyphens/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18"/>
          <w:szCs w:val="18"/>
        </w:rPr>
      </w:pPr>
      <w:r w:rsidRPr="004203F2">
        <w:rPr>
          <w:rFonts w:ascii="Verdana" w:hAnsi="Verdana"/>
          <w:b/>
          <w:sz w:val="18"/>
          <w:szCs w:val="18"/>
        </w:rPr>
        <w:t>L'UE deve promuovere la solidarietà tra gli Stati membri, in particolare tramite una ripartizione proporzionale dei rifugiati.</w:t>
      </w:r>
      <w:r w:rsidRPr="004203F2">
        <w:rPr>
          <w:rFonts w:ascii="Verdana" w:hAnsi="Verdana"/>
          <w:sz w:val="18"/>
          <w:szCs w:val="18"/>
        </w:rPr>
        <w:t xml:space="preserve"> Sono necessarie misure urgenti per fornire assistenza finanziaria e operativa e sostegno nel campo dell'accoglienza agli Stati membri che, a causa della loro posizione geografica, si trovano a sopportare il peso maggiore di questa situazione. Il numero di posti per il reinsediamento dei rifugiati dovrebbe essere aumentato in misura </w:t>
      </w:r>
      <w:proofErr w:type="gramStart"/>
      <w:r w:rsidRPr="004203F2">
        <w:rPr>
          <w:rFonts w:ascii="Verdana" w:hAnsi="Verdana"/>
          <w:sz w:val="18"/>
          <w:szCs w:val="18"/>
        </w:rPr>
        <w:t>significativa</w:t>
      </w:r>
      <w:proofErr w:type="gramEnd"/>
      <w:r w:rsidRPr="004203F2">
        <w:rPr>
          <w:rFonts w:ascii="Verdana" w:hAnsi="Verdana"/>
          <w:sz w:val="18"/>
          <w:szCs w:val="18"/>
        </w:rPr>
        <w:t xml:space="preserve">. </w:t>
      </w:r>
    </w:p>
    <w:p w:rsidR="0009234E" w:rsidRPr="004203F2" w:rsidRDefault="0009234E" w:rsidP="0009234E">
      <w:pPr>
        <w:numPr>
          <w:ilvl w:val="0"/>
          <w:numId w:val="15"/>
        </w:numPr>
        <w:suppressAutoHyphens/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18"/>
          <w:szCs w:val="18"/>
        </w:rPr>
      </w:pPr>
      <w:r w:rsidRPr="004203F2">
        <w:rPr>
          <w:rFonts w:ascii="Verdana" w:hAnsi="Verdana"/>
          <w:b/>
          <w:sz w:val="18"/>
          <w:szCs w:val="18"/>
        </w:rPr>
        <w:t>L'UE dovrebbe rafforzare la sua cooperazione con l'Alto Commissariato delle Nazioni Unite per i rifugiati (UNHCR)</w:t>
      </w:r>
      <w:r w:rsidRPr="004203F2">
        <w:rPr>
          <w:rFonts w:ascii="Verdana" w:hAnsi="Verdana"/>
          <w:sz w:val="18"/>
          <w:szCs w:val="18"/>
        </w:rPr>
        <w:t xml:space="preserve"> e con i paesi limitrofi a zone di conflitto, al fine di attuare programmi di accoglienza e protezione delle migliaia di profughi. Non si può lasciare alle navi commerciali il compito di </w:t>
      </w:r>
      <w:proofErr w:type="gramStart"/>
      <w:r w:rsidRPr="004203F2">
        <w:rPr>
          <w:rFonts w:ascii="Verdana" w:hAnsi="Verdana"/>
          <w:sz w:val="18"/>
          <w:szCs w:val="18"/>
        </w:rPr>
        <w:t>effettuare</w:t>
      </w:r>
      <w:proofErr w:type="gramEnd"/>
      <w:r w:rsidRPr="004203F2">
        <w:rPr>
          <w:rFonts w:ascii="Verdana" w:hAnsi="Verdana"/>
          <w:sz w:val="18"/>
          <w:szCs w:val="18"/>
        </w:rPr>
        <w:t xml:space="preserve"> operazioni su larga scala di ricerca e salvataggio di migranti. L'UE dovrebbe cooperare con l</w:t>
      </w:r>
      <w:r w:rsidRPr="004203F2">
        <w:rPr>
          <w:rFonts w:ascii="Verdana" w:hAnsi="Verdana"/>
          <w:color w:val="222222"/>
          <w:sz w:val="18"/>
          <w:szCs w:val="18"/>
        </w:rPr>
        <w:t>'</w:t>
      </w:r>
      <w:r w:rsidRPr="004203F2">
        <w:rPr>
          <w:rFonts w:ascii="Verdana" w:hAnsi="Verdana"/>
          <w:bCs/>
          <w:color w:val="222222"/>
          <w:sz w:val="18"/>
          <w:szCs w:val="18"/>
        </w:rPr>
        <w:t>Organizzazione marittima internazionale</w:t>
      </w:r>
      <w:r w:rsidRPr="004203F2">
        <w:rPr>
          <w:rFonts w:ascii="Verdana" w:hAnsi="Verdana"/>
          <w:sz w:val="18"/>
          <w:szCs w:val="18"/>
        </w:rPr>
        <w:t>.</w:t>
      </w:r>
      <w:proofErr w:type="gramStart"/>
      <w:r w:rsidRPr="004203F2">
        <w:rPr>
          <w:rFonts w:ascii="Verdana" w:hAnsi="Verdana"/>
          <w:sz w:val="18"/>
          <w:szCs w:val="18"/>
        </w:rPr>
        <w:t>(IMO</w:t>
      </w:r>
      <w:proofErr w:type="gramEnd"/>
      <w:r w:rsidRPr="004203F2">
        <w:rPr>
          <w:rFonts w:ascii="Verdana" w:hAnsi="Verdana"/>
          <w:sz w:val="18"/>
          <w:szCs w:val="18"/>
        </w:rPr>
        <w:t xml:space="preserve">). </w:t>
      </w:r>
      <w:r w:rsidRPr="004203F2">
        <w:rPr>
          <w:rFonts w:ascii="Verdana" w:hAnsi="Verdana"/>
          <w:b/>
          <w:sz w:val="18"/>
          <w:szCs w:val="18"/>
        </w:rPr>
        <w:t xml:space="preserve">Le legislazioni e le politiche dell'UE e degli Stati membri sull'immigrazione dovrebbero </w:t>
      </w:r>
      <w:r w:rsidRPr="004203F2">
        <w:rPr>
          <w:rFonts w:ascii="Verdana" w:hAnsi="Verdana"/>
          <w:b/>
          <w:sz w:val="18"/>
          <w:szCs w:val="18"/>
        </w:rPr>
        <w:lastRenderedPageBreak/>
        <w:t>essere riviste</w:t>
      </w:r>
      <w:r w:rsidRPr="004203F2">
        <w:rPr>
          <w:rFonts w:ascii="Verdana" w:hAnsi="Verdana"/>
          <w:sz w:val="18"/>
          <w:szCs w:val="18"/>
        </w:rPr>
        <w:t xml:space="preserve"> per rendere più facile l'ingresso nell'UE. Il CESE insiste sulla necessità che tale politica sia basata su un consenso che renda disponibili canali </w:t>
      </w:r>
      <w:proofErr w:type="gramStart"/>
      <w:r w:rsidRPr="004203F2">
        <w:rPr>
          <w:rFonts w:ascii="Verdana" w:hAnsi="Verdana"/>
          <w:sz w:val="18"/>
          <w:szCs w:val="18"/>
        </w:rPr>
        <w:t xml:space="preserve">di </w:t>
      </w:r>
      <w:proofErr w:type="gramEnd"/>
      <w:r w:rsidRPr="004203F2">
        <w:rPr>
          <w:rFonts w:ascii="Verdana" w:hAnsi="Verdana"/>
          <w:sz w:val="18"/>
          <w:szCs w:val="18"/>
        </w:rPr>
        <w:t>ingresso nell'UE legali, aperti e flessibili, garantendo la tutela dei diritti fondamentali, e includa, quale elemento essenziale, la cooperazione con i paesi d'origine. La cooperazione dovrebbe essere rafforzata al fine di istituire uffici in paesi terzi con il compito di fornire assistenza e informazioni ai potenziali migranti. Si deve esigere che l'intera comunità mondiale si assuma le sue responsabilità per tentare di trovare soluzioni adeguate.</w:t>
      </w:r>
    </w:p>
    <w:p w:rsidR="0009234E" w:rsidRPr="004203F2" w:rsidRDefault="0009234E" w:rsidP="0009234E">
      <w:pPr>
        <w:numPr>
          <w:ilvl w:val="0"/>
          <w:numId w:val="15"/>
        </w:numPr>
        <w:suppressAutoHyphens/>
        <w:overflowPunct/>
        <w:autoSpaceDE/>
        <w:autoSpaceDN/>
        <w:adjustRightInd/>
        <w:contextualSpacing/>
        <w:jc w:val="left"/>
        <w:textAlignment w:val="auto"/>
        <w:rPr>
          <w:rFonts w:ascii="Verdana" w:hAnsi="Verdana"/>
          <w:b/>
          <w:sz w:val="18"/>
          <w:szCs w:val="18"/>
        </w:rPr>
      </w:pPr>
      <w:r w:rsidRPr="004203F2">
        <w:rPr>
          <w:rFonts w:ascii="Verdana" w:hAnsi="Verdana"/>
          <w:b/>
          <w:sz w:val="18"/>
          <w:szCs w:val="18"/>
        </w:rPr>
        <w:t>Rafforzare la cooperazione di polizia e giudiziaria nella lotta contro le reti criminali che operano nella tratta di esseri umani.</w:t>
      </w:r>
      <w:r w:rsidRPr="004203F2">
        <w:rPr>
          <w:rFonts w:ascii="Verdana" w:hAnsi="Verdana"/>
          <w:sz w:val="18"/>
          <w:szCs w:val="18"/>
        </w:rPr>
        <w:t xml:space="preserve"> L'UE dovrebbe cooperare con i paesi di origine e di transito per impedire alle persone di cadere nelle mani dei trafficanti. Il traffico di migranti e la tratta di esseri umani sono reati che devono essere perseguiti senza tregua. Il CESE insiste tuttavia perché i migranti e </w:t>
      </w:r>
      <w:proofErr w:type="gramStart"/>
      <w:r w:rsidRPr="004203F2">
        <w:rPr>
          <w:rFonts w:ascii="Verdana" w:hAnsi="Verdana"/>
          <w:sz w:val="18"/>
          <w:szCs w:val="18"/>
        </w:rPr>
        <w:t>coloro che forniscono</w:t>
      </w:r>
      <w:proofErr w:type="gramEnd"/>
      <w:r w:rsidRPr="004203F2">
        <w:rPr>
          <w:rFonts w:ascii="Verdana" w:hAnsi="Verdana"/>
          <w:sz w:val="18"/>
          <w:szCs w:val="18"/>
        </w:rPr>
        <w:t xml:space="preserve"> assistenza umanitaria ai migranti in difficoltà non siano criminalizzati.</w:t>
      </w:r>
    </w:p>
    <w:p w:rsidR="0009234E" w:rsidRPr="004203F2" w:rsidRDefault="0009234E" w:rsidP="0009234E">
      <w:pPr>
        <w:suppressAutoHyphens/>
        <w:overflowPunct/>
        <w:autoSpaceDE/>
        <w:autoSpaceDN/>
        <w:adjustRightInd/>
        <w:jc w:val="left"/>
        <w:textAlignment w:val="auto"/>
        <w:rPr>
          <w:rFonts w:ascii="Verdana" w:hAnsi="Verdana"/>
          <w:sz w:val="18"/>
          <w:szCs w:val="18"/>
        </w:rPr>
      </w:pP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sz w:val="18"/>
          <w:szCs w:val="18"/>
        </w:rPr>
      </w:pPr>
      <w:r w:rsidRPr="004203F2">
        <w:rPr>
          <w:rFonts w:ascii="Verdana" w:hAnsi="Verdana"/>
          <w:b/>
          <w:sz w:val="18"/>
          <w:szCs w:val="18"/>
        </w:rPr>
        <w:t xml:space="preserve">Perché la politica attuata sia globale e </w:t>
      </w:r>
      <w:proofErr w:type="gramStart"/>
      <w:r w:rsidRPr="004203F2">
        <w:rPr>
          <w:rFonts w:ascii="Verdana" w:hAnsi="Verdana"/>
          <w:b/>
          <w:sz w:val="18"/>
          <w:szCs w:val="18"/>
        </w:rPr>
        <w:t>sostenibile</w:t>
      </w:r>
      <w:proofErr w:type="gramEnd"/>
      <w:r w:rsidRPr="004203F2">
        <w:rPr>
          <w:rFonts w:ascii="Verdana" w:hAnsi="Verdana"/>
          <w:b/>
          <w:sz w:val="18"/>
          <w:szCs w:val="18"/>
        </w:rPr>
        <w:t xml:space="preserve"> occorre sostenere con tutti i mezzi finanziari e logistici tutte le organizzazioni umanitarie attive nelle regioni interessate.</w:t>
      </w:r>
    </w:p>
    <w:p w:rsidR="0009234E" w:rsidRPr="004203F2" w:rsidRDefault="0009234E" w:rsidP="0009234E">
      <w:pPr>
        <w:suppressAutoHyphens/>
        <w:overflowPunct/>
        <w:autoSpaceDE/>
        <w:autoSpaceDN/>
        <w:adjustRightInd/>
        <w:jc w:val="left"/>
        <w:textAlignment w:val="auto"/>
        <w:rPr>
          <w:rFonts w:ascii="Verdana" w:hAnsi="Verdana"/>
          <w:b/>
          <w:sz w:val="18"/>
          <w:szCs w:val="18"/>
        </w:rPr>
      </w:pPr>
    </w:p>
    <w:p w:rsidR="0009234E" w:rsidRPr="004203F2" w:rsidRDefault="0009234E" w:rsidP="000923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4203F2">
        <w:rPr>
          <w:rFonts w:ascii="Verdana" w:hAnsi="Verdana"/>
          <w:sz w:val="18"/>
          <w:szCs w:val="18"/>
        </w:rPr>
        <w:t xml:space="preserve">Le soluzioni saranno efficaci nel lungo periodo solo se si faranno cessare le guerre e </w:t>
      </w:r>
      <w:proofErr w:type="gramStart"/>
      <w:r w:rsidRPr="004203F2">
        <w:rPr>
          <w:rFonts w:ascii="Verdana" w:hAnsi="Verdana"/>
          <w:sz w:val="18"/>
          <w:szCs w:val="18"/>
        </w:rPr>
        <w:t xml:space="preserve">si </w:t>
      </w:r>
      <w:proofErr w:type="gramEnd"/>
      <w:r w:rsidRPr="004203F2">
        <w:rPr>
          <w:rFonts w:ascii="Verdana" w:hAnsi="Verdana"/>
          <w:sz w:val="18"/>
          <w:szCs w:val="18"/>
        </w:rPr>
        <w:t>instaurerà nei paesi in conflitto un buon livello di stabilità politica, economica e sociale. È questa la strategia cui il Servizio europeo per l'azione esterna, in cooperazione con la comunità internazionale deve dare priorità.</w:t>
      </w:r>
    </w:p>
    <w:p w:rsidR="007C4B62" w:rsidRPr="00AF74F7" w:rsidRDefault="007C4B62" w:rsidP="00B0623E">
      <w:pPr>
        <w:pStyle w:val="PlainText"/>
      </w:pPr>
    </w:p>
    <w:p w:rsidR="00B33867" w:rsidRPr="00AF74F7" w:rsidRDefault="00B33867" w:rsidP="00822FAC">
      <w:pPr>
        <w:jc w:val="center"/>
        <w:rPr>
          <w:sz w:val="18"/>
          <w:szCs w:val="18"/>
        </w:rPr>
      </w:pPr>
      <w:r w:rsidRPr="00AF74F7">
        <w:rPr>
          <w:rFonts w:ascii="Verdana" w:hAnsi="Verdana"/>
          <w:b/>
          <w:sz w:val="18"/>
        </w:rPr>
        <w:t xml:space="preserve">Per maggiori informazioni, </w:t>
      </w:r>
      <w:proofErr w:type="gramStart"/>
      <w:r w:rsidRPr="00AF74F7">
        <w:rPr>
          <w:rFonts w:ascii="Verdana" w:hAnsi="Verdana"/>
          <w:b/>
          <w:sz w:val="18"/>
        </w:rPr>
        <w:t>contattare</w:t>
      </w:r>
      <w:proofErr w:type="gramEnd"/>
      <w:r w:rsidRPr="00AF74F7">
        <w:rPr>
          <w:rFonts w:ascii="Verdana" w:hAnsi="Verdana"/>
          <w:b/>
          <w:sz w:val="18"/>
        </w:rPr>
        <w:t>:</w:t>
      </w:r>
    </w:p>
    <w:p w:rsidR="0009234E" w:rsidRDefault="0009234E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Unità Stampa del CESE</w:t>
      </w:r>
    </w:p>
    <w:p w:rsidR="00B33867" w:rsidRPr="00AF74F7" w:rsidRDefault="00AF74F7" w:rsidP="00822FAC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</w:rPr>
      </w:pPr>
      <w:r w:rsidRPr="00AF74F7">
        <w:rPr>
          <w:rFonts w:ascii="Verdana" w:hAnsi="Verdana"/>
          <w:sz w:val="18"/>
        </w:rPr>
        <w:t>E</w:t>
      </w:r>
      <w:r w:rsidR="00B33867" w:rsidRPr="00AF74F7">
        <w:rPr>
          <w:rFonts w:ascii="Verdana" w:hAnsi="Verdana"/>
          <w:sz w:val="18"/>
        </w:rPr>
        <w:t xml:space="preserve">-mail: </w:t>
      </w:r>
      <w:hyperlink r:id="rId22">
        <w:r w:rsidR="00B33867" w:rsidRPr="00AF74F7"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AF74F7" w:rsidRDefault="00AF74F7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 w:rsidRPr="00AF74F7">
        <w:rPr>
          <w:rFonts w:ascii="Verdana" w:hAnsi="Verdana"/>
          <w:sz w:val="18"/>
        </w:rPr>
        <w:t>Tel</w:t>
      </w:r>
      <w:proofErr w:type="spellEnd"/>
      <w:r w:rsidRPr="00AF74F7">
        <w:rPr>
          <w:rFonts w:ascii="Verdana" w:hAnsi="Verdana"/>
          <w:sz w:val="18"/>
        </w:rPr>
        <w:t xml:space="preserve">: </w:t>
      </w:r>
      <w:r w:rsidR="004203F2" w:rsidRPr="004203F2">
        <w:rPr>
          <w:rFonts w:ascii="Verdana" w:hAnsi="Verdana"/>
          <w:sz w:val="18"/>
        </w:rPr>
        <w:t xml:space="preserve">+32 </w:t>
      </w:r>
      <w:proofErr w:type="gramStart"/>
      <w:r w:rsidR="004203F2" w:rsidRPr="004203F2">
        <w:rPr>
          <w:rFonts w:ascii="Verdana" w:hAnsi="Verdana"/>
          <w:sz w:val="18"/>
        </w:rPr>
        <w:t>2</w:t>
      </w:r>
      <w:proofErr w:type="gramEnd"/>
      <w:r w:rsidR="004203F2" w:rsidRPr="004203F2">
        <w:rPr>
          <w:rFonts w:ascii="Verdana" w:hAnsi="Verdana"/>
          <w:sz w:val="18"/>
        </w:rPr>
        <w:t xml:space="preserve"> 546 9406/ 0475 75 32 02</w:t>
      </w:r>
    </w:p>
    <w:p w:rsidR="00374C88" w:rsidRPr="00AF74F7" w:rsidRDefault="00374C88" w:rsidP="00473E94">
      <w:pPr>
        <w:spacing w:line="240" w:lineRule="auto"/>
        <w:rPr>
          <w:rFonts w:ascii="Verdana" w:eastAsia="PMingLiU" w:hAnsi="Verdana"/>
          <w:sz w:val="16"/>
        </w:rPr>
      </w:pPr>
    </w:p>
    <w:p w:rsidR="00CE439D" w:rsidRPr="00AF74F7" w:rsidRDefault="00CE439D" w:rsidP="00473E94">
      <w:pPr>
        <w:rPr>
          <w:rFonts w:ascii="Verdana" w:hAnsi="Verdana"/>
          <w:b/>
          <w:i/>
          <w:sz w:val="16"/>
        </w:rPr>
      </w:pPr>
      <w:r w:rsidRPr="00AF74F7">
        <w:rPr>
          <w:rFonts w:ascii="Verdana" w:hAnsi="Verdana"/>
          <w:i/>
          <w:sz w:val="16"/>
        </w:rPr>
        <w:t>__</w:t>
      </w:r>
      <w:r w:rsidRPr="00AF74F7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CE439D" w:rsidRPr="00AF74F7" w:rsidRDefault="00CE439D" w:rsidP="00473E94">
      <w:pPr>
        <w:rPr>
          <w:rFonts w:ascii="Verdana" w:hAnsi="Verdana"/>
          <w:i/>
          <w:sz w:val="16"/>
          <w:szCs w:val="16"/>
        </w:rPr>
      </w:pPr>
      <w:r w:rsidRPr="00AF74F7">
        <w:rPr>
          <w:rFonts w:ascii="Verdana" w:hAnsi="Verdana"/>
          <w:i/>
          <w:sz w:val="16"/>
        </w:rPr>
        <w:t xml:space="preserve">Il Comitato economico e sociale europeo rappresenta le diverse </w:t>
      </w:r>
      <w:proofErr w:type="gramStart"/>
      <w:r w:rsidRPr="00AF74F7">
        <w:rPr>
          <w:rFonts w:ascii="Verdana" w:hAnsi="Verdana"/>
          <w:i/>
          <w:sz w:val="16"/>
        </w:rPr>
        <w:t>componenti</w:t>
      </w:r>
      <w:proofErr w:type="gramEnd"/>
      <w:r w:rsidRPr="00AF74F7">
        <w:rPr>
          <w:rFonts w:ascii="Verdana" w:hAnsi="Verdana"/>
          <w:i/>
          <w:sz w:val="16"/>
        </w:rPr>
        <w:t xml:space="preserve"> economiche e sociali della società civile organizzata. È un organo istituzionale consultivo, istituito nel 1957 dal Trattato di Roma. La funzione consultiva del Comitato permette ai suoi membri, e quindi alle organizzazioni che essi rappresentano, di partecipare al processo decisionale dell'Unione. Il Comitato si compone di 353 membri, provenienti da tutta l'UE, nominati dal Consiglio dell'Unione europea.</w:t>
      </w:r>
    </w:p>
    <w:p w:rsidR="00CE439D" w:rsidRPr="00AF74F7" w:rsidRDefault="00CE439D" w:rsidP="00473E94">
      <w:pPr>
        <w:rPr>
          <w:rFonts w:ascii="Verdana" w:hAnsi="Verdana"/>
          <w:b/>
          <w:i/>
          <w:sz w:val="16"/>
        </w:rPr>
      </w:pPr>
      <w:r w:rsidRPr="00AF74F7">
        <w:rPr>
          <w:rFonts w:ascii="Verdana" w:hAnsi="Verdana"/>
          <w:i/>
          <w:sz w:val="16"/>
        </w:rPr>
        <w:t>__</w:t>
      </w:r>
      <w:r w:rsidRPr="00AF74F7"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CE439D" w:rsidRPr="00AF74F7" w:rsidSect="0009234E">
      <w:type w:val="continuous"/>
      <w:pgSz w:w="11907" w:h="16839" w:code="9"/>
      <w:pgMar w:top="1245" w:right="1418" w:bottom="1418" w:left="1418" w:header="851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32" w:rsidRDefault="002A5232">
      <w:r>
        <w:separator/>
      </w:r>
    </w:p>
  </w:endnote>
  <w:endnote w:type="continuationSeparator" w:id="0">
    <w:p w:rsidR="002A5232" w:rsidRDefault="002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E33B7A" w:rsidP="00F61167">
    <w:pPr>
      <w:spacing w:line="240" w:lineRule="auto"/>
      <w:jc w:val="center"/>
    </w:pPr>
    <w:r>
      <w:rPr>
        <w:rFonts w:ascii="Verdana" w:hAnsi="Verdana"/>
        <w:sz w:val="16"/>
      </w:rPr>
      <w:t xml:space="preserve">Seguici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fr-BE" w:eastAsia="fr-BE" w:bidi="ar-SA"/>
      </w:rPr>
      <w:drawing>
        <wp:inline distT="0" distB="0" distL="0" distR="0" wp14:anchorId="48AF5036" wp14:editId="08A509B4">
          <wp:extent cx="222885" cy="222885"/>
          <wp:effectExtent l="0" t="0" r="5715" b="5715"/>
          <wp:docPr id="9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3E71E8F3" wp14:editId="330292B6">
          <wp:extent cx="222885" cy="222885"/>
          <wp:effectExtent l="0" t="0" r="5715" b="5715"/>
          <wp:docPr id="8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04C32132" wp14:editId="4CDD1CCE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7E5B10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7E5B10" w:rsidRPr="0004715C" w:rsidRDefault="007E5B10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Seguici </w:t>
    </w:r>
    <w:proofErr w:type="gramStart"/>
    <w:r>
      <w:rPr>
        <w:rFonts w:ascii="Verdana" w:hAnsi="Verdana"/>
        <w:sz w:val="16"/>
      </w:rPr>
      <w:t>su</w:t>
    </w:r>
    <w:proofErr w:type="gramEnd"/>
    <w:r>
      <w:rPr>
        <w:rFonts w:ascii="Verdana" w:hAnsi="Verdana"/>
        <w:sz w:val="16"/>
      </w:rPr>
      <w:t xml:space="preserve"> </w:t>
    </w:r>
    <w:r>
      <w:rPr>
        <w:noProof/>
        <w:lang w:val="fr-BE" w:eastAsia="fr-BE" w:bidi="ar-SA"/>
      </w:rPr>
      <w:drawing>
        <wp:inline distT="0" distB="0" distL="0" distR="0" wp14:anchorId="59A6FA07" wp14:editId="75D2CDA9">
          <wp:extent cx="222885" cy="222885"/>
          <wp:effectExtent l="0" t="0" r="5715" b="5715"/>
          <wp:docPr id="7" name="Picture 7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 w:bidi="ar-SA"/>
      </w:rPr>
      <w:drawing>
        <wp:inline distT="0" distB="0" distL="0" distR="0" wp14:anchorId="3328B48C" wp14:editId="3BA324C5">
          <wp:extent cx="222885" cy="222885"/>
          <wp:effectExtent l="0" t="0" r="5715" b="5715"/>
          <wp:docPr id="6" name="Picture 6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 w:bidi="ar-SA"/>
      </w:rPr>
      <w:drawing>
        <wp:inline distT="0" distB="0" distL="0" distR="0" wp14:anchorId="7CC65F19" wp14:editId="613B3180">
          <wp:extent cx="222885" cy="222885"/>
          <wp:effectExtent l="0" t="0" r="5715" b="5715"/>
          <wp:docPr id="5" name="Picture 5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32" w:rsidRDefault="002A5232">
      <w:r>
        <w:separator/>
      </w:r>
    </w:p>
  </w:footnote>
  <w:footnote w:type="continuationSeparator" w:id="0">
    <w:p w:rsidR="002A5232" w:rsidRDefault="002A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71FAF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63AB"/>
    <w:multiLevelType w:val="hybridMultilevel"/>
    <w:tmpl w:val="DB6C4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C233F"/>
    <w:multiLevelType w:val="hybridMultilevel"/>
    <w:tmpl w:val="D4149160"/>
    <w:lvl w:ilvl="0" w:tplc="BD365C7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C5EE1"/>
    <w:multiLevelType w:val="multilevel"/>
    <w:tmpl w:val="460EE44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7885"/>
    <w:multiLevelType w:val="hybridMultilevel"/>
    <w:tmpl w:val="6726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B4CC8"/>
    <w:multiLevelType w:val="hybridMultilevel"/>
    <w:tmpl w:val="AB54464C"/>
    <w:lvl w:ilvl="0" w:tplc="4408738E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62C11"/>
    <w:multiLevelType w:val="multilevel"/>
    <w:tmpl w:val="8D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42D9B"/>
    <w:multiLevelType w:val="hybridMultilevel"/>
    <w:tmpl w:val="BCF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AC0"/>
    <w:rsid w:val="0001301E"/>
    <w:rsid w:val="00023089"/>
    <w:rsid w:val="0003364B"/>
    <w:rsid w:val="0003423E"/>
    <w:rsid w:val="00034390"/>
    <w:rsid w:val="00034652"/>
    <w:rsid w:val="000348AC"/>
    <w:rsid w:val="00034AD4"/>
    <w:rsid w:val="00044E7A"/>
    <w:rsid w:val="0004647E"/>
    <w:rsid w:val="0004715C"/>
    <w:rsid w:val="00052678"/>
    <w:rsid w:val="0005544F"/>
    <w:rsid w:val="0005754F"/>
    <w:rsid w:val="00057E97"/>
    <w:rsid w:val="00060A4A"/>
    <w:rsid w:val="0006202F"/>
    <w:rsid w:val="00064EF7"/>
    <w:rsid w:val="00064F28"/>
    <w:rsid w:val="00066E4E"/>
    <w:rsid w:val="00067F21"/>
    <w:rsid w:val="0007178B"/>
    <w:rsid w:val="00075717"/>
    <w:rsid w:val="00077FE9"/>
    <w:rsid w:val="00080672"/>
    <w:rsid w:val="00084AD6"/>
    <w:rsid w:val="00086050"/>
    <w:rsid w:val="0009234E"/>
    <w:rsid w:val="00093833"/>
    <w:rsid w:val="000A270E"/>
    <w:rsid w:val="000B08AB"/>
    <w:rsid w:val="000B314D"/>
    <w:rsid w:val="000D0CDA"/>
    <w:rsid w:val="000D19BD"/>
    <w:rsid w:val="000D2163"/>
    <w:rsid w:val="000D2B63"/>
    <w:rsid w:val="000D2BFC"/>
    <w:rsid w:val="000D5B36"/>
    <w:rsid w:val="000E43E9"/>
    <w:rsid w:val="000F13ED"/>
    <w:rsid w:val="000F445C"/>
    <w:rsid w:val="00101522"/>
    <w:rsid w:val="00104DFA"/>
    <w:rsid w:val="00112392"/>
    <w:rsid w:val="00120780"/>
    <w:rsid w:val="001258EC"/>
    <w:rsid w:val="0012658C"/>
    <w:rsid w:val="0013137C"/>
    <w:rsid w:val="00134081"/>
    <w:rsid w:val="00140167"/>
    <w:rsid w:val="00140B6A"/>
    <w:rsid w:val="00142677"/>
    <w:rsid w:val="0014392E"/>
    <w:rsid w:val="00150E62"/>
    <w:rsid w:val="00161E2C"/>
    <w:rsid w:val="00166961"/>
    <w:rsid w:val="001719C4"/>
    <w:rsid w:val="00175643"/>
    <w:rsid w:val="00175E42"/>
    <w:rsid w:val="001838BA"/>
    <w:rsid w:val="001838E4"/>
    <w:rsid w:val="0018613F"/>
    <w:rsid w:val="001927B5"/>
    <w:rsid w:val="001A4474"/>
    <w:rsid w:val="001B5975"/>
    <w:rsid w:val="001C4282"/>
    <w:rsid w:val="001C5222"/>
    <w:rsid w:val="001C7527"/>
    <w:rsid w:val="001D0A05"/>
    <w:rsid w:val="001D392A"/>
    <w:rsid w:val="001D77C6"/>
    <w:rsid w:val="001D7DFD"/>
    <w:rsid w:val="001E0762"/>
    <w:rsid w:val="001F4162"/>
    <w:rsid w:val="00201ADB"/>
    <w:rsid w:val="00207710"/>
    <w:rsid w:val="002217DD"/>
    <w:rsid w:val="00224741"/>
    <w:rsid w:val="00224A57"/>
    <w:rsid w:val="00227A31"/>
    <w:rsid w:val="00244B53"/>
    <w:rsid w:val="0024520B"/>
    <w:rsid w:val="002562CD"/>
    <w:rsid w:val="0025726C"/>
    <w:rsid w:val="00266051"/>
    <w:rsid w:val="002734F3"/>
    <w:rsid w:val="002815E8"/>
    <w:rsid w:val="00283BAD"/>
    <w:rsid w:val="002851C3"/>
    <w:rsid w:val="002904D9"/>
    <w:rsid w:val="00291659"/>
    <w:rsid w:val="002A1296"/>
    <w:rsid w:val="002A200D"/>
    <w:rsid w:val="002A2433"/>
    <w:rsid w:val="002A5232"/>
    <w:rsid w:val="002B04A8"/>
    <w:rsid w:val="002B6234"/>
    <w:rsid w:val="002C1B59"/>
    <w:rsid w:val="002C231E"/>
    <w:rsid w:val="002C5CBB"/>
    <w:rsid w:val="002C64B4"/>
    <w:rsid w:val="002C6AD7"/>
    <w:rsid w:val="002D08ED"/>
    <w:rsid w:val="002D1529"/>
    <w:rsid w:val="002D4793"/>
    <w:rsid w:val="002D65A9"/>
    <w:rsid w:val="002D6898"/>
    <w:rsid w:val="002D7A8C"/>
    <w:rsid w:val="002E603F"/>
    <w:rsid w:val="002F3534"/>
    <w:rsid w:val="002F7233"/>
    <w:rsid w:val="00304E7A"/>
    <w:rsid w:val="00332A93"/>
    <w:rsid w:val="0033495F"/>
    <w:rsid w:val="003360D9"/>
    <w:rsid w:val="00337028"/>
    <w:rsid w:val="00337F0A"/>
    <w:rsid w:val="00340559"/>
    <w:rsid w:val="0036404A"/>
    <w:rsid w:val="00364ED2"/>
    <w:rsid w:val="00365D48"/>
    <w:rsid w:val="00374C88"/>
    <w:rsid w:val="00376637"/>
    <w:rsid w:val="003825C7"/>
    <w:rsid w:val="00386F1F"/>
    <w:rsid w:val="00393C99"/>
    <w:rsid w:val="00394644"/>
    <w:rsid w:val="00394D81"/>
    <w:rsid w:val="00397CE0"/>
    <w:rsid w:val="00397F2F"/>
    <w:rsid w:val="003A06D3"/>
    <w:rsid w:val="003A5355"/>
    <w:rsid w:val="003B62F4"/>
    <w:rsid w:val="003B714A"/>
    <w:rsid w:val="003C7BF9"/>
    <w:rsid w:val="003C7CE3"/>
    <w:rsid w:val="003D126E"/>
    <w:rsid w:val="003D2255"/>
    <w:rsid w:val="003E58C6"/>
    <w:rsid w:val="003F5C5E"/>
    <w:rsid w:val="00401521"/>
    <w:rsid w:val="00410190"/>
    <w:rsid w:val="00411B55"/>
    <w:rsid w:val="004161B8"/>
    <w:rsid w:val="004203F2"/>
    <w:rsid w:val="00421D27"/>
    <w:rsid w:val="004258C4"/>
    <w:rsid w:val="00430A45"/>
    <w:rsid w:val="00431B7A"/>
    <w:rsid w:val="004443A5"/>
    <w:rsid w:val="00446A36"/>
    <w:rsid w:val="0045424F"/>
    <w:rsid w:val="004605FD"/>
    <w:rsid w:val="0046719E"/>
    <w:rsid w:val="00470B59"/>
    <w:rsid w:val="00473E94"/>
    <w:rsid w:val="00480022"/>
    <w:rsid w:val="00482D98"/>
    <w:rsid w:val="0048482B"/>
    <w:rsid w:val="00492156"/>
    <w:rsid w:val="00492D0F"/>
    <w:rsid w:val="00493547"/>
    <w:rsid w:val="00494BBC"/>
    <w:rsid w:val="004A28E9"/>
    <w:rsid w:val="004B5589"/>
    <w:rsid w:val="004C44EE"/>
    <w:rsid w:val="004D47BD"/>
    <w:rsid w:val="004E0E3E"/>
    <w:rsid w:val="004E1858"/>
    <w:rsid w:val="004E5932"/>
    <w:rsid w:val="004E706B"/>
    <w:rsid w:val="004F3E26"/>
    <w:rsid w:val="004F4806"/>
    <w:rsid w:val="004F61C1"/>
    <w:rsid w:val="00503164"/>
    <w:rsid w:val="00504C6F"/>
    <w:rsid w:val="0050638B"/>
    <w:rsid w:val="005130D0"/>
    <w:rsid w:val="00521032"/>
    <w:rsid w:val="00524FBF"/>
    <w:rsid w:val="005269FE"/>
    <w:rsid w:val="005270ED"/>
    <w:rsid w:val="00533C33"/>
    <w:rsid w:val="00534048"/>
    <w:rsid w:val="00535196"/>
    <w:rsid w:val="0054071A"/>
    <w:rsid w:val="0055255F"/>
    <w:rsid w:val="0055294F"/>
    <w:rsid w:val="00553B5B"/>
    <w:rsid w:val="005549A1"/>
    <w:rsid w:val="00556CD0"/>
    <w:rsid w:val="00563487"/>
    <w:rsid w:val="00563CCB"/>
    <w:rsid w:val="00564657"/>
    <w:rsid w:val="005658B4"/>
    <w:rsid w:val="00566F22"/>
    <w:rsid w:val="00582B16"/>
    <w:rsid w:val="00594C5F"/>
    <w:rsid w:val="005B203C"/>
    <w:rsid w:val="005B3342"/>
    <w:rsid w:val="005B4A17"/>
    <w:rsid w:val="005B53B3"/>
    <w:rsid w:val="005C08F4"/>
    <w:rsid w:val="005C27AB"/>
    <w:rsid w:val="005C46DB"/>
    <w:rsid w:val="005C5CFD"/>
    <w:rsid w:val="005D1C0D"/>
    <w:rsid w:val="005D5D72"/>
    <w:rsid w:val="005E1BBF"/>
    <w:rsid w:val="005E2254"/>
    <w:rsid w:val="005E710D"/>
    <w:rsid w:val="005F0AEF"/>
    <w:rsid w:val="005F2C69"/>
    <w:rsid w:val="005F42C5"/>
    <w:rsid w:val="005F5E73"/>
    <w:rsid w:val="00601780"/>
    <w:rsid w:val="00603198"/>
    <w:rsid w:val="006064E5"/>
    <w:rsid w:val="0060771D"/>
    <w:rsid w:val="0061352A"/>
    <w:rsid w:val="00613C7D"/>
    <w:rsid w:val="006149A7"/>
    <w:rsid w:val="006171F3"/>
    <w:rsid w:val="00626C38"/>
    <w:rsid w:val="00627902"/>
    <w:rsid w:val="00632095"/>
    <w:rsid w:val="00632969"/>
    <w:rsid w:val="00635A83"/>
    <w:rsid w:val="006368B7"/>
    <w:rsid w:val="006371D8"/>
    <w:rsid w:val="00643B6D"/>
    <w:rsid w:val="006465C2"/>
    <w:rsid w:val="00646E2A"/>
    <w:rsid w:val="00650470"/>
    <w:rsid w:val="0065297E"/>
    <w:rsid w:val="00655D6F"/>
    <w:rsid w:val="00662EE3"/>
    <w:rsid w:val="00663238"/>
    <w:rsid w:val="00663919"/>
    <w:rsid w:val="00663F9C"/>
    <w:rsid w:val="006659E1"/>
    <w:rsid w:val="00685AF0"/>
    <w:rsid w:val="00686EC2"/>
    <w:rsid w:val="00692CD1"/>
    <w:rsid w:val="006944B5"/>
    <w:rsid w:val="006959D9"/>
    <w:rsid w:val="006A13B0"/>
    <w:rsid w:val="006A7CB6"/>
    <w:rsid w:val="006B1D91"/>
    <w:rsid w:val="006B623E"/>
    <w:rsid w:val="006C2E9E"/>
    <w:rsid w:val="006D06FC"/>
    <w:rsid w:val="006D10DF"/>
    <w:rsid w:val="006D43C7"/>
    <w:rsid w:val="006E089C"/>
    <w:rsid w:val="006E1765"/>
    <w:rsid w:val="006F0A8A"/>
    <w:rsid w:val="007009DC"/>
    <w:rsid w:val="00710026"/>
    <w:rsid w:val="0071010B"/>
    <w:rsid w:val="00712EA3"/>
    <w:rsid w:val="00713CA9"/>
    <w:rsid w:val="0071617F"/>
    <w:rsid w:val="00724E56"/>
    <w:rsid w:val="00725FEE"/>
    <w:rsid w:val="00726590"/>
    <w:rsid w:val="00734330"/>
    <w:rsid w:val="0073437A"/>
    <w:rsid w:val="0075607C"/>
    <w:rsid w:val="00763E21"/>
    <w:rsid w:val="00772E45"/>
    <w:rsid w:val="0077400C"/>
    <w:rsid w:val="00780A13"/>
    <w:rsid w:val="00780BFB"/>
    <w:rsid w:val="00790C12"/>
    <w:rsid w:val="0079480D"/>
    <w:rsid w:val="00794DBF"/>
    <w:rsid w:val="00795CD0"/>
    <w:rsid w:val="007A0A53"/>
    <w:rsid w:val="007A0A67"/>
    <w:rsid w:val="007A1010"/>
    <w:rsid w:val="007A38EF"/>
    <w:rsid w:val="007A5091"/>
    <w:rsid w:val="007A5486"/>
    <w:rsid w:val="007B245C"/>
    <w:rsid w:val="007C1DDE"/>
    <w:rsid w:val="007C4B62"/>
    <w:rsid w:val="007D2A5F"/>
    <w:rsid w:val="007D5209"/>
    <w:rsid w:val="007D690A"/>
    <w:rsid w:val="007D708F"/>
    <w:rsid w:val="007E4523"/>
    <w:rsid w:val="007E5B10"/>
    <w:rsid w:val="007E645B"/>
    <w:rsid w:val="007E6CD6"/>
    <w:rsid w:val="007F079A"/>
    <w:rsid w:val="007F0D33"/>
    <w:rsid w:val="007F36B6"/>
    <w:rsid w:val="007F385B"/>
    <w:rsid w:val="007F647B"/>
    <w:rsid w:val="007F6C51"/>
    <w:rsid w:val="00801896"/>
    <w:rsid w:val="00811FCE"/>
    <w:rsid w:val="0081275F"/>
    <w:rsid w:val="00822FAC"/>
    <w:rsid w:val="00824532"/>
    <w:rsid w:val="00825E10"/>
    <w:rsid w:val="00832668"/>
    <w:rsid w:val="008331BA"/>
    <w:rsid w:val="00834E97"/>
    <w:rsid w:val="008370BD"/>
    <w:rsid w:val="00840838"/>
    <w:rsid w:val="00861B8E"/>
    <w:rsid w:val="00862C04"/>
    <w:rsid w:val="00865489"/>
    <w:rsid w:val="00871CE6"/>
    <w:rsid w:val="0087205A"/>
    <w:rsid w:val="008820BE"/>
    <w:rsid w:val="00887558"/>
    <w:rsid w:val="00894E4D"/>
    <w:rsid w:val="0089755A"/>
    <w:rsid w:val="008A33C3"/>
    <w:rsid w:val="008A7BC8"/>
    <w:rsid w:val="008B20ED"/>
    <w:rsid w:val="008B2B1C"/>
    <w:rsid w:val="008B2BC4"/>
    <w:rsid w:val="008B602B"/>
    <w:rsid w:val="008C320A"/>
    <w:rsid w:val="008C36D9"/>
    <w:rsid w:val="008C3D7F"/>
    <w:rsid w:val="008C40C1"/>
    <w:rsid w:val="008C573E"/>
    <w:rsid w:val="008C6814"/>
    <w:rsid w:val="008C799D"/>
    <w:rsid w:val="008D3550"/>
    <w:rsid w:val="008D7FDC"/>
    <w:rsid w:val="008E5B09"/>
    <w:rsid w:val="008F3A03"/>
    <w:rsid w:val="008F6377"/>
    <w:rsid w:val="008F758F"/>
    <w:rsid w:val="00904E3F"/>
    <w:rsid w:val="00910EE7"/>
    <w:rsid w:val="00910FF5"/>
    <w:rsid w:val="00913BE1"/>
    <w:rsid w:val="009146C2"/>
    <w:rsid w:val="00917CD7"/>
    <w:rsid w:val="009213D8"/>
    <w:rsid w:val="00922077"/>
    <w:rsid w:val="00922B81"/>
    <w:rsid w:val="00926D24"/>
    <w:rsid w:val="00930B55"/>
    <w:rsid w:val="00933FB6"/>
    <w:rsid w:val="009346EF"/>
    <w:rsid w:val="00940A55"/>
    <w:rsid w:val="0094142A"/>
    <w:rsid w:val="00943BD2"/>
    <w:rsid w:val="00945668"/>
    <w:rsid w:val="009507B5"/>
    <w:rsid w:val="009552B0"/>
    <w:rsid w:val="00960789"/>
    <w:rsid w:val="00961216"/>
    <w:rsid w:val="0096372E"/>
    <w:rsid w:val="0096658E"/>
    <w:rsid w:val="0096661A"/>
    <w:rsid w:val="00975671"/>
    <w:rsid w:val="009861B5"/>
    <w:rsid w:val="00990350"/>
    <w:rsid w:val="009913A0"/>
    <w:rsid w:val="00991762"/>
    <w:rsid w:val="009956CE"/>
    <w:rsid w:val="00995A03"/>
    <w:rsid w:val="009A0D29"/>
    <w:rsid w:val="009A348E"/>
    <w:rsid w:val="009A785D"/>
    <w:rsid w:val="009B00D5"/>
    <w:rsid w:val="009B3515"/>
    <w:rsid w:val="009B7627"/>
    <w:rsid w:val="009B7F20"/>
    <w:rsid w:val="009C2FCF"/>
    <w:rsid w:val="009D10F7"/>
    <w:rsid w:val="009D1665"/>
    <w:rsid w:val="009D3988"/>
    <w:rsid w:val="009D62CC"/>
    <w:rsid w:val="009D663A"/>
    <w:rsid w:val="009E095D"/>
    <w:rsid w:val="009E4311"/>
    <w:rsid w:val="009E4C66"/>
    <w:rsid w:val="009E6DD9"/>
    <w:rsid w:val="009E7308"/>
    <w:rsid w:val="009F02F6"/>
    <w:rsid w:val="009F2845"/>
    <w:rsid w:val="00A022FA"/>
    <w:rsid w:val="00A054E1"/>
    <w:rsid w:val="00A0579A"/>
    <w:rsid w:val="00A14889"/>
    <w:rsid w:val="00A14BA0"/>
    <w:rsid w:val="00A21AF7"/>
    <w:rsid w:val="00A321C5"/>
    <w:rsid w:val="00A32208"/>
    <w:rsid w:val="00A36DC2"/>
    <w:rsid w:val="00A36E60"/>
    <w:rsid w:val="00A42502"/>
    <w:rsid w:val="00A463F8"/>
    <w:rsid w:val="00A4655D"/>
    <w:rsid w:val="00A4682E"/>
    <w:rsid w:val="00A47CDD"/>
    <w:rsid w:val="00A520FE"/>
    <w:rsid w:val="00A65814"/>
    <w:rsid w:val="00A73886"/>
    <w:rsid w:val="00A801B4"/>
    <w:rsid w:val="00A80486"/>
    <w:rsid w:val="00A90FDD"/>
    <w:rsid w:val="00A917B7"/>
    <w:rsid w:val="00A94C10"/>
    <w:rsid w:val="00AA0C32"/>
    <w:rsid w:val="00AA32C5"/>
    <w:rsid w:val="00AA61D9"/>
    <w:rsid w:val="00AA7CB3"/>
    <w:rsid w:val="00AB4558"/>
    <w:rsid w:val="00AC609A"/>
    <w:rsid w:val="00AD5336"/>
    <w:rsid w:val="00AE2B37"/>
    <w:rsid w:val="00AF2692"/>
    <w:rsid w:val="00AF3CCA"/>
    <w:rsid w:val="00AF74F7"/>
    <w:rsid w:val="00B03F1A"/>
    <w:rsid w:val="00B05B15"/>
    <w:rsid w:val="00B05CDB"/>
    <w:rsid w:val="00B0623E"/>
    <w:rsid w:val="00B074A3"/>
    <w:rsid w:val="00B11A2F"/>
    <w:rsid w:val="00B13171"/>
    <w:rsid w:val="00B14944"/>
    <w:rsid w:val="00B172A0"/>
    <w:rsid w:val="00B2291E"/>
    <w:rsid w:val="00B239E2"/>
    <w:rsid w:val="00B240AC"/>
    <w:rsid w:val="00B31BE7"/>
    <w:rsid w:val="00B33636"/>
    <w:rsid w:val="00B33867"/>
    <w:rsid w:val="00B43F58"/>
    <w:rsid w:val="00B5108F"/>
    <w:rsid w:val="00B51478"/>
    <w:rsid w:val="00B54040"/>
    <w:rsid w:val="00B57118"/>
    <w:rsid w:val="00B70056"/>
    <w:rsid w:val="00B738CE"/>
    <w:rsid w:val="00B80D4F"/>
    <w:rsid w:val="00B82D07"/>
    <w:rsid w:val="00B83992"/>
    <w:rsid w:val="00B87414"/>
    <w:rsid w:val="00B9123A"/>
    <w:rsid w:val="00B91529"/>
    <w:rsid w:val="00B9349D"/>
    <w:rsid w:val="00B95420"/>
    <w:rsid w:val="00B96D77"/>
    <w:rsid w:val="00B97CC4"/>
    <w:rsid w:val="00BA2C59"/>
    <w:rsid w:val="00BA476F"/>
    <w:rsid w:val="00BB36F5"/>
    <w:rsid w:val="00BB3A9D"/>
    <w:rsid w:val="00BC1747"/>
    <w:rsid w:val="00BC6FB1"/>
    <w:rsid w:val="00BE1AD1"/>
    <w:rsid w:val="00BE1DAF"/>
    <w:rsid w:val="00BF3CA8"/>
    <w:rsid w:val="00BF5970"/>
    <w:rsid w:val="00C0044C"/>
    <w:rsid w:val="00C1139A"/>
    <w:rsid w:val="00C12A8E"/>
    <w:rsid w:val="00C169B2"/>
    <w:rsid w:val="00C22192"/>
    <w:rsid w:val="00C33147"/>
    <w:rsid w:val="00C36609"/>
    <w:rsid w:val="00C3679D"/>
    <w:rsid w:val="00C539B0"/>
    <w:rsid w:val="00C5602A"/>
    <w:rsid w:val="00C6170F"/>
    <w:rsid w:val="00C63131"/>
    <w:rsid w:val="00C65953"/>
    <w:rsid w:val="00C737E1"/>
    <w:rsid w:val="00C842A0"/>
    <w:rsid w:val="00C90045"/>
    <w:rsid w:val="00C92538"/>
    <w:rsid w:val="00C97D1B"/>
    <w:rsid w:val="00CA087C"/>
    <w:rsid w:val="00CA54F3"/>
    <w:rsid w:val="00CB242F"/>
    <w:rsid w:val="00CB38B5"/>
    <w:rsid w:val="00CB3AEC"/>
    <w:rsid w:val="00CB5993"/>
    <w:rsid w:val="00CC1BBF"/>
    <w:rsid w:val="00CC3B75"/>
    <w:rsid w:val="00CC49E1"/>
    <w:rsid w:val="00CC51C7"/>
    <w:rsid w:val="00CD71BD"/>
    <w:rsid w:val="00CE2BC9"/>
    <w:rsid w:val="00CE439D"/>
    <w:rsid w:val="00CE66B1"/>
    <w:rsid w:val="00CF1053"/>
    <w:rsid w:val="00CF3A7A"/>
    <w:rsid w:val="00D000D0"/>
    <w:rsid w:val="00D04716"/>
    <w:rsid w:val="00D12BAF"/>
    <w:rsid w:val="00D160C9"/>
    <w:rsid w:val="00D1634B"/>
    <w:rsid w:val="00D25361"/>
    <w:rsid w:val="00D71357"/>
    <w:rsid w:val="00D73916"/>
    <w:rsid w:val="00D93A6F"/>
    <w:rsid w:val="00D97D8E"/>
    <w:rsid w:val="00DA0903"/>
    <w:rsid w:val="00DA3873"/>
    <w:rsid w:val="00DA4E5B"/>
    <w:rsid w:val="00DA6923"/>
    <w:rsid w:val="00DB220E"/>
    <w:rsid w:val="00DB5D87"/>
    <w:rsid w:val="00DC2C51"/>
    <w:rsid w:val="00DC5ECF"/>
    <w:rsid w:val="00DC66B3"/>
    <w:rsid w:val="00DD0857"/>
    <w:rsid w:val="00DE1D3D"/>
    <w:rsid w:val="00DE3F30"/>
    <w:rsid w:val="00DE6BAF"/>
    <w:rsid w:val="00E06493"/>
    <w:rsid w:val="00E101EE"/>
    <w:rsid w:val="00E11219"/>
    <w:rsid w:val="00E2089E"/>
    <w:rsid w:val="00E22796"/>
    <w:rsid w:val="00E2620F"/>
    <w:rsid w:val="00E32EC6"/>
    <w:rsid w:val="00E33B7A"/>
    <w:rsid w:val="00E3717F"/>
    <w:rsid w:val="00E376FE"/>
    <w:rsid w:val="00E40613"/>
    <w:rsid w:val="00E42914"/>
    <w:rsid w:val="00E5187D"/>
    <w:rsid w:val="00E56152"/>
    <w:rsid w:val="00E56D0D"/>
    <w:rsid w:val="00E57497"/>
    <w:rsid w:val="00E63ED7"/>
    <w:rsid w:val="00E71DFC"/>
    <w:rsid w:val="00E74E1C"/>
    <w:rsid w:val="00E82AEA"/>
    <w:rsid w:val="00EA3312"/>
    <w:rsid w:val="00EB7A44"/>
    <w:rsid w:val="00EC04FE"/>
    <w:rsid w:val="00EC3B21"/>
    <w:rsid w:val="00EC59A0"/>
    <w:rsid w:val="00EC68D3"/>
    <w:rsid w:val="00ED03CF"/>
    <w:rsid w:val="00ED7864"/>
    <w:rsid w:val="00EE1253"/>
    <w:rsid w:val="00EE2B6A"/>
    <w:rsid w:val="00EE684E"/>
    <w:rsid w:val="00EE69EE"/>
    <w:rsid w:val="00EE7BFB"/>
    <w:rsid w:val="00EF31D5"/>
    <w:rsid w:val="00EF47CA"/>
    <w:rsid w:val="00EF635A"/>
    <w:rsid w:val="00F00B46"/>
    <w:rsid w:val="00F02081"/>
    <w:rsid w:val="00F0312C"/>
    <w:rsid w:val="00F11951"/>
    <w:rsid w:val="00F211FF"/>
    <w:rsid w:val="00F24730"/>
    <w:rsid w:val="00F3438B"/>
    <w:rsid w:val="00F54B43"/>
    <w:rsid w:val="00F61167"/>
    <w:rsid w:val="00F75D49"/>
    <w:rsid w:val="00F80546"/>
    <w:rsid w:val="00F90ED7"/>
    <w:rsid w:val="00F9188A"/>
    <w:rsid w:val="00F92628"/>
    <w:rsid w:val="00F97E2E"/>
    <w:rsid w:val="00FA33EE"/>
    <w:rsid w:val="00FA3BF7"/>
    <w:rsid w:val="00FA4194"/>
    <w:rsid w:val="00FB3643"/>
    <w:rsid w:val="00FB69EA"/>
    <w:rsid w:val="00FC173E"/>
    <w:rsid w:val="00FD02BB"/>
    <w:rsid w:val="00FD7050"/>
    <w:rsid w:val="00FE1538"/>
    <w:rsid w:val="00FE48C1"/>
    <w:rsid w:val="00FF525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it-IT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it-IT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4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F8054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8054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F8054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F8054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F8054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F8054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F8054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F8054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F8054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546"/>
  </w:style>
  <w:style w:type="paragraph" w:styleId="FootnoteText">
    <w:name w:val="footnote text"/>
    <w:basedOn w:val="Normal"/>
    <w:rsid w:val="00F80546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F80546"/>
  </w:style>
  <w:style w:type="paragraph" w:styleId="BalloonText">
    <w:name w:val="Balloon Text"/>
    <w:basedOn w:val="Normal"/>
    <w:link w:val="BalloonTextChar"/>
    <w:rsid w:val="00084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D6"/>
    <w:rPr>
      <w:rFonts w:ascii="Tahoma" w:hAnsi="Tahoma" w:cs="Tahoma"/>
      <w:sz w:val="16"/>
      <w:szCs w:val="16"/>
      <w:lang w:eastAsia="it-IT"/>
    </w:rPr>
  </w:style>
  <w:style w:type="character" w:styleId="FootnoteReference">
    <w:name w:val="footnote reference"/>
    <w:rsid w:val="00F80546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numbering" w:customStyle="1" w:styleId="List0">
    <w:name w:val="List 0"/>
    <w:basedOn w:val="NoList"/>
    <w:rsid w:val="009507B5"/>
    <w:pPr>
      <w:numPr>
        <w:numId w:val="5"/>
      </w:numPr>
    </w:p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it-IT"/>
    </w:rPr>
  </w:style>
  <w:style w:type="character" w:customStyle="1" w:styleId="hps">
    <w:name w:val="hps"/>
    <w:rsid w:val="00175643"/>
  </w:style>
  <w:style w:type="character" w:styleId="CommentReference">
    <w:name w:val="annotation reference"/>
    <w:rsid w:val="004E18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58"/>
    <w:rPr>
      <w:sz w:val="20"/>
    </w:rPr>
  </w:style>
  <w:style w:type="character" w:customStyle="1" w:styleId="CommentTextChar">
    <w:name w:val="Comment Text Char"/>
    <w:link w:val="CommentText"/>
    <w:rsid w:val="004E1858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4E1858"/>
    <w:rPr>
      <w:b/>
      <w:bCs/>
    </w:rPr>
  </w:style>
  <w:style w:type="character" w:customStyle="1" w:styleId="CommentSubjectChar">
    <w:name w:val="Comment Subject Char"/>
    <w:link w:val="CommentSubject"/>
    <w:rsid w:val="004E1858"/>
    <w:rPr>
      <w:b/>
      <w:bCs/>
      <w:lang w:val="it-IT" w:eastAsia="it-IT"/>
    </w:rPr>
  </w:style>
  <w:style w:type="character" w:styleId="Strong">
    <w:name w:val="Strong"/>
    <w:uiPriority w:val="22"/>
    <w:qFormat/>
    <w:rsid w:val="00960789"/>
    <w:rPr>
      <w:b/>
      <w:bCs/>
    </w:rPr>
  </w:style>
  <w:style w:type="paragraph" w:styleId="NormalWeb">
    <w:name w:val="Normal (Web)"/>
    <w:basedOn w:val="Normal"/>
    <w:uiPriority w:val="99"/>
    <w:unhideWhenUsed/>
    <w:rsid w:val="00795CD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it-IT"/>
    </w:rPr>
  </w:style>
  <w:style w:type="paragraph" w:customStyle="1" w:styleId="s18">
    <w:name w:val="s18"/>
    <w:basedOn w:val="Normal"/>
    <w:rsid w:val="00E2620F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</w:rPr>
  </w:style>
  <w:style w:type="character" w:customStyle="1" w:styleId="bumpedfont20">
    <w:name w:val="bumpedfont20"/>
    <w:rsid w:val="00E2620F"/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uiPriority w:val="99"/>
    <w:rsid w:val="007E5B10"/>
    <w:rPr>
      <w:sz w:val="22"/>
      <w:lang w:eastAsia="it-IT"/>
    </w:rPr>
  </w:style>
  <w:style w:type="character" w:customStyle="1" w:styleId="HeaderChar">
    <w:name w:val="Header Char"/>
    <w:link w:val="Header"/>
    <w:uiPriority w:val="99"/>
    <w:rsid w:val="007E5B10"/>
    <w:rPr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press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SNS6YXTC77FS-4-3683</_dlc_DocId>
    <_dlc_DocIdUrl xmlns="9f264e46-9252-4f01-a3b2-4cb67eb6fc3c">
      <Url>http://dm/EESC/2015/_layouts/DocIdRedir.aspx?ID=SNS6YXTC77FS-4-3683</Url>
      <Description>SNS6YXTC77FS-4-3683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9a9357a-0628-4319-8d75-bc025e757148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2015-04-01T12:00:00+00:00</ProductionDate>
    <DocumentNumber xmlns="09a9357a-0628-4319-8d75-bc025e757148">1651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TaxCatchAll xmlns="9f264e46-9252-4f01-a3b2-4cb67eb6fc3c">
      <Value>39</Value>
      <Value>38</Value>
      <Value>37</Value>
      <Value>36</Value>
      <Value>34</Value>
      <Value>120</Value>
      <Value>25</Value>
      <Value>24</Value>
      <Value>21</Value>
      <Value>20</Value>
      <Value>17</Value>
      <Value>14</Value>
      <Value>13</Value>
      <Value>11</Value>
      <Value>9</Value>
      <Value>5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2985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CB02-16F7-4A2E-A29C-F6BB26FE3127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09a9357a-0628-4319-8d75-bc025e757148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4FFDB7F-1AA9-496C-9A95-E2CC2B40E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0584ED-952F-48E8-946E-7B4B181B22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62C9433-7A96-4656-AEF2-376DBF7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3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Giornata dell'ICE - lancio strumento traduzione</vt:lpstr>
    </vt:vector>
  </TitlesOfParts>
  <Company>CESE-CdR</Company>
  <LinksUpToDate>false</LinksUpToDate>
  <CharactersWithSpaces>5704</CharactersWithSpaces>
  <SharedDoc>false</SharedDoc>
  <HLinks>
    <vt:vector size="48" baseType="variant"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http://memberspage.eesc.europa.eu/Detail.aspx?id=1064&amp;f=1&amp;s=0&amp;o1=0&amp;o2=0&amp;o3=0&amp;ln=malosse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http://memberspage.eesc.europa.eu/Detail.aspx?id=15007&amp;f=1&amp;s=0&amp;o1=0&amp;o2=0&amp;o3=0&amp;ln=sigmund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27 IT Declaration</dc:title>
  <dc:subject>Comunicato stampa</dc:subject>
  <cp:lastModifiedBy>Agata Berdys</cp:lastModifiedBy>
  <cp:revision>7</cp:revision>
  <cp:lastPrinted>2015-02-20T10:24:00Z</cp:lastPrinted>
  <dcterms:created xsi:type="dcterms:W3CDTF">2015-04-09T06:39:00Z</dcterms:created>
  <dcterms:modified xsi:type="dcterms:W3CDTF">2015-04-27T15:13:00Z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0x010100EA97B91038054C99906057A708A1480A009BCB104C1DE3D145B59393E2D3A6BA19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23/03/2015, 19/03/2015</vt:lpwstr>
  </property>
  <property fmtid="{D5CDD505-2E9C-101B-9397-08002B2CF9AE}" pid="7" name="Pref_Time">
    <vt:lpwstr>10/26/07, 15:26:03</vt:lpwstr>
  </property>
  <property fmtid="{D5CDD505-2E9C-101B-9397-08002B2CF9AE}" pid="8" name="Pref_User">
    <vt:lpwstr>sphil, dtai</vt:lpwstr>
  </property>
  <property fmtid="{D5CDD505-2E9C-101B-9397-08002B2CF9AE}" pid="9" name="Pref_FileName">
    <vt:lpwstr>EESC-2015-01651-00-01-CP-ORI.docx, EESC-2015-01651-00-00-CP-ORI.docx</vt:lpwstr>
  </property>
  <property fmtid="{D5CDD505-2E9C-101B-9397-08002B2CF9AE}" pid="10" name="_dlc_DocIdItemGuid">
    <vt:lpwstr>ef0b8d8f-4e14-446d-b033-0dd4b9b0434c</vt:lpwstr>
  </property>
  <property fmtid="{D5CDD505-2E9C-101B-9397-08002B2CF9AE}" pid="11" name="AvailableTranslations">
    <vt:lpwstr>39;#CS|72f9705b-0217-4fd3-bea2-cbc7ed80e26e;#38;#IT|0774613c-01ed-4e5d-a25d-11d2388de825;#17;#ES|e7a6b05b-ae16-40c8-add9-68b64b03aeba;#25;#RO|feb747a2-64cd-4299-af12-4833ddc30497;#24;#PT|50ccc04a-eadd-42ae-a0cb-acaf45f812ba;#37;#BG|1a1b3951-7821-4e6a-85f5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38;#IT|0774613c-01ed-4e5d-a25d-11d2388de825</vt:lpwstr>
  </property>
</Properties>
</file>