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CFE" w:rsidRDefault="002A0BBD" w:rsidP="003B0FB7">
      <w:pPr>
        <w:spacing w:line="360" w:lineRule="auto"/>
        <w:ind w:left="-284"/>
        <w:jc w:val="center"/>
      </w:pPr>
      <w:r>
        <w:rPr>
          <w:noProof/>
          <w:lang w:val="fr-BE" w:eastAsia="fr-BE" w:bidi="ar-SA"/>
        </w:rPr>
        <w:drawing>
          <wp:inline distT="0" distB="0" distL="0" distR="0" wp14:anchorId="547561BA" wp14:editId="36330D43">
            <wp:extent cx="6027088" cy="1424882"/>
            <wp:effectExtent l="0" t="0" r="0" b="4445"/>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800" cy="1430015"/>
                    </a:xfrm>
                    <a:prstGeom prst="rect">
                      <a:avLst/>
                    </a:prstGeom>
                    <a:noFill/>
                    <a:ln>
                      <a:noFill/>
                    </a:ln>
                  </pic:spPr>
                </pic:pic>
              </a:graphicData>
            </a:graphic>
          </wp:inline>
        </w:drawing>
      </w:r>
      <w:bookmarkStart w:id="0" w:name="_GoBack"/>
      <w:bookmarkEnd w:id="0"/>
    </w:p>
    <w:tbl>
      <w:tblPr>
        <w:tblW w:w="0" w:type="auto"/>
        <w:tblLook w:val="0000" w:firstRow="0" w:lastRow="0" w:firstColumn="0" w:lastColumn="0" w:noHBand="0" w:noVBand="0"/>
      </w:tblPr>
      <w:tblGrid>
        <w:gridCol w:w="5168"/>
        <w:gridCol w:w="4119"/>
      </w:tblGrid>
      <w:tr w:rsidR="002C7B17">
        <w:trPr>
          <w:cantSplit/>
        </w:trPr>
        <w:tc>
          <w:tcPr>
            <w:tcW w:w="5168" w:type="dxa"/>
          </w:tcPr>
          <w:p w:rsidR="008820BE" w:rsidRPr="008B0CFE" w:rsidRDefault="00040483" w:rsidP="00D9582D">
            <w:pPr>
              <w:spacing w:line="240" w:lineRule="auto"/>
              <w:rPr>
                <w:rFonts w:ascii="Verdana" w:hAnsi="Verdana"/>
                <w:b/>
                <w:bCs/>
                <w:sz w:val="20"/>
              </w:rPr>
            </w:pPr>
            <w:r>
              <w:rPr>
                <w:rFonts w:ascii="Verdana" w:hAnsi="Verdana"/>
                <w:b/>
                <w:sz w:val="18"/>
              </w:rPr>
              <w:t>03/2017</w:t>
            </w:r>
          </w:p>
        </w:tc>
        <w:tc>
          <w:tcPr>
            <w:tcW w:w="4119" w:type="dxa"/>
          </w:tcPr>
          <w:p w:rsidR="008820BE" w:rsidRPr="008B0CFE" w:rsidRDefault="00BA32F5" w:rsidP="00BA32F5">
            <w:pPr>
              <w:spacing w:line="240" w:lineRule="auto"/>
              <w:jc w:val="right"/>
              <w:rPr>
                <w:rFonts w:ascii="Verdana" w:hAnsi="Verdana"/>
                <w:b/>
                <w:bCs/>
                <w:sz w:val="18"/>
                <w:szCs w:val="18"/>
              </w:rPr>
            </w:pPr>
            <w:r>
              <w:rPr>
                <w:rFonts w:ascii="Verdana" w:hAnsi="Verdana"/>
                <w:b/>
                <w:sz w:val="18"/>
              </w:rPr>
              <w:t>26 janvier 2017</w:t>
            </w:r>
          </w:p>
        </w:tc>
      </w:tr>
    </w:tbl>
    <w:p w:rsidR="008820BE" w:rsidRPr="008B0CFE" w:rsidRDefault="008820BE" w:rsidP="00584A13">
      <w:pPr>
        <w:spacing w:line="240" w:lineRule="auto"/>
        <w:rPr>
          <w:rFonts w:ascii="Verdana" w:hAnsi="Verdana"/>
          <w:sz w:val="20"/>
        </w:rPr>
        <w:sectPr w:rsidR="008820BE" w:rsidRPr="008B0CFE" w:rsidSect="003B0FB7">
          <w:footerReference w:type="default" r:id="rId15"/>
          <w:pgSz w:w="11907" w:h="16839" w:code="9"/>
          <w:pgMar w:top="284" w:right="1418" w:bottom="1418" w:left="1418" w:header="3062" w:footer="250" w:gutter="0"/>
          <w:cols w:space="720"/>
          <w:docGrid w:linePitch="299"/>
        </w:sectPr>
      </w:pPr>
    </w:p>
    <w:p w:rsidR="003305C3" w:rsidRPr="00FF156C" w:rsidRDefault="003305C3" w:rsidP="00FF156C">
      <w:pPr>
        <w:spacing w:line="240" w:lineRule="auto"/>
        <w:jc w:val="center"/>
        <w:rPr>
          <w:rFonts w:ascii="Verdana" w:hAnsi="Verdana"/>
          <w:b/>
          <w:sz w:val="24"/>
          <w:szCs w:val="24"/>
        </w:rPr>
      </w:pPr>
    </w:p>
    <w:p w:rsidR="0057033F" w:rsidRPr="00AA3EB7" w:rsidRDefault="00324983" w:rsidP="00584A13">
      <w:pPr>
        <w:spacing w:line="240" w:lineRule="auto"/>
        <w:jc w:val="center"/>
        <w:rPr>
          <w:rFonts w:ascii="Verdana" w:hAnsi="Verdana"/>
          <w:b/>
          <w:bCs/>
          <w:color w:val="548DD4" w:themeColor="text2" w:themeTint="99"/>
          <w:sz w:val="24"/>
        </w:rPr>
      </w:pPr>
      <w:r>
        <w:rPr>
          <w:rFonts w:ascii="Verdana" w:hAnsi="Verdana"/>
          <w:b/>
          <w:color w:val="548DD4" w:themeColor="text2" w:themeTint="99"/>
          <w:sz w:val="24"/>
        </w:rPr>
        <w:t xml:space="preserve">Lors d’un débat avec le commissaire Moscovici, les membres </w:t>
      </w:r>
      <w:r w:rsidR="002A0BBD">
        <w:rPr>
          <w:rFonts w:ascii="Verdana" w:hAnsi="Verdana"/>
          <w:b/>
          <w:color w:val="548DD4" w:themeColor="text2" w:themeTint="99"/>
          <w:sz w:val="24"/>
        </w:rPr>
        <w:br/>
      </w:r>
      <w:r>
        <w:rPr>
          <w:rFonts w:ascii="Verdana" w:hAnsi="Verdana"/>
          <w:b/>
          <w:color w:val="548DD4" w:themeColor="text2" w:themeTint="99"/>
          <w:sz w:val="24"/>
        </w:rPr>
        <w:t xml:space="preserve">du CESE ont recommandé d’achever l’architecture de l’euro </w:t>
      </w:r>
      <w:r w:rsidR="002A0BBD">
        <w:rPr>
          <w:rFonts w:ascii="Verdana" w:hAnsi="Verdana"/>
          <w:b/>
          <w:color w:val="548DD4" w:themeColor="text2" w:themeTint="99"/>
          <w:sz w:val="24"/>
        </w:rPr>
        <w:br/>
      </w:r>
      <w:r>
        <w:rPr>
          <w:rFonts w:ascii="Verdana" w:hAnsi="Verdana"/>
          <w:b/>
          <w:color w:val="548DD4" w:themeColor="text2" w:themeTint="99"/>
          <w:sz w:val="24"/>
        </w:rPr>
        <w:t xml:space="preserve">afin de garantir une prospérité et une stabilité durables </w:t>
      </w:r>
      <w:r w:rsidR="002A0BBD">
        <w:rPr>
          <w:rFonts w:ascii="Verdana" w:hAnsi="Verdana"/>
          <w:b/>
          <w:color w:val="548DD4" w:themeColor="text2" w:themeTint="99"/>
          <w:sz w:val="24"/>
        </w:rPr>
        <w:br/>
      </w:r>
      <w:r>
        <w:rPr>
          <w:rFonts w:ascii="Verdana" w:hAnsi="Verdana"/>
          <w:b/>
          <w:color w:val="548DD4" w:themeColor="text2" w:themeTint="99"/>
          <w:sz w:val="24"/>
        </w:rPr>
        <w:t>pour l’Europe entière</w:t>
      </w:r>
    </w:p>
    <w:p w:rsidR="00B16F64" w:rsidRPr="00FF156C" w:rsidRDefault="00B16F64" w:rsidP="00FF156C">
      <w:pPr>
        <w:spacing w:line="240" w:lineRule="auto"/>
        <w:jc w:val="center"/>
        <w:rPr>
          <w:rFonts w:ascii="Verdana" w:hAnsi="Verdana"/>
          <w:sz w:val="24"/>
          <w:szCs w:val="24"/>
        </w:rPr>
      </w:pPr>
    </w:p>
    <w:p w:rsidR="00D43665" w:rsidRPr="00184EF0" w:rsidRDefault="007953B2" w:rsidP="00A8469C">
      <w:pPr>
        <w:spacing w:line="240" w:lineRule="auto"/>
        <w:rPr>
          <w:rFonts w:ascii="Verdana" w:hAnsi="Verdana"/>
          <w:b/>
          <w:sz w:val="18"/>
          <w:szCs w:val="18"/>
        </w:rPr>
      </w:pPr>
      <w:r>
        <w:rPr>
          <w:rFonts w:ascii="Verdana" w:hAnsi="Verdana"/>
          <w:b/>
          <w:sz w:val="18"/>
        </w:rPr>
        <w:t xml:space="preserve">Le Comité économique et social européen a tenu aujourd’hui un débat sur l’état de l’économie européenne et les perspectives d’approfondissement de l’Union économique et monétaire (UEM), auquel a participé </w:t>
      </w:r>
      <w:r>
        <w:rPr>
          <w:rFonts w:ascii="Verdana" w:hAnsi="Verdana"/>
          <w:b/>
          <w:i/>
          <w:sz w:val="18"/>
        </w:rPr>
        <w:t>Pierre Moscovici</w:t>
      </w:r>
      <w:r>
        <w:rPr>
          <w:rFonts w:ascii="Verdana" w:hAnsi="Verdana"/>
          <w:b/>
          <w:sz w:val="18"/>
        </w:rPr>
        <w:t>, commissaire européen pour les affaires économiques et financières, la fiscalité et les douanes. Par l’intermédiaire de M. Moscovici, les membres du CESE ont transmis un message clair à relayer aux prochaines réunions de l’</w:t>
      </w:r>
      <w:proofErr w:type="spellStart"/>
      <w:r>
        <w:rPr>
          <w:rFonts w:ascii="Verdana" w:hAnsi="Verdana"/>
          <w:b/>
          <w:sz w:val="18"/>
        </w:rPr>
        <w:t>Eurogroupe</w:t>
      </w:r>
      <w:proofErr w:type="spellEnd"/>
      <w:r>
        <w:rPr>
          <w:rFonts w:ascii="Verdana" w:hAnsi="Verdana"/>
          <w:b/>
          <w:sz w:val="18"/>
        </w:rPr>
        <w:t xml:space="preserve">, du Conseil </w:t>
      </w:r>
      <w:proofErr w:type="spellStart"/>
      <w:r>
        <w:rPr>
          <w:rFonts w:ascii="Verdana" w:hAnsi="Verdana"/>
          <w:b/>
          <w:sz w:val="18"/>
        </w:rPr>
        <w:t>Ecofin</w:t>
      </w:r>
      <w:proofErr w:type="spellEnd"/>
      <w:r>
        <w:rPr>
          <w:rFonts w:ascii="Verdana" w:hAnsi="Verdana"/>
          <w:b/>
          <w:sz w:val="18"/>
        </w:rPr>
        <w:t xml:space="preserve"> et du Conseil européen, indiquant qu’il est urgent que les citoyens et les acteurs économiques européens puissent percevoir un sentiment d’appropriation et une orientation de la part des dirigeants européens, notamment lorsqu’ils se penchent sur les pièces manquantes d’une véritable UEM. Le processus d'intégration de l’UE, et particulièrement l’euro, ne peuvent être viables que si les aspects économique, budgétaire, financier, social et politique progressent de concert, quand bien même cela nécessiterait une modification du traité. </w:t>
      </w:r>
    </w:p>
    <w:p w:rsidR="00D43665" w:rsidRPr="001E1EEB" w:rsidRDefault="00D43665" w:rsidP="00A8469C">
      <w:pPr>
        <w:spacing w:line="240" w:lineRule="auto"/>
        <w:rPr>
          <w:rFonts w:ascii="Verdana" w:hAnsi="Verdana"/>
          <w:sz w:val="18"/>
          <w:szCs w:val="18"/>
        </w:rPr>
      </w:pPr>
    </w:p>
    <w:p w:rsidR="00C40A7C" w:rsidRPr="001E1EEB" w:rsidRDefault="00C40A7C" w:rsidP="00A8469C">
      <w:pPr>
        <w:spacing w:line="240" w:lineRule="auto"/>
        <w:rPr>
          <w:rFonts w:ascii="Verdana" w:hAnsi="Verdana"/>
          <w:sz w:val="18"/>
          <w:szCs w:val="18"/>
        </w:rPr>
      </w:pPr>
      <w:r>
        <w:rPr>
          <w:rFonts w:ascii="Verdana" w:hAnsi="Verdana"/>
          <w:sz w:val="18"/>
        </w:rPr>
        <w:t>«</w:t>
      </w:r>
      <w:r>
        <w:rPr>
          <w:rFonts w:ascii="Verdana" w:hAnsi="Verdana"/>
          <w:i/>
          <w:sz w:val="18"/>
        </w:rPr>
        <w:t>Faire l’inventaire des succès engrangés lors des sommets européens qui se sont succédé est une démarche bienvenue, mais insuffisante</w:t>
      </w:r>
      <w:r>
        <w:rPr>
          <w:rFonts w:ascii="Verdana" w:hAnsi="Verdana"/>
          <w:sz w:val="18"/>
        </w:rPr>
        <w:t xml:space="preserve">», a déclaré </w:t>
      </w:r>
      <w:r>
        <w:rPr>
          <w:rFonts w:ascii="Verdana" w:hAnsi="Verdana"/>
          <w:b/>
          <w:sz w:val="18"/>
        </w:rPr>
        <w:t>Joost</w:t>
      </w:r>
      <w:r w:rsidR="002A0BBD">
        <w:rPr>
          <w:rFonts w:ascii="Verdana" w:hAnsi="Verdana"/>
          <w:b/>
          <w:sz w:val="18"/>
        </w:rPr>
        <w:t> </w:t>
      </w:r>
      <w:r>
        <w:rPr>
          <w:rFonts w:ascii="Verdana" w:hAnsi="Verdana"/>
          <w:b/>
          <w:sz w:val="18"/>
        </w:rPr>
        <w:t>van</w:t>
      </w:r>
      <w:r w:rsidR="002A0BBD">
        <w:rPr>
          <w:rFonts w:ascii="Verdana" w:hAnsi="Verdana"/>
          <w:b/>
          <w:sz w:val="18"/>
        </w:rPr>
        <w:t> </w:t>
      </w:r>
      <w:r>
        <w:rPr>
          <w:rFonts w:ascii="Verdana" w:hAnsi="Verdana"/>
          <w:b/>
          <w:sz w:val="18"/>
        </w:rPr>
        <w:t>Iersel</w:t>
      </w:r>
      <w:r>
        <w:rPr>
          <w:rFonts w:ascii="Verdana" w:hAnsi="Verdana"/>
          <w:sz w:val="18"/>
        </w:rPr>
        <w:t xml:space="preserve">, président de la section économique du CESE. </w:t>
      </w:r>
      <w:r>
        <w:rPr>
          <w:rFonts w:ascii="Verdana" w:hAnsi="Verdana"/>
          <w:i/>
          <w:sz w:val="18"/>
        </w:rPr>
        <w:t>Nous demandons aux dirigeants politiques européens d’adopter, pour mener à bien l'UEM, une feuille de route transparente et assortie d’échéances précises, ainsi que de prendre clairement, à l’échelle de l’UE, l'engagement de la mettre en œuvre.</w:t>
      </w:r>
      <w:r>
        <w:rPr>
          <w:rFonts w:ascii="Verdana" w:hAnsi="Verdana"/>
          <w:sz w:val="18"/>
        </w:rPr>
        <w:t xml:space="preserve"> </w:t>
      </w:r>
      <w:r>
        <w:rPr>
          <w:rFonts w:ascii="Verdana" w:hAnsi="Verdana"/>
          <w:i/>
          <w:sz w:val="18"/>
        </w:rPr>
        <w:t>En cette période de troubles politiques, nous avons plus que jamais besoin de stabilité, de crédibilité et de prévisibilité au regard de la notion de souveraineté européenne.</w:t>
      </w:r>
      <w:r>
        <w:rPr>
          <w:rFonts w:ascii="Verdana" w:hAnsi="Verdana"/>
          <w:sz w:val="18"/>
        </w:rPr>
        <w:t xml:space="preserve"> </w:t>
      </w:r>
      <w:r>
        <w:rPr>
          <w:rFonts w:ascii="Verdana" w:hAnsi="Verdana"/>
          <w:i/>
          <w:sz w:val="18"/>
        </w:rPr>
        <w:t>Il s'agit là de la seule manière de rassurer les citoyens et les investisseurs quant à l’irréversibilité de l’euro et de notre avenir européen commun.</w:t>
      </w:r>
      <w:r>
        <w:rPr>
          <w:rFonts w:ascii="Verdana" w:hAnsi="Verdana"/>
          <w:sz w:val="18"/>
        </w:rPr>
        <w:t>»</w:t>
      </w:r>
    </w:p>
    <w:p w:rsidR="00C40A7C" w:rsidRPr="001E1EEB" w:rsidRDefault="00C40A7C" w:rsidP="00A8469C">
      <w:pPr>
        <w:spacing w:line="240" w:lineRule="auto"/>
        <w:rPr>
          <w:rFonts w:ascii="Verdana" w:hAnsi="Verdana"/>
          <w:sz w:val="18"/>
          <w:szCs w:val="18"/>
        </w:rPr>
      </w:pPr>
    </w:p>
    <w:p w:rsidR="00BC5495" w:rsidRPr="001E1EEB" w:rsidRDefault="00E2189C" w:rsidP="00A8469C">
      <w:pPr>
        <w:spacing w:line="240" w:lineRule="auto"/>
        <w:rPr>
          <w:rFonts w:ascii="Verdana" w:hAnsi="Verdana"/>
          <w:sz w:val="18"/>
          <w:szCs w:val="18"/>
        </w:rPr>
      </w:pPr>
      <w:r>
        <w:rPr>
          <w:rFonts w:ascii="Verdana" w:hAnsi="Verdana"/>
          <w:sz w:val="18"/>
        </w:rPr>
        <w:t xml:space="preserve">Le </w:t>
      </w:r>
      <w:r>
        <w:rPr>
          <w:rFonts w:ascii="Verdana" w:hAnsi="Verdana"/>
          <w:b/>
          <w:sz w:val="18"/>
        </w:rPr>
        <w:t>commissaire</w:t>
      </w:r>
      <w:r w:rsidR="002A0BBD">
        <w:rPr>
          <w:rFonts w:ascii="Verdana" w:hAnsi="Verdana"/>
          <w:b/>
          <w:sz w:val="18"/>
        </w:rPr>
        <w:t> </w:t>
      </w:r>
      <w:r>
        <w:rPr>
          <w:rFonts w:ascii="Verdana" w:hAnsi="Verdana"/>
          <w:b/>
          <w:sz w:val="18"/>
        </w:rPr>
        <w:t>Moscovici</w:t>
      </w:r>
      <w:r>
        <w:rPr>
          <w:rFonts w:ascii="Verdana" w:hAnsi="Verdana"/>
          <w:sz w:val="18"/>
        </w:rPr>
        <w:t xml:space="preserve"> a présenté un aperçu de la situation économique de l’UE, ainsi que les taux de croissance prévus pour</w:t>
      </w:r>
      <w:r w:rsidR="002A0BBD">
        <w:rPr>
          <w:rFonts w:ascii="Verdana" w:hAnsi="Verdana"/>
          <w:sz w:val="18"/>
        </w:rPr>
        <w:t> </w:t>
      </w:r>
      <w:r>
        <w:rPr>
          <w:rFonts w:ascii="Verdana" w:hAnsi="Verdana"/>
          <w:sz w:val="18"/>
        </w:rPr>
        <w:t>2017 (1,6 %) et 2018 (1,8 %). Au cours de son intervention, il a déclaré: «</w:t>
      </w:r>
      <w:r>
        <w:rPr>
          <w:rFonts w:ascii="Verdana" w:hAnsi="Verdana"/>
          <w:i/>
          <w:sz w:val="18"/>
        </w:rPr>
        <w:t>Je suis d’avis qu’il faut garantir la mise en place d’instruments puissants qui pourront être utilisés dans la zone euro, tels qu’un Trésor public européen.</w:t>
      </w:r>
      <w:r>
        <w:rPr>
          <w:rFonts w:ascii="Verdana" w:hAnsi="Verdana"/>
          <w:sz w:val="18"/>
        </w:rPr>
        <w:t xml:space="preserve"> </w:t>
      </w:r>
      <w:r>
        <w:rPr>
          <w:rFonts w:ascii="Verdana" w:hAnsi="Verdana"/>
          <w:i/>
          <w:sz w:val="18"/>
        </w:rPr>
        <w:t>Ma vision est celle d’une Europe unie tant sur le plan social que physique, qui puisse s’opposer au populisme tout en œuvrant en faveur d’une convergence économique ascendante et du progrès social de ses citoyens.</w:t>
      </w:r>
      <w:r>
        <w:rPr>
          <w:rFonts w:ascii="Verdana" w:hAnsi="Verdana"/>
          <w:sz w:val="18"/>
        </w:rPr>
        <w:t xml:space="preserve"> </w:t>
      </w:r>
      <w:r>
        <w:rPr>
          <w:rFonts w:ascii="Verdana" w:hAnsi="Verdana"/>
          <w:i/>
          <w:sz w:val="18"/>
        </w:rPr>
        <w:t>Si l’euro doit devenir la monnaie de toute l’Union européenne, il est absolument indispensable d’achever son architecture, et la contribution du CESE à ce débat sera fort appréciée.</w:t>
      </w:r>
      <w:r>
        <w:rPr>
          <w:rFonts w:ascii="Verdana" w:hAnsi="Verdana"/>
          <w:sz w:val="18"/>
        </w:rPr>
        <w:t>»</w:t>
      </w:r>
    </w:p>
    <w:p w:rsidR="00BC5495" w:rsidRDefault="00BC5495" w:rsidP="00A8469C">
      <w:pPr>
        <w:spacing w:line="240" w:lineRule="auto"/>
        <w:rPr>
          <w:rFonts w:ascii="Verdana" w:hAnsi="Verdana"/>
          <w:sz w:val="18"/>
          <w:szCs w:val="18"/>
        </w:rPr>
      </w:pPr>
    </w:p>
    <w:p w:rsidR="00555E82" w:rsidRDefault="00555E82" w:rsidP="00A8469C">
      <w:pPr>
        <w:spacing w:line="240" w:lineRule="auto"/>
        <w:rPr>
          <w:rFonts w:ascii="Verdana" w:hAnsi="Verdana"/>
          <w:sz w:val="18"/>
          <w:szCs w:val="18"/>
        </w:rPr>
      </w:pPr>
      <w:r>
        <w:rPr>
          <w:rFonts w:ascii="Verdana" w:hAnsi="Verdana"/>
          <w:sz w:val="18"/>
        </w:rPr>
        <w:t>Le CESE, unique représentant institutionnel de la société civile organisée en Europe, a plaidé à plusieurs reprises pour que le processus d’approfondissement de l’UEM passe à la vitesse supérieure afin de garantir une plus grande convergence entre les États membres et de rendre l’UE dans son ensemble plus prospère, compétitive et résistante aux chocs extérieurs, dans le cadre d’un concept de souveraineté partagée. Dans ses avis sur l’UEM (voir ci-après), le CESE a d’ores et déjà dégagé un consensus sur des recommandations particulières visant les divers éléments qui méritent d’être pris en considération.</w:t>
      </w:r>
    </w:p>
    <w:p w:rsidR="00555E82" w:rsidRDefault="00555E82" w:rsidP="00A8469C">
      <w:pPr>
        <w:spacing w:line="240" w:lineRule="auto"/>
        <w:rPr>
          <w:rFonts w:ascii="Verdana" w:hAnsi="Verdana"/>
          <w:sz w:val="18"/>
          <w:szCs w:val="18"/>
        </w:rPr>
      </w:pPr>
    </w:p>
    <w:p w:rsidR="00184EF0" w:rsidRDefault="00555E82" w:rsidP="00A8469C">
      <w:pPr>
        <w:spacing w:line="240" w:lineRule="auto"/>
        <w:rPr>
          <w:rFonts w:ascii="Verdana" w:hAnsi="Verdana"/>
          <w:sz w:val="18"/>
          <w:szCs w:val="18"/>
        </w:rPr>
      </w:pPr>
      <w:r>
        <w:rPr>
          <w:rFonts w:ascii="Verdana" w:hAnsi="Verdana"/>
          <w:sz w:val="18"/>
        </w:rPr>
        <w:t>Cependant, le Comité a également souligné qu’il ne sera possible d’achever l’UEM que si l’ensemble des États membres concernés, les institutions et les acteurs de la société civile coopèrent activement et sans délai à ce processus. Au cours du débat qui s’est tenu aujourd’hui, le CESE a pointé une fois de plus qu’il n’existe pas d’autre solution viable que celle d’une zone euro plus politique, davantage axée sur les grandes priorités qui importent à ses citoyens que sur des objectifs chiffrés et des questions techniques spécifiques.</w:t>
      </w:r>
    </w:p>
    <w:p w:rsidR="00BA32F5" w:rsidRPr="00C40A7C" w:rsidRDefault="00BA32F5" w:rsidP="00A8469C">
      <w:pPr>
        <w:spacing w:line="240" w:lineRule="auto"/>
        <w:rPr>
          <w:rFonts w:ascii="Verdana" w:hAnsi="Verdana"/>
          <w:sz w:val="18"/>
          <w:szCs w:val="18"/>
        </w:rPr>
      </w:pPr>
    </w:p>
    <w:p w:rsidR="00204782" w:rsidRPr="006400D6" w:rsidRDefault="00F960FB" w:rsidP="00A8469C">
      <w:pPr>
        <w:spacing w:line="240" w:lineRule="auto"/>
        <w:rPr>
          <w:rFonts w:ascii="Verdana" w:hAnsi="Verdana"/>
          <w:sz w:val="18"/>
          <w:szCs w:val="18"/>
        </w:rPr>
      </w:pPr>
      <w:r>
        <w:rPr>
          <w:rFonts w:ascii="Verdana" w:hAnsi="Verdana"/>
          <w:sz w:val="18"/>
        </w:rPr>
        <w:t xml:space="preserve">À la lumière du prochain livre blanc de la Commission sur l’avenir de l’UE, et notamment sur celui de l’UEM, le CESE entend faire avancer la discussion engagée aujourd’hui. Dans un premier temps, sa </w:t>
      </w:r>
      <w:r>
        <w:rPr>
          <w:rFonts w:ascii="Verdana" w:hAnsi="Verdana"/>
          <w:sz w:val="18"/>
        </w:rPr>
        <w:lastRenderedPageBreak/>
        <w:t>section économique organisera, le 2 février</w:t>
      </w:r>
      <w:r w:rsidR="002A0BBD">
        <w:rPr>
          <w:rFonts w:ascii="Verdana" w:hAnsi="Verdana"/>
          <w:sz w:val="18"/>
        </w:rPr>
        <w:t> </w:t>
      </w:r>
      <w:r>
        <w:rPr>
          <w:rFonts w:ascii="Verdana" w:hAnsi="Verdana"/>
          <w:sz w:val="18"/>
        </w:rPr>
        <w:t xml:space="preserve">2017, un </w:t>
      </w:r>
      <w:r>
        <w:rPr>
          <w:rFonts w:ascii="Verdana" w:hAnsi="Verdana"/>
          <w:b/>
          <w:sz w:val="18"/>
        </w:rPr>
        <w:t>débat public sur le thème «</w:t>
      </w:r>
      <w:hyperlink r:id="rId16">
        <w:r>
          <w:rPr>
            <w:rStyle w:val="Hyperlink"/>
            <w:rFonts w:ascii="Verdana" w:hAnsi="Verdana"/>
            <w:b/>
            <w:i/>
            <w:sz w:val="18"/>
          </w:rPr>
          <w:t>Quel avenir pour l’euro? Menaces et opportunités pour la deuxième étape de l’approfondissement de l’UEM</w:t>
        </w:r>
      </w:hyperlink>
      <w:r>
        <w:rPr>
          <w:rFonts w:ascii="Verdana" w:hAnsi="Verdana"/>
          <w:sz w:val="18"/>
        </w:rPr>
        <w:t>».</w:t>
      </w:r>
    </w:p>
    <w:p w:rsidR="00F3253A" w:rsidRDefault="00F3253A" w:rsidP="00A8469C">
      <w:pPr>
        <w:overflowPunct/>
        <w:spacing w:line="240" w:lineRule="auto"/>
        <w:jc w:val="left"/>
        <w:textAlignment w:val="auto"/>
        <w:rPr>
          <w:rFonts w:ascii="Verdana" w:hAnsi="Verdana" w:cs="MyriadPro-SemiCnIt"/>
          <w:b/>
          <w:iCs/>
          <w:color w:val="000000"/>
          <w:sz w:val="18"/>
          <w:szCs w:val="18"/>
        </w:rPr>
      </w:pPr>
    </w:p>
    <w:p w:rsidR="00584A13" w:rsidRDefault="002A58A5" w:rsidP="00A8469C">
      <w:pPr>
        <w:keepNext/>
        <w:overflowPunct/>
        <w:spacing w:line="240" w:lineRule="auto"/>
        <w:jc w:val="left"/>
        <w:textAlignment w:val="auto"/>
        <w:rPr>
          <w:rFonts w:ascii="Verdana" w:hAnsi="Verdana" w:cs="MyriadPro-SemiCnIt"/>
          <w:iCs/>
          <w:color w:val="000000"/>
          <w:sz w:val="18"/>
          <w:szCs w:val="18"/>
        </w:rPr>
      </w:pPr>
      <w:r>
        <w:rPr>
          <w:rFonts w:ascii="Verdana" w:hAnsi="Verdana"/>
          <w:color w:val="000000"/>
          <w:sz w:val="18"/>
        </w:rPr>
        <w:t>Avis du CESE sur le sujet:</w:t>
      </w:r>
    </w:p>
    <w:p w:rsidR="00FF156C" w:rsidRDefault="00FF156C" w:rsidP="00A8469C">
      <w:pPr>
        <w:keepNext/>
        <w:overflowPunct/>
        <w:spacing w:line="240" w:lineRule="auto"/>
        <w:jc w:val="left"/>
        <w:textAlignment w:val="auto"/>
        <w:rPr>
          <w:rFonts w:ascii="Verdana" w:hAnsi="Verdana" w:cs="MyriadPro-SemiCnIt"/>
          <w:iCs/>
          <w:color w:val="000000"/>
          <w:sz w:val="18"/>
          <w:szCs w:val="18"/>
        </w:rPr>
      </w:pPr>
    </w:p>
    <w:p w:rsidR="004B1585" w:rsidRPr="005D73C0" w:rsidRDefault="003B0FB7" w:rsidP="00A8469C">
      <w:pPr>
        <w:pStyle w:val="ListParagraph"/>
        <w:numPr>
          <w:ilvl w:val="0"/>
          <w:numId w:val="15"/>
        </w:numPr>
        <w:ind w:left="0" w:firstLine="0"/>
        <w:rPr>
          <w:rFonts w:ascii="Verdana" w:hAnsi="Verdana" w:cs="MyriadPro-SemiCnIt"/>
          <w:iCs/>
          <w:color w:val="000000"/>
          <w:sz w:val="18"/>
          <w:szCs w:val="18"/>
        </w:rPr>
      </w:pPr>
      <w:hyperlink r:id="rId17">
        <w:r w:rsidR="009114FF">
          <w:rPr>
            <w:rStyle w:val="Hyperlink"/>
            <w:rFonts w:ascii="Verdana" w:hAnsi="Verdana"/>
            <w:sz w:val="18"/>
          </w:rPr>
          <w:t>Achever l’Union économique et monétaire ‒ Les propositions du Comité économique et social européen pour la prochaine législature européenne</w:t>
        </w:r>
      </w:hyperlink>
    </w:p>
    <w:p w:rsidR="00BC6C07" w:rsidRPr="005D73C0" w:rsidRDefault="003B0FB7" w:rsidP="00A8469C">
      <w:pPr>
        <w:pStyle w:val="ListParagraph"/>
        <w:numPr>
          <w:ilvl w:val="0"/>
          <w:numId w:val="15"/>
        </w:numPr>
        <w:ind w:left="0" w:firstLine="0"/>
        <w:rPr>
          <w:rStyle w:val="Strong"/>
          <w:rFonts w:ascii="Verdana" w:hAnsi="Verdana"/>
          <w:b w:val="0"/>
          <w:sz w:val="18"/>
          <w:szCs w:val="18"/>
        </w:rPr>
      </w:pPr>
      <w:hyperlink r:id="rId18">
        <w:r w:rsidR="009114FF">
          <w:rPr>
            <w:rStyle w:val="Hyperlink"/>
            <w:rFonts w:ascii="Verdana" w:hAnsi="Verdana"/>
            <w:sz w:val="18"/>
          </w:rPr>
          <w:t>Achever l’Union économique et monétaire – le rôle de la politique fiscale</w:t>
        </w:r>
      </w:hyperlink>
    </w:p>
    <w:p w:rsidR="00B345B6" w:rsidRPr="005D73C0" w:rsidRDefault="003B0FB7" w:rsidP="00A8469C">
      <w:pPr>
        <w:pStyle w:val="ListParagraph"/>
        <w:numPr>
          <w:ilvl w:val="0"/>
          <w:numId w:val="15"/>
        </w:numPr>
        <w:ind w:left="0" w:firstLine="0"/>
        <w:rPr>
          <w:rFonts w:ascii="Verdana" w:hAnsi="Verdana" w:cs="MyriadPro-SemiCnIt"/>
          <w:iCs/>
          <w:color w:val="000000"/>
          <w:sz w:val="18"/>
          <w:szCs w:val="18"/>
        </w:rPr>
      </w:pPr>
      <w:hyperlink r:id="rId19">
        <w:r w:rsidR="009114FF">
          <w:rPr>
            <w:rStyle w:val="Hyperlink"/>
            <w:rFonts w:ascii="Verdana" w:hAnsi="Verdana"/>
            <w:sz w:val="18"/>
          </w:rPr>
          <w:t>Achever l’UEM: le pilier politique</w:t>
        </w:r>
      </w:hyperlink>
    </w:p>
    <w:p w:rsidR="00BC6C07" w:rsidRPr="005D73C0" w:rsidRDefault="003B0FB7" w:rsidP="00A8469C">
      <w:pPr>
        <w:pStyle w:val="ListParagraph"/>
        <w:numPr>
          <w:ilvl w:val="0"/>
          <w:numId w:val="15"/>
        </w:numPr>
        <w:ind w:left="0" w:firstLine="0"/>
        <w:rPr>
          <w:rStyle w:val="Strong"/>
          <w:rFonts w:ascii="Verdana" w:hAnsi="Verdana"/>
          <w:b w:val="0"/>
          <w:sz w:val="18"/>
          <w:szCs w:val="18"/>
        </w:rPr>
      </w:pPr>
      <w:hyperlink r:id="rId20">
        <w:r w:rsidR="009114FF">
          <w:rPr>
            <w:rStyle w:val="Hyperlink"/>
            <w:rFonts w:ascii="Verdana" w:hAnsi="Verdana"/>
            <w:sz w:val="18"/>
          </w:rPr>
          <w:t>Le recours à la méthode communautaire pour rendre l’UEM démocratique et sociale</w:t>
        </w:r>
      </w:hyperlink>
    </w:p>
    <w:p w:rsidR="006C442D" w:rsidRPr="005D73C0" w:rsidRDefault="003B0FB7" w:rsidP="00A8469C">
      <w:pPr>
        <w:pStyle w:val="ListParagraph"/>
        <w:numPr>
          <w:ilvl w:val="0"/>
          <w:numId w:val="15"/>
        </w:numPr>
        <w:ind w:left="0" w:firstLine="0"/>
        <w:rPr>
          <w:rFonts w:ascii="Verdana" w:hAnsi="Verdana"/>
          <w:bCs/>
          <w:sz w:val="18"/>
          <w:szCs w:val="18"/>
        </w:rPr>
      </w:pPr>
      <w:hyperlink r:id="rId21">
        <w:r w:rsidR="009114FF">
          <w:rPr>
            <w:rStyle w:val="Hyperlink"/>
            <w:rFonts w:ascii="Verdana" w:hAnsi="Verdana"/>
            <w:sz w:val="18"/>
          </w:rPr>
          <w:t>Réexamen de la gouvernance économique</w:t>
        </w:r>
      </w:hyperlink>
    </w:p>
    <w:p w:rsidR="00BC6C07" w:rsidRPr="005D73C0" w:rsidRDefault="003B0FB7" w:rsidP="00A8469C">
      <w:pPr>
        <w:pStyle w:val="ListParagraph"/>
        <w:numPr>
          <w:ilvl w:val="0"/>
          <w:numId w:val="15"/>
        </w:numPr>
        <w:ind w:left="0" w:firstLine="0"/>
        <w:rPr>
          <w:rStyle w:val="Strong"/>
          <w:rFonts w:ascii="Verdana" w:hAnsi="Verdana"/>
          <w:b w:val="0"/>
          <w:sz w:val="18"/>
          <w:szCs w:val="18"/>
        </w:rPr>
      </w:pPr>
      <w:hyperlink r:id="rId22">
        <w:r w:rsidR="009114FF">
          <w:rPr>
            <w:rStyle w:val="Hyperlink"/>
            <w:rFonts w:ascii="Verdana" w:hAnsi="Verdana"/>
            <w:sz w:val="18"/>
          </w:rPr>
          <w:t>Mesures à prendre pour compléter l’Union économique et monétaire</w:t>
        </w:r>
      </w:hyperlink>
    </w:p>
    <w:p w:rsidR="00BA32F5" w:rsidRDefault="00BA32F5" w:rsidP="00A8469C">
      <w:pPr>
        <w:spacing w:line="240" w:lineRule="auto"/>
        <w:jc w:val="center"/>
        <w:rPr>
          <w:rFonts w:ascii="Verdana" w:hAnsi="Verdana"/>
          <w:b/>
          <w:sz w:val="17"/>
          <w:szCs w:val="17"/>
        </w:rPr>
      </w:pPr>
    </w:p>
    <w:p w:rsidR="00584A13" w:rsidRDefault="00584A13" w:rsidP="00A8469C">
      <w:pPr>
        <w:spacing w:line="240" w:lineRule="auto"/>
        <w:jc w:val="center"/>
        <w:rPr>
          <w:rFonts w:ascii="Verdana" w:hAnsi="Verdana"/>
          <w:b/>
          <w:sz w:val="17"/>
          <w:szCs w:val="17"/>
        </w:rPr>
      </w:pPr>
    </w:p>
    <w:p w:rsidR="00325F72" w:rsidRPr="008B0CFE" w:rsidRDefault="00B33867" w:rsidP="00A8469C">
      <w:pPr>
        <w:spacing w:line="240" w:lineRule="auto"/>
        <w:jc w:val="center"/>
        <w:rPr>
          <w:rFonts w:ascii="Verdana" w:hAnsi="Verdana"/>
          <w:b/>
          <w:sz w:val="17"/>
          <w:szCs w:val="17"/>
        </w:rPr>
      </w:pPr>
      <w:r>
        <w:rPr>
          <w:rFonts w:ascii="Verdana" w:hAnsi="Verdana"/>
          <w:b/>
          <w:sz w:val="17"/>
        </w:rPr>
        <w:t xml:space="preserve">Pour de plus amples informations, veuillez contacter: </w:t>
      </w:r>
    </w:p>
    <w:p w:rsidR="00B33867" w:rsidRPr="008B0CFE" w:rsidRDefault="00204782" w:rsidP="00A8469C">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Milen Minchev, service de presse du CESE</w:t>
      </w:r>
    </w:p>
    <w:p w:rsidR="00B33867" w:rsidRPr="008B0CFE" w:rsidRDefault="00B33867" w:rsidP="00A8469C">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Courrier électronique:</w:t>
      </w:r>
      <w:r>
        <w:t xml:space="preserve"> </w:t>
      </w:r>
      <w:hyperlink r:id="rId23">
        <w:r>
          <w:rPr>
            <w:rStyle w:val="Hyperlink"/>
            <w:rFonts w:ascii="Verdana" w:hAnsi="Verdana"/>
            <w:sz w:val="18"/>
          </w:rPr>
          <w:t>press@eesc.europa.eu</w:t>
        </w:r>
      </w:hyperlink>
    </w:p>
    <w:p w:rsidR="002C5CBB" w:rsidRPr="008B0CFE" w:rsidRDefault="00822FAC" w:rsidP="00A8469C">
      <w:pPr>
        <w:spacing w:line="240" w:lineRule="auto"/>
        <w:jc w:val="center"/>
        <w:rPr>
          <w:rFonts w:ascii="Verdana" w:eastAsia="PMingLiU" w:hAnsi="Verdana"/>
          <w:sz w:val="16"/>
          <w:szCs w:val="16"/>
        </w:rPr>
      </w:pPr>
      <w:r>
        <w:rPr>
          <w:rFonts w:ascii="Verdana" w:hAnsi="Verdana"/>
          <w:sz w:val="16"/>
        </w:rPr>
        <w:t xml:space="preserve">Tél. +32 25468753 </w:t>
      </w:r>
    </w:p>
    <w:p w:rsidR="00325F72" w:rsidRPr="00D370BF" w:rsidRDefault="00325F72" w:rsidP="00A8469C">
      <w:pPr>
        <w:spacing w:line="240" w:lineRule="auto"/>
        <w:jc w:val="center"/>
        <w:rPr>
          <w:rFonts w:ascii="Verdana" w:eastAsia="PMingLiU" w:hAnsi="Verdana"/>
          <w:sz w:val="20"/>
        </w:rPr>
      </w:pPr>
    </w:p>
    <w:p w:rsidR="00584A13" w:rsidRDefault="00CE439D" w:rsidP="00A8469C">
      <w:pPr>
        <w:pBdr>
          <w:top w:val="single" w:sz="4" w:space="1" w:color="auto"/>
          <w:bottom w:val="single" w:sz="4" w:space="1" w:color="auto"/>
        </w:pBdr>
        <w:spacing w:line="240" w:lineRule="auto"/>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D045D1" w:rsidRPr="008B0CFE" w:rsidRDefault="00D045D1" w:rsidP="00A8469C">
      <w:pPr>
        <w:pStyle w:val="HBtext"/>
        <w:tabs>
          <w:tab w:val="left" w:pos="114"/>
        </w:tabs>
        <w:rPr>
          <w:rFonts w:ascii="Verdana" w:hAnsi="Verdana"/>
        </w:rPr>
      </w:pPr>
    </w:p>
    <w:sectPr w:rsidR="00D045D1" w:rsidRPr="008B0CFE" w:rsidSect="003B0FB7">
      <w:type w:val="continuous"/>
      <w:pgSz w:w="11907" w:h="16839" w:code="9"/>
      <w:pgMar w:top="2126" w:right="1134" w:bottom="1418" w:left="1276" w:header="3062" w:footer="2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D5" w:rsidRDefault="004B71D5">
      <w:r>
        <w:separator/>
      </w:r>
    </w:p>
  </w:endnote>
  <w:endnote w:type="continuationSeparator" w:id="0">
    <w:p w:rsidR="004B71D5" w:rsidRDefault="004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SemiCnI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D6" w:rsidRPr="0004715C" w:rsidRDefault="006400D6" w:rsidP="006400D6">
    <w:pPr>
      <w:spacing w:line="240" w:lineRule="auto"/>
      <w:jc w:val="center"/>
      <w:rPr>
        <w:rFonts w:ascii="Verdana" w:hAnsi="Verdana"/>
        <w:sz w:val="16"/>
        <w:szCs w:val="16"/>
      </w:rPr>
    </w:pPr>
    <w:r>
      <w:rPr>
        <w:rFonts w:ascii="Verdana" w:hAnsi="Verdana"/>
        <w:sz w:val="16"/>
      </w:rPr>
      <w:t>Rue Belliard 99 – 1040 Bruxelles – BELGIQUE</w:t>
    </w:r>
  </w:p>
  <w:p w:rsidR="006400D6" w:rsidRPr="0004715C" w:rsidRDefault="006400D6" w:rsidP="006400D6">
    <w:pPr>
      <w:spacing w:line="240" w:lineRule="auto"/>
      <w:jc w:val="center"/>
      <w:rPr>
        <w:rFonts w:ascii="Verdana" w:hAnsi="Verdana"/>
        <w:sz w:val="16"/>
        <w:szCs w:val="16"/>
      </w:rPr>
    </w:pPr>
    <w:r>
      <w:rPr>
        <w:rFonts w:ascii="Verdana" w:hAnsi="Verdana"/>
        <w:sz w:val="16"/>
      </w:rPr>
      <w:t>Tél. +32 25469406 – Fax +32 25469764</w:t>
    </w:r>
  </w:p>
  <w:p w:rsidR="006400D6" w:rsidRDefault="006400D6" w:rsidP="006400D6">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6400D6" w:rsidP="006400D6">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3ED3A4EF" wp14:editId="586B3CA4">
          <wp:extent cx="222250" cy="222250"/>
          <wp:effectExtent l="0" t="0" r="6350" b="6350"/>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250234EC" wp14:editId="60B5174D">
          <wp:extent cx="222250" cy="222250"/>
          <wp:effectExtent l="0" t="0" r="6350" b="6350"/>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1E4BCF73" wp14:editId="5D622686">
          <wp:extent cx="222250" cy="222250"/>
          <wp:effectExtent l="0" t="0" r="6350" b="6350"/>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D5" w:rsidRDefault="004B71D5">
      <w:r>
        <w:separator/>
      </w:r>
    </w:p>
  </w:footnote>
  <w:footnote w:type="continuationSeparator" w:id="0">
    <w:p w:rsidR="004B71D5" w:rsidRDefault="004B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45A29"/>
    <w:multiLevelType w:val="hybridMultilevel"/>
    <w:tmpl w:val="292E1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2"/>
  </w:num>
  <w:num w:numId="8">
    <w:abstractNumId w:val="14"/>
  </w:num>
  <w:num w:numId="9">
    <w:abstractNumId w:val="13"/>
  </w:num>
  <w:num w:numId="10">
    <w:abstractNumId w:val="11"/>
  </w:num>
  <w:num w:numId="11">
    <w:abstractNumId w:val="12"/>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08A9"/>
    <w:rsid w:val="00032159"/>
    <w:rsid w:val="0003364B"/>
    <w:rsid w:val="0003423E"/>
    <w:rsid w:val="00034390"/>
    <w:rsid w:val="00034652"/>
    <w:rsid w:val="00034AD4"/>
    <w:rsid w:val="00040483"/>
    <w:rsid w:val="0004647E"/>
    <w:rsid w:val="0004715C"/>
    <w:rsid w:val="00052678"/>
    <w:rsid w:val="00060A4A"/>
    <w:rsid w:val="00064EF7"/>
    <w:rsid w:val="00064F28"/>
    <w:rsid w:val="00066E4E"/>
    <w:rsid w:val="00067F21"/>
    <w:rsid w:val="00070AF6"/>
    <w:rsid w:val="00071FC9"/>
    <w:rsid w:val="00072E02"/>
    <w:rsid w:val="00073F61"/>
    <w:rsid w:val="00077FE9"/>
    <w:rsid w:val="000830E1"/>
    <w:rsid w:val="00084AD6"/>
    <w:rsid w:val="00086050"/>
    <w:rsid w:val="000879CA"/>
    <w:rsid w:val="00096D30"/>
    <w:rsid w:val="000A036F"/>
    <w:rsid w:val="000A270E"/>
    <w:rsid w:val="000D5B36"/>
    <w:rsid w:val="000E05AC"/>
    <w:rsid w:val="000E4FCE"/>
    <w:rsid w:val="000E7175"/>
    <w:rsid w:val="000F5238"/>
    <w:rsid w:val="000F56F6"/>
    <w:rsid w:val="00104DFA"/>
    <w:rsid w:val="00111E4B"/>
    <w:rsid w:val="001162E1"/>
    <w:rsid w:val="00127046"/>
    <w:rsid w:val="0013137C"/>
    <w:rsid w:val="00134081"/>
    <w:rsid w:val="00140B6A"/>
    <w:rsid w:val="0014123B"/>
    <w:rsid w:val="00142677"/>
    <w:rsid w:val="00150E62"/>
    <w:rsid w:val="00161E2C"/>
    <w:rsid w:val="00166961"/>
    <w:rsid w:val="0017165C"/>
    <w:rsid w:val="001719C4"/>
    <w:rsid w:val="00173E40"/>
    <w:rsid w:val="00175643"/>
    <w:rsid w:val="00175E42"/>
    <w:rsid w:val="00184EF0"/>
    <w:rsid w:val="00184FF0"/>
    <w:rsid w:val="0018613F"/>
    <w:rsid w:val="0018794E"/>
    <w:rsid w:val="001A325E"/>
    <w:rsid w:val="001A39A4"/>
    <w:rsid w:val="001B5975"/>
    <w:rsid w:val="001B78F8"/>
    <w:rsid w:val="001C0AA9"/>
    <w:rsid w:val="001C346C"/>
    <w:rsid w:val="001D48D4"/>
    <w:rsid w:val="001D742E"/>
    <w:rsid w:val="001E0762"/>
    <w:rsid w:val="001E1EEB"/>
    <w:rsid w:val="001E6444"/>
    <w:rsid w:val="00203251"/>
    <w:rsid w:val="0020436C"/>
    <w:rsid w:val="00204782"/>
    <w:rsid w:val="0020739D"/>
    <w:rsid w:val="0022628B"/>
    <w:rsid w:val="00227A31"/>
    <w:rsid w:val="0023316F"/>
    <w:rsid w:val="00241A1A"/>
    <w:rsid w:val="00244B53"/>
    <w:rsid w:val="0024520B"/>
    <w:rsid w:val="00252D25"/>
    <w:rsid w:val="002562CD"/>
    <w:rsid w:val="00261278"/>
    <w:rsid w:val="00262E25"/>
    <w:rsid w:val="00273102"/>
    <w:rsid w:val="002734F3"/>
    <w:rsid w:val="00283BAD"/>
    <w:rsid w:val="00285B31"/>
    <w:rsid w:val="002866DC"/>
    <w:rsid w:val="002A0BBD"/>
    <w:rsid w:val="002A2433"/>
    <w:rsid w:val="002A58A5"/>
    <w:rsid w:val="002B04A8"/>
    <w:rsid w:val="002B6234"/>
    <w:rsid w:val="002C5CBB"/>
    <w:rsid w:val="002C7B17"/>
    <w:rsid w:val="002D08ED"/>
    <w:rsid w:val="002D6898"/>
    <w:rsid w:val="002D7A8C"/>
    <w:rsid w:val="002E14FC"/>
    <w:rsid w:val="002E1924"/>
    <w:rsid w:val="002E3BD1"/>
    <w:rsid w:val="002E7189"/>
    <w:rsid w:val="002F0859"/>
    <w:rsid w:val="002F1FC2"/>
    <w:rsid w:val="002F3534"/>
    <w:rsid w:val="002F7233"/>
    <w:rsid w:val="00304E7A"/>
    <w:rsid w:val="003054B2"/>
    <w:rsid w:val="00306E88"/>
    <w:rsid w:val="003148CD"/>
    <w:rsid w:val="00324983"/>
    <w:rsid w:val="00325F72"/>
    <w:rsid w:val="003305C3"/>
    <w:rsid w:val="00330BF8"/>
    <w:rsid w:val="003327CC"/>
    <w:rsid w:val="00335A37"/>
    <w:rsid w:val="00337F0A"/>
    <w:rsid w:val="00345D54"/>
    <w:rsid w:val="0034795E"/>
    <w:rsid w:val="00357AFF"/>
    <w:rsid w:val="00364ED2"/>
    <w:rsid w:val="00365D48"/>
    <w:rsid w:val="00370239"/>
    <w:rsid w:val="00374C88"/>
    <w:rsid w:val="00376637"/>
    <w:rsid w:val="00386F1F"/>
    <w:rsid w:val="00392CB8"/>
    <w:rsid w:val="00394D81"/>
    <w:rsid w:val="003A43CC"/>
    <w:rsid w:val="003B0FB7"/>
    <w:rsid w:val="003B2616"/>
    <w:rsid w:val="003B62F4"/>
    <w:rsid w:val="003B714A"/>
    <w:rsid w:val="003B74A0"/>
    <w:rsid w:val="003C21F5"/>
    <w:rsid w:val="003C7BF9"/>
    <w:rsid w:val="003C7DB8"/>
    <w:rsid w:val="003D2255"/>
    <w:rsid w:val="003E380B"/>
    <w:rsid w:val="003F32EA"/>
    <w:rsid w:val="003F5C5E"/>
    <w:rsid w:val="003F7FC2"/>
    <w:rsid w:val="0040099B"/>
    <w:rsid w:val="00402807"/>
    <w:rsid w:val="00404BFF"/>
    <w:rsid w:val="00411EBD"/>
    <w:rsid w:val="00413322"/>
    <w:rsid w:val="00414A53"/>
    <w:rsid w:val="00415811"/>
    <w:rsid w:val="004161B8"/>
    <w:rsid w:val="004258C4"/>
    <w:rsid w:val="00430A45"/>
    <w:rsid w:val="004443A5"/>
    <w:rsid w:val="00444AA6"/>
    <w:rsid w:val="00445F73"/>
    <w:rsid w:val="0045424F"/>
    <w:rsid w:val="00455119"/>
    <w:rsid w:val="004605FD"/>
    <w:rsid w:val="00470B59"/>
    <w:rsid w:val="00473B13"/>
    <w:rsid w:val="00473E94"/>
    <w:rsid w:val="00474419"/>
    <w:rsid w:val="00484B8C"/>
    <w:rsid w:val="00491A12"/>
    <w:rsid w:val="00492D0F"/>
    <w:rsid w:val="00494BBC"/>
    <w:rsid w:val="004969A2"/>
    <w:rsid w:val="004A2799"/>
    <w:rsid w:val="004A578B"/>
    <w:rsid w:val="004B06BA"/>
    <w:rsid w:val="004B1585"/>
    <w:rsid w:val="004B71D5"/>
    <w:rsid w:val="004C44EE"/>
    <w:rsid w:val="004D47BD"/>
    <w:rsid w:val="004E0E3E"/>
    <w:rsid w:val="004E1858"/>
    <w:rsid w:val="004E3F9E"/>
    <w:rsid w:val="004E5000"/>
    <w:rsid w:val="004E546A"/>
    <w:rsid w:val="004F3E26"/>
    <w:rsid w:val="004F4806"/>
    <w:rsid w:val="0050638B"/>
    <w:rsid w:val="005070FA"/>
    <w:rsid w:val="00510A96"/>
    <w:rsid w:val="0051307D"/>
    <w:rsid w:val="005130D0"/>
    <w:rsid w:val="005134D3"/>
    <w:rsid w:val="00521032"/>
    <w:rsid w:val="00524C7E"/>
    <w:rsid w:val="00524C9A"/>
    <w:rsid w:val="00524EE4"/>
    <w:rsid w:val="005269FE"/>
    <w:rsid w:val="005270ED"/>
    <w:rsid w:val="005404F4"/>
    <w:rsid w:val="005407F1"/>
    <w:rsid w:val="0055179E"/>
    <w:rsid w:val="0055255F"/>
    <w:rsid w:val="0055294F"/>
    <w:rsid w:val="00553B5B"/>
    <w:rsid w:val="00553E7C"/>
    <w:rsid w:val="005549A1"/>
    <w:rsid w:val="00555E82"/>
    <w:rsid w:val="00556CD0"/>
    <w:rsid w:val="005573E1"/>
    <w:rsid w:val="00561372"/>
    <w:rsid w:val="0056215A"/>
    <w:rsid w:val="005658B4"/>
    <w:rsid w:val="00566869"/>
    <w:rsid w:val="00567F52"/>
    <w:rsid w:val="0057033F"/>
    <w:rsid w:val="00572C40"/>
    <w:rsid w:val="00575DF5"/>
    <w:rsid w:val="00584A13"/>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D73C0"/>
    <w:rsid w:val="005E1BBF"/>
    <w:rsid w:val="005E43E1"/>
    <w:rsid w:val="005E4EA0"/>
    <w:rsid w:val="005F42C5"/>
    <w:rsid w:val="00604FB8"/>
    <w:rsid w:val="0060528C"/>
    <w:rsid w:val="0060771D"/>
    <w:rsid w:val="006105A8"/>
    <w:rsid w:val="006143C2"/>
    <w:rsid w:val="006148A6"/>
    <w:rsid w:val="006171F3"/>
    <w:rsid w:val="00622AAB"/>
    <w:rsid w:val="00626C38"/>
    <w:rsid w:val="00626FEC"/>
    <w:rsid w:val="00627902"/>
    <w:rsid w:val="00632A33"/>
    <w:rsid w:val="00635A3E"/>
    <w:rsid w:val="00636876"/>
    <w:rsid w:val="006371D8"/>
    <w:rsid w:val="00637A99"/>
    <w:rsid w:val="006400D6"/>
    <w:rsid w:val="006438C3"/>
    <w:rsid w:val="00643B5F"/>
    <w:rsid w:val="00643B6D"/>
    <w:rsid w:val="00647E74"/>
    <w:rsid w:val="00650F45"/>
    <w:rsid w:val="00661B63"/>
    <w:rsid w:val="00662EE3"/>
    <w:rsid w:val="00663F9C"/>
    <w:rsid w:val="00664630"/>
    <w:rsid w:val="006722B1"/>
    <w:rsid w:val="006849A9"/>
    <w:rsid w:val="00686EC2"/>
    <w:rsid w:val="006A5D2C"/>
    <w:rsid w:val="006A7CB6"/>
    <w:rsid w:val="006C07A6"/>
    <w:rsid w:val="006C10F6"/>
    <w:rsid w:val="006C15A4"/>
    <w:rsid w:val="006C442D"/>
    <w:rsid w:val="006C74E5"/>
    <w:rsid w:val="006D0D46"/>
    <w:rsid w:val="006D2EDD"/>
    <w:rsid w:val="006D2F3C"/>
    <w:rsid w:val="006D6889"/>
    <w:rsid w:val="006D7231"/>
    <w:rsid w:val="006E089C"/>
    <w:rsid w:val="006E1765"/>
    <w:rsid w:val="006E40E3"/>
    <w:rsid w:val="007012FE"/>
    <w:rsid w:val="007020FE"/>
    <w:rsid w:val="0071010B"/>
    <w:rsid w:val="00712EA3"/>
    <w:rsid w:val="00714F5F"/>
    <w:rsid w:val="0071617F"/>
    <w:rsid w:val="00725FEE"/>
    <w:rsid w:val="00726590"/>
    <w:rsid w:val="00730772"/>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53B2"/>
    <w:rsid w:val="0079639D"/>
    <w:rsid w:val="007965B7"/>
    <w:rsid w:val="007A036E"/>
    <w:rsid w:val="007A1010"/>
    <w:rsid w:val="007A28F9"/>
    <w:rsid w:val="007A5486"/>
    <w:rsid w:val="007B177E"/>
    <w:rsid w:val="007B245C"/>
    <w:rsid w:val="007C07B7"/>
    <w:rsid w:val="007C1DDE"/>
    <w:rsid w:val="007C4417"/>
    <w:rsid w:val="007D21F2"/>
    <w:rsid w:val="007D708F"/>
    <w:rsid w:val="007E21A6"/>
    <w:rsid w:val="007E636E"/>
    <w:rsid w:val="007E645B"/>
    <w:rsid w:val="007F0D33"/>
    <w:rsid w:val="007F36B6"/>
    <w:rsid w:val="007F385B"/>
    <w:rsid w:val="007F5085"/>
    <w:rsid w:val="007F647B"/>
    <w:rsid w:val="00804624"/>
    <w:rsid w:val="00811FCE"/>
    <w:rsid w:val="00814120"/>
    <w:rsid w:val="00820647"/>
    <w:rsid w:val="00822FAC"/>
    <w:rsid w:val="00825E10"/>
    <w:rsid w:val="00831D12"/>
    <w:rsid w:val="008331BA"/>
    <w:rsid w:val="008408FC"/>
    <w:rsid w:val="0085464F"/>
    <w:rsid w:val="00862C04"/>
    <w:rsid w:val="00864B9E"/>
    <w:rsid w:val="0087205A"/>
    <w:rsid w:val="008820BE"/>
    <w:rsid w:val="00892AC3"/>
    <w:rsid w:val="008A05AA"/>
    <w:rsid w:val="008A0E9A"/>
    <w:rsid w:val="008A7BC8"/>
    <w:rsid w:val="008B0CFE"/>
    <w:rsid w:val="008B7D29"/>
    <w:rsid w:val="008C3D7F"/>
    <w:rsid w:val="008C573E"/>
    <w:rsid w:val="008C6814"/>
    <w:rsid w:val="008C705E"/>
    <w:rsid w:val="008D3853"/>
    <w:rsid w:val="008D45B3"/>
    <w:rsid w:val="008D58F4"/>
    <w:rsid w:val="008E5B09"/>
    <w:rsid w:val="0091006B"/>
    <w:rsid w:val="00910EE7"/>
    <w:rsid w:val="009114FF"/>
    <w:rsid w:val="00915ECE"/>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A00B19"/>
    <w:rsid w:val="00A022FA"/>
    <w:rsid w:val="00A07247"/>
    <w:rsid w:val="00A12EC1"/>
    <w:rsid w:val="00A14889"/>
    <w:rsid w:val="00A20856"/>
    <w:rsid w:val="00A21AF7"/>
    <w:rsid w:val="00A2503A"/>
    <w:rsid w:val="00A25F09"/>
    <w:rsid w:val="00A30C79"/>
    <w:rsid w:val="00A43C12"/>
    <w:rsid w:val="00A463F8"/>
    <w:rsid w:val="00A618B2"/>
    <w:rsid w:val="00A700CA"/>
    <w:rsid w:val="00A70831"/>
    <w:rsid w:val="00A72EC9"/>
    <w:rsid w:val="00A75B47"/>
    <w:rsid w:val="00A801B4"/>
    <w:rsid w:val="00A8313A"/>
    <w:rsid w:val="00A8469C"/>
    <w:rsid w:val="00A866CB"/>
    <w:rsid w:val="00A9124D"/>
    <w:rsid w:val="00A9228A"/>
    <w:rsid w:val="00A92D95"/>
    <w:rsid w:val="00A94C10"/>
    <w:rsid w:val="00A959B3"/>
    <w:rsid w:val="00AA0C32"/>
    <w:rsid w:val="00AA3EB7"/>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6C8E"/>
    <w:rsid w:val="00B16F64"/>
    <w:rsid w:val="00B172A0"/>
    <w:rsid w:val="00B209A9"/>
    <w:rsid w:val="00B228BB"/>
    <w:rsid w:val="00B239E2"/>
    <w:rsid w:val="00B31D91"/>
    <w:rsid w:val="00B33636"/>
    <w:rsid w:val="00B33867"/>
    <w:rsid w:val="00B345B6"/>
    <w:rsid w:val="00B403EA"/>
    <w:rsid w:val="00B43F58"/>
    <w:rsid w:val="00B56053"/>
    <w:rsid w:val="00B61F4A"/>
    <w:rsid w:val="00B70056"/>
    <w:rsid w:val="00B71203"/>
    <w:rsid w:val="00B73294"/>
    <w:rsid w:val="00B738CE"/>
    <w:rsid w:val="00B8550A"/>
    <w:rsid w:val="00B87414"/>
    <w:rsid w:val="00B87AB0"/>
    <w:rsid w:val="00B92EFA"/>
    <w:rsid w:val="00B9349D"/>
    <w:rsid w:val="00B96D77"/>
    <w:rsid w:val="00B96EB7"/>
    <w:rsid w:val="00B97CC4"/>
    <w:rsid w:val="00BA32F5"/>
    <w:rsid w:val="00BB36F5"/>
    <w:rsid w:val="00BC044C"/>
    <w:rsid w:val="00BC1747"/>
    <w:rsid w:val="00BC5495"/>
    <w:rsid w:val="00BC60C2"/>
    <w:rsid w:val="00BC6C07"/>
    <w:rsid w:val="00BE1AD1"/>
    <w:rsid w:val="00BE1DAF"/>
    <w:rsid w:val="00BF0385"/>
    <w:rsid w:val="00BF23DD"/>
    <w:rsid w:val="00BF3CA8"/>
    <w:rsid w:val="00C12A8E"/>
    <w:rsid w:val="00C139D3"/>
    <w:rsid w:val="00C242EB"/>
    <w:rsid w:val="00C36609"/>
    <w:rsid w:val="00C3679D"/>
    <w:rsid w:val="00C3736F"/>
    <w:rsid w:val="00C40A7C"/>
    <w:rsid w:val="00C56D06"/>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197"/>
    <w:rsid w:val="00CF25A1"/>
    <w:rsid w:val="00CF3A7A"/>
    <w:rsid w:val="00D000D0"/>
    <w:rsid w:val="00D045D1"/>
    <w:rsid w:val="00D04716"/>
    <w:rsid w:val="00D107B7"/>
    <w:rsid w:val="00D11FE7"/>
    <w:rsid w:val="00D12BAF"/>
    <w:rsid w:val="00D15E24"/>
    <w:rsid w:val="00D1634B"/>
    <w:rsid w:val="00D169E7"/>
    <w:rsid w:val="00D370BF"/>
    <w:rsid w:val="00D37A25"/>
    <w:rsid w:val="00D43665"/>
    <w:rsid w:val="00D513E8"/>
    <w:rsid w:val="00D54B01"/>
    <w:rsid w:val="00D6198E"/>
    <w:rsid w:val="00D72B88"/>
    <w:rsid w:val="00D73916"/>
    <w:rsid w:val="00D756D2"/>
    <w:rsid w:val="00D84E0C"/>
    <w:rsid w:val="00D8566C"/>
    <w:rsid w:val="00D93A63"/>
    <w:rsid w:val="00D93A6F"/>
    <w:rsid w:val="00D9582D"/>
    <w:rsid w:val="00D97D8E"/>
    <w:rsid w:val="00DA2B59"/>
    <w:rsid w:val="00DA363E"/>
    <w:rsid w:val="00DA396F"/>
    <w:rsid w:val="00DA4DCC"/>
    <w:rsid w:val="00DA7ACD"/>
    <w:rsid w:val="00DC0CA7"/>
    <w:rsid w:val="00DC5ECF"/>
    <w:rsid w:val="00DC66B3"/>
    <w:rsid w:val="00DE1D9B"/>
    <w:rsid w:val="00DE24B2"/>
    <w:rsid w:val="00DE332F"/>
    <w:rsid w:val="00DE62BC"/>
    <w:rsid w:val="00DF4F75"/>
    <w:rsid w:val="00E11349"/>
    <w:rsid w:val="00E17467"/>
    <w:rsid w:val="00E17CC9"/>
    <w:rsid w:val="00E2189C"/>
    <w:rsid w:val="00E278AC"/>
    <w:rsid w:val="00E318A5"/>
    <w:rsid w:val="00E32EC6"/>
    <w:rsid w:val="00E33B7A"/>
    <w:rsid w:val="00E376FE"/>
    <w:rsid w:val="00E42560"/>
    <w:rsid w:val="00E54C00"/>
    <w:rsid w:val="00E644CE"/>
    <w:rsid w:val="00E71274"/>
    <w:rsid w:val="00E87EAF"/>
    <w:rsid w:val="00EA5546"/>
    <w:rsid w:val="00EB2C8F"/>
    <w:rsid w:val="00EC04FE"/>
    <w:rsid w:val="00EC4225"/>
    <w:rsid w:val="00EC6762"/>
    <w:rsid w:val="00EC68D3"/>
    <w:rsid w:val="00EE684E"/>
    <w:rsid w:val="00EF77B2"/>
    <w:rsid w:val="00F00B46"/>
    <w:rsid w:val="00F02081"/>
    <w:rsid w:val="00F03FED"/>
    <w:rsid w:val="00F3253A"/>
    <w:rsid w:val="00F5199C"/>
    <w:rsid w:val="00F534F3"/>
    <w:rsid w:val="00F54B43"/>
    <w:rsid w:val="00F606C3"/>
    <w:rsid w:val="00F61167"/>
    <w:rsid w:val="00F66850"/>
    <w:rsid w:val="00F77DCA"/>
    <w:rsid w:val="00F80546"/>
    <w:rsid w:val="00F81042"/>
    <w:rsid w:val="00F92628"/>
    <w:rsid w:val="00F960FB"/>
    <w:rsid w:val="00F96906"/>
    <w:rsid w:val="00FA33EE"/>
    <w:rsid w:val="00FA629B"/>
    <w:rsid w:val="00FB068A"/>
    <w:rsid w:val="00FB59C4"/>
    <w:rsid w:val="00FC24F2"/>
    <w:rsid w:val="00FD7050"/>
    <w:rsid w:val="00FD7CDB"/>
    <w:rsid w:val="00FE1538"/>
    <w:rsid w:val="00FE48C1"/>
    <w:rsid w:val="00FE570C"/>
    <w:rsid w:val="00FF156C"/>
    <w:rsid w:val="00FF1B06"/>
    <w:rsid w:val="00FF1D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Heading6Char">
    <w:name w:val="Heading 6 Char"/>
    <w:basedOn w:val="DefaultParagraphFont"/>
    <w:link w:val="Heading6"/>
    <w:rsid w:val="00643B5F"/>
    <w:rPr>
      <w:sz w:val="22"/>
      <w:lang w:val="fr-FR" w:eastAsia="fr-FR"/>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shorttext">
    <w:name w:val="short_text"/>
    <w:basedOn w:val="DefaultParagraphFont"/>
    <w:rsid w:val="00D0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Heading6Char">
    <w:name w:val="Heading 6 Char"/>
    <w:basedOn w:val="DefaultParagraphFont"/>
    <w:link w:val="Heading6"/>
    <w:rsid w:val="00643B5F"/>
    <w:rPr>
      <w:sz w:val="22"/>
      <w:lang w:val="fr-FR" w:eastAsia="fr-FR"/>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shorttext">
    <w:name w:val="short_text"/>
    <w:basedOn w:val="DefaultParagraphFont"/>
    <w:rsid w:val="00D0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34363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5095869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37191661">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fr.eco-opinions&amp;itemCode=31097" TargetMode="External"/><Relationship Id="rId3" Type="http://schemas.openxmlformats.org/officeDocument/2006/relationships/customXml" Target="../customXml/item3.xml"/><Relationship Id="rId21" Type="http://schemas.openxmlformats.org/officeDocument/2006/relationships/hyperlink" Target="http://www.eesc.europa.eu/?i=portal.fr.eco-opinions&amp;itemCode=34405"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fr.eco-opinions&amp;itemCode=2930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i=portal.fr.events-and-activities-future-for-euro-programme" TargetMode="External"/><Relationship Id="rId20" Type="http://schemas.openxmlformats.org/officeDocument/2006/relationships/hyperlink" Target="http://www.eesc.europa.eu/?i=portal.fr.eco-opinions&amp;itemCode=353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ress@eesc.europa.eu?subject=Je%20d%C3%A9sire%20obtenir%20des%20informations." TargetMode="External"/><Relationship Id="rId10" Type="http://schemas.openxmlformats.org/officeDocument/2006/relationships/settings" Target="settings.xml"/><Relationship Id="rId19" Type="http://schemas.openxmlformats.org/officeDocument/2006/relationships/hyperlink" Target="http://www.eesc.europa.eu/?i=portal.fr.eco-opinions&amp;itemCode=3455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fr.eco-opinions&amp;itemCode=37234"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WTPCSN73YJ26-3-1696</_dlc_DocId>
    <_dlc_DocIdUrl xmlns="8a3471f6-0f36-4ccf-b5ee-1ca67ea797ef">
      <Url>http://dm/EESC/2017/_layouts/DocIdRedir.aspx?ID=WTPCSN73YJ26-3-1696</Url>
      <Description>WTPCSN73YJ26-3-1696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2017-01-27T12:00:00+00:00</ProductionDate>
    <DossierName_0 xmlns="http://schemas.microsoft.com/sharepoint/v3/fields">
      <Terms xmlns="http://schemas.microsoft.com/office/infopath/2007/PartnerControls"/>
    </DossierName_0>
    <FicheYear xmlns="8a3471f6-0f36-4ccf-b5ee-1ca67ea797ef">2017</FicheYear>
    <DocumentNumber xmlns="08752a15-b0a7-485d-8352-b47b34a09caa">485</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1177</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08752a15-b0a7-485d-8352-b47b34a09ca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fields"/>
    <ds:schemaRef ds:uri="http://purl.org/dc/terms/"/>
    <ds:schemaRef ds:uri="http://purl.org/dc/elements/1.1/"/>
    <ds:schemaRef ds:uri="8a3471f6-0f36-4ccf-b5ee-1ca67ea797ef"/>
    <ds:schemaRef ds:uri="08752a15-b0a7-485d-8352-b47b34a09ca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5.xml><?xml version="1.0" encoding="utf-8"?>
<ds:datastoreItem xmlns:ds="http://schemas.openxmlformats.org/officeDocument/2006/customXml" ds:itemID="{B26BD39F-8B06-401E-BD04-A2A48D2C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BABC75-8E8F-40B2-BBE8-6F30004D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819</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CP - EMU Moscovici</vt:lpstr>
    </vt:vector>
  </TitlesOfParts>
  <Company>CESE-CdR</Company>
  <LinksUpToDate>false</LinksUpToDate>
  <CharactersWithSpaces>6150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EMU Moscovici</dc:title>
  <dc:subject>Communiqué de presse</dc:subject>
  <dc:creator>Milen Minchev</dc:creator>
  <cp:keywords>EESC-2017-00485-00-00-CP-TRA-FR</cp:keywords>
  <dc:description>Rapporteur : -_x000d_
Langue originale : EN_x000d_
Date du document : 27/01/2017_x000d_
Date de la réunion : _x000d_
Documents externes : -_x000d_
Fonctionnaire responsable : Minchev Milen, téléphone : + 2 546 8753_x000d_
_x000d_
Résumé :</dc:description>
  <cp:lastModifiedBy>Milen Minchev</cp:lastModifiedBy>
  <cp:revision>2</cp:revision>
  <cp:lastPrinted>2017-01-26T12:49:00Z</cp:lastPrinted>
  <dcterms:created xsi:type="dcterms:W3CDTF">2017-01-30T09:30:00Z</dcterms:created>
  <dcterms:modified xsi:type="dcterms:W3CDTF">2017-01-30T09:30:00Z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26/01/2017, 23/11/2016</vt:lpwstr>
  </property>
  <property fmtid="{D5CDD505-2E9C-101B-9397-08002B2CF9AE}" pid="7" name="Pref_Time">
    <vt:lpwstr>17:44:54, 08:50:14</vt:lpwstr>
  </property>
  <property fmtid="{D5CDD505-2E9C-101B-9397-08002B2CF9AE}" pid="8" name="Pref_User">
    <vt:lpwstr>mreg, enied</vt:lpwstr>
  </property>
  <property fmtid="{D5CDD505-2E9C-101B-9397-08002B2CF9AE}" pid="9" name="Pref_FileName">
    <vt:lpwstr>EESC-2017-00485-00-00-CP-ORI.docx, EESC-2016-06280-00-00-CP-ORI.docx</vt:lpwstr>
  </property>
  <property fmtid="{D5CDD505-2E9C-101B-9397-08002B2CF9AE}" pid="10" name="_dlc_DocIdItemGuid">
    <vt:lpwstr>b616da24-f83c-4673-b5a3-4d04e7b80ae7</vt:lpwstr>
  </property>
  <property fmtid="{D5CDD505-2E9C-101B-9397-08002B2CF9AE}" pid="11" name="DocumentType_0">
    <vt:lpwstr>CP|de8ad211-9e8d-408b-8324-674d21bb7d18</vt:lpwstr>
  </property>
  <property fmtid="{D5CDD505-2E9C-101B-9397-08002B2CF9AE}" pid="12" name="AvailableTranslations">
    <vt:lpwstr>8;#FR|d2afafd3-4c81-4f60-8f52-ee33f2f54ff3;#4;#EN|f2175f21-25d7-44a3-96da-d6a61b075e1b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485</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57;#CP|de8ad211-9e8d-408b-8324-674d21bb7d18;#10;#EN|f2175f21-25d7-44a3-96da-d6a61b075e1b;#8;#FR|d2afafd3-4c81-4f60-8f52-ee33f2f54ff3;#6;#Final|ea5e6674-7b27-4bac-b091-73adbb394efe;#5;#Unrestricted|826e22d7-d029-4ec0-a450-0c28ff673572;#4;#EN|f2175f21-25d7-</vt:lpwstr>
  </property>
  <property fmtid="{D5CDD505-2E9C-101B-9397-08002B2CF9AE}" pid="32" name="AvailableTranslations_0">
    <vt:lpwstr>FR|d2afafd3-4c81-4f60-8f52-ee33f2f54ff3;EN|f2175f21-25d7-44a3-96da-d6a61b075e1b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1177</vt:i4>
  </property>
  <property fmtid="{D5CDD505-2E9C-101B-9397-08002B2CF9AE}" pid="36" name="DocumentYear">
    <vt:i4>2017</vt:i4>
  </property>
  <property fmtid="{D5CDD505-2E9C-101B-9397-08002B2CF9AE}" pid="37" name="DocumentLanguage">
    <vt:lpwstr>8;#FR|d2afafd3-4c81-4f60-8f52-ee33f2f54ff3</vt:lpwstr>
  </property>
  <property fmtid="{D5CDD505-2E9C-101B-9397-08002B2CF9AE}" pid="38" name="ProductionDate">
    <vt:filetime>2017-01-27T12:00:00Z</vt:filetime>
  </property>
  <property fmtid="{D5CDD505-2E9C-101B-9397-08002B2CF9AE}" pid="39" name="DocumentLanguage_0">
    <vt:lpwstr>EN|f2175f21-25d7-44a3-96da-d6a61b075e1b</vt:lpwstr>
  </property>
</Properties>
</file>