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HU</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10 ÉVES A YEYS: SZAVAZZ A JÖVŐRE!</w:t>
      </w:r>
    </w:p>
    <w:p w:rsidR="00B22ADE" w:rsidRPr="000C2BB3" w:rsidRDefault="00B22ADE" w:rsidP="00386707">
      <w:pPr>
        <w:jc w:val="center"/>
        <w:rPr>
          <w:b/>
        </w:rPr>
      </w:pPr>
    </w:p>
    <w:p w:rsidR="00B22ADE" w:rsidRPr="000C2BB3" w:rsidRDefault="00CD5E68" w:rsidP="00386707">
      <w:pPr>
        <w:jc w:val="center"/>
        <w:rPr>
          <w:b/>
        </w:rPr>
      </w:pPr>
      <w:r>
        <w:rPr>
          <w:b/>
        </w:rPr>
        <w:t>2019. március 21–22.</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MUNKADOKUMENTUM A RÉSZT VEVŐ ISKOLÁK SZÁMÁRA</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Az Európai Gazdasági és Szociális Bizottság</w:t>
      </w:r>
    </w:p>
    <w:p w:rsidR="00A811A6" w:rsidRPr="000C2BB3" w:rsidRDefault="00A811A6" w:rsidP="00A811A6">
      <w:pPr>
        <w:keepNext/>
      </w:pPr>
    </w:p>
    <w:p w:rsidR="00820DEF" w:rsidRPr="000C2BB3" w:rsidRDefault="00820DEF" w:rsidP="00891F69">
      <w:r>
        <w:t>Az Európai Gazdasági és Szociális Bizottság (EGSZB) az Európai Unió tanácsadó szerve. 1957-ben hozta létre a Római Szerződés.</w:t>
      </w:r>
    </w:p>
    <w:p w:rsidR="00820DEF" w:rsidRPr="000C2BB3" w:rsidRDefault="00820DEF" w:rsidP="00891F69"/>
    <w:p w:rsidR="00A811A6" w:rsidRPr="000C2BB3" w:rsidRDefault="0039020D" w:rsidP="00891F69">
      <w:r>
        <w:t>Az EGSZB-nek 350 tagja van, akik a 28 tagállam civil szervezeteit képviselik. A tagok három csoportot alkotnak: a Munkaadók, illetve a Munkavállalók csoportját, valamint a „Sokféleség Európája” csoportot. Az utóbbi különböző csoportok széles körét képviseli, a környezetvédőktől és gazdálkodóktól a fogyasztókon át a fogyatékkal élők szervezeteiig és a nem kormányzati szervezetekig. Az EGSZB tagjai az európai döntéshozatal javítására használják tudásukat és tapasztalataikat.</w:t>
      </w:r>
    </w:p>
    <w:p w:rsidR="00A811A6" w:rsidRPr="000C2BB3" w:rsidRDefault="00A811A6" w:rsidP="00A811A6"/>
    <w:p w:rsidR="00A811A6" w:rsidRPr="000C2BB3" w:rsidRDefault="00A811A6" w:rsidP="00A811A6">
      <w:r>
        <w:t xml:space="preserve">Az EGSZB küldetése, hogy hallhatóbbá tegye a szervezett civil társadalom hangját. Számos új jogszabály alkotásakor az Európai Parlamentet, a Tanácsot és az Európai Bizottságot jogszabály kötelezi arra, hogy kikérje az EGSZB véleményét. Az EGSZB ezekről – és egyéb témákról is – véleményeket dolgoz ki, amelyek a három csoport közötti konszenzus eredményeképpen jönnek létre. Ebből következően az EGSZB által kiadott vélemények a szervezett civil társadalom egészének </w:t>
      </w:r>
      <w:r>
        <w:lastRenderedPageBreak/>
        <w:t>(munkaadóknak, munkavállalóknak, különféle érdekcsoportoknak) az érdekeit tükrözik, kompromisszumon alapulnak, és a kölcsönös tiszteletre épülnek.</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Your Europe, Your Say! (A te Európád, a te szavad!)</w:t>
      </w:r>
    </w:p>
    <w:p w:rsidR="0004744F" w:rsidRPr="000C2BB3" w:rsidRDefault="0004744F" w:rsidP="00B162A0">
      <w:pPr>
        <w:keepNext/>
      </w:pPr>
    </w:p>
    <w:p w:rsidR="004D6196" w:rsidRPr="000C2BB3" w:rsidRDefault="0004744F" w:rsidP="0004744F">
      <w:r>
        <w:t xml:space="preserve">Az EGSZB 2010-ben indította útjára a </w:t>
      </w:r>
      <w:r>
        <w:rPr>
          <w:i/>
          <w:iCs/>
        </w:rPr>
        <w:t>Your Europe, Your Say!</w:t>
      </w:r>
      <w:r>
        <w:t xml:space="preserve"> kezdeményezést olyan, évenként megrendezésre kerülő eseményként, amely találkozási lehetőséget kínál az összes uniós tagállamot és tagjelölt országot képviselő középiskolás diákok – és tanáraik – számára az EU szívében. A diákok javaslatokat vitatnak meg egy adott témával kapcsolatban, és megállapodnak egy, az uniós döntéshozók elé terjesztendő állásfoglalásról.</w:t>
      </w:r>
    </w:p>
    <w:p w:rsidR="004D6196" w:rsidRPr="000C2BB3" w:rsidRDefault="004D6196" w:rsidP="0004744F"/>
    <w:p w:rsidR="0004744F" w:rsidRPr="000C2BB3" w:rsidRDefault="0004744F" w:rsidP="0004744F">
      <w:r>
        <w:t>Minden országból véletlenszerűen kiválasztanak egy iskolát, amely három 16 éves vagy annál idősebb diákot és tanárukat elküldi Brüsszelbe, hogy részt vegyenek egy szimulált EGSZB-s plenáris ülésen, és vitát folytassanak egy aktuális kérdésről. A 2019-es YEYS-re 2019. március 21–22-én kerül sor. A rendezvényt megelőzően EGSZB-tagok meglátogatják a kiválasztott iskolákat, hogy bemutassák az EGSZB munkáját, és válaszoljanak a diákok kérdéseire.</w:t>
      </w:r>
    </w:p>
    <w:p w:rsidR="0004744F" w:rsidRPr="000C2BB3" w:rsidRDefault="0004744F" w:rsidP="0004744F"/>
    <w:p w:rsidR="0004744F" w:rsidRPr="000C2BB3" w:rsidRDefault="0004744F" w:rsidP="00015FAC">
      <w:r>
        <w:t xml:space="preserve">A YEYS egyedülálló alkalmat biztosít arra, hogy a fiatalok találkozzanak egymással és megosszák tapasztalataikat, meghallgassák a különböző országokból származó diáktársaikat, és többet tudjanak meg arról, hogy más emberek hogyan élnek. A diákok Brüsszelben vitát folytatnak és szavaznak az európai parlamenti választások témájában, valamint e választások szerepéről a jövőbeli európai politikák alakításában. A </w:t>
      </w:r>
      <w:r>
        <w:rPr>
          <w:i/>
          <w:iCs/>
        </w:rPr>
        <w:t>Your Europe, Your Say!</w:t>
      </w:r>
      <w:r>
        <w:t xml:space="preserve"> emellett értékes és felejthetetlen élményt nyújt nemcsak a részt vevő fiataloknak, hanem nekünk is, itt az EGSZB berkein belül.</w:t>
      </w:r>
    </w:p>
    <w:p w:rsidR="004D6196" w:rsidRPr="000C2BB3" w:rsidRDefault="004D6196" w:rsidP="00015FAC"/>
    <w:p w:rsidR="004D6196" w:rsidRPr="000C2BB3" w:rsidRDefault="004D6196" w:rsidP="00015FAC">
      <w:r>
        <w:t>A YEYS 2019-ben lesz tíz éves. Ennek megünneplésére különleges tevékenységeket szervezünk.</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A 2019-es YEYS</w:t>
      </w:r>
    </w:p>
    <w:p w:rsidR="00386707" w:rsidRPr="000C2BB3" w:rsidRDefault="00386707" w:rsidP="00B162A0">
      <w:pPr>
        <w:keepNext/>
      </w:pPr>
    </w:p>
    <w:p w:rsidR="00547750" w:rsidRPr="000C2BB3" w:rsidRDefault="000B20B4" w:rsidP="005937F9">
      <w:r>
        <w:t xml:space="preserve">2019. május 23–26-án az európai polgárok az európai parlamenti választáson szavaznak majd. Az Európai Unió három fő intézményének egyikeként a Parlament döntő szerepet játszik Európa és polgárai jövőjének alakításában; ezért a választásokon való széles körű részvétel kulcsfontosságú a demokrácia szempontjából. A részvételi arány növelése érdekében az EP elindította a </w:t>
      </w:r>
      <w:hyperlink r:id="rId13" w:history="1">
        <w:r>
          <w:rPr>
            <w:rStyle w:val="Hyperlink"/>
          </w:rPr>
          <w:t>www.szavaznifogok.eu</w:t>
        </w:r>
      </w:hyperlink>
      <w:r>
        <w:t xml:space="preserve"> kampányt.</w:t>
      </w:r>
    </w:p>
    <w:p w:rsidR="000B20B4" w:rsidRPr="000C2BB3" w:rsidRDefault="000B20B4" w:rsidP="00386707"/>
    <w:p w:rsidR="00915A7D" w:rsidRPr="000C2BB3" w:rsidRDefault="00AE3499" w:rsidP="00BB3256">
      <w:r>
        <w:t>Az európai szervezett civil társadalom</w:t>
      </w:r>
      <w:r w:rsidR="007C5749" w:rsidRPr="000C2BB3">
        <w:rPr>
          <w:rStyle w:val="FootnoteReference"/>
        </w:rPr>
        <w:footnoteReference w:id="2"/>
      </w:r>
      <w:r>
        <w:t xml:space="preserve"> képviselőjeként az Európai Gazdasági és Szociális Bizottság is részt vesz a részvételi arány növelésére irányuló erőfeszítésekben, és úgy döntött, hogy idén éves ifjúsági programjának, azaz a </w:t>
      </w:r>
      <w:r>
        <w:rPr>
          <w:i/>
          <w:iCs/>
        </w:rPr>
        <w:t>Your Europe, Your Say!</w:t>
      </w:r>
      <w:r>
        <w:t>-nek (YEYS) is központi témáját képezik majd az európai választások. A fiatalok jelentik Európa jövőjét, és ők határozzák meg, hogy az EU milyen irányban haladjon tovább az elkövetkező években. Ezért az EGSZB mindig is különös hangsúlyt fektetett a fiataloknak a szakpolitikai vitáiba történő bevonására.</w:t>
      </w:r>
    </w:p>
    <w:p w:rsidR="005937F9" w:rsidRPr="000C2BB3" w:rsidRDefault="008E5F8E" w:rsidP="00BB3256">
      <w:r>
        <w:lastRenderedPageBreak/>
        <w:t xml:space="preserve">A 2019-es YEYS témája: </w:t>
      </w:r>
      <w:r>
        <w:rPr>
          <w:b/>
        </w:rPr>
        <w:t>10 éves a YEYS: Szavazz a jövőre!</w:t>
      </w:r>
      <w:r>
        <w:t xml:space="preserve"> A résztvevőket arra kérjük, hogy gondolkozzanak el az európai parlamenti választásokról, annak demokratikus folyamatokban játszott szerepéről uniós szinten, a szavazói részvétel növelésének módjairól és végül, de nem utolsósorban a fiatalok és a politikai és társadalmi szerepvállalás kapcsolatáról, figyelembe véve különösen azt, hogy egyes résztvevők 2019 májusában már szavazhatnak (például Ausztriában a 16 évesek már szavazásra jogosultak).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Az Európai Parlament, a választások és a fiatalok</w:t>
      </w:r>
    </w:p>
    <w:p w:rsidR="00386707" w:rsidRPr="000C2BB3" w:rsidRDefault="00386707" w:rsidP="00B162A0">
      <w:pPr>
        <w:keepNext/>
      </w:pPr>
    </w:p>
    <w:p w:rsidR="00921532" w:rsidRPr="000C2BB3" w:rsidRDefault="00921532" w:rsidP="00297A12">
      <w:r>
        <w:t xml:space="preserve">Az Unióban az Európai Parlament az Európai Unió Tanácsával együtt rendelkezik jogalkotási hatáskörrel és dönt az Unió költségvetéséről. Az EP jelentősége az évek során folyamatosan növekedett, amióta Európa népei 1979-ben első ízben választották meg közvetlenül a közgyűlést. </w:t>
      </w:r>
    </w:p>
    <w:p w:rsidR="00921532" w:rsidRPr="000C2BB3" w:rsidRDefault="00921532" w:rsidP="00297A12"/>
    <w:p w:rsidR="00297A12" w:rsidRPr="000C2BB3" w:rsidRDefault="00297A12" w:rsidP="00297A12">
      <w:r>
        <w:t>Napjainkban az Európai Parlament hatásköre az új Európai Bizottság és tagjai jóváhagyása; mint bármely parlamenti demokráciában, a kormánynak bírnia kell a parlament bizalmát ahhoz, hogy hivatalba lépjen.</w:t>
      </w:r>
    </w:p>
    <w:p w:rsidR="00921532" w:rsidRPr="000C2BB3" w:rsidRDefault="00921532" w:rsidP="00297A12"/>
    <w:p w:rsidR="00921532" w:rsidRPr="000C2BB3" w:rsidRDefault="00921532" w:rsidP="00297A12">
      <w:r>
        <w:t>A 2014-es választási kampányban bevezették a listavezetők (</w:t>
      </w:r>
      <w:r>
        <w:rPr>
          <w:i/>
          <w:iCs/>
        </w:rPr>
        <w:t>Spitzenkandidaten</w:t>
      </w:r>
      <w:r>
        <w:t>) új rendszerét, amelynek értelmében az Európai Bizottság új elnöke a választásokon legsikeresebb politikai csoport által előterjesztett jelölt lesz. Mivel a választásokat összességében azok a politikai pártok nyerték meg, amelyek az Európai Néppárt tagjai, a Parlament az ő jelöltjüket, Jean-Claude Junckert választotta az Európai Bizottság elnökévé a 2014–2019-es hivatali időre.</w:t>
      </w:r>
    </w:p>
    <w:p w:rsidR="007A0DC3" w:rsidRPr="000C2BB3" w:rsidRDefault="007A0DC3" w:rsidP="00B162A0">
      <w:pPr>
        <w:keepNext/>
      </w:pPr>
    </w:p>
    <w:p w:rsidR="00B11451" w:rsidRPr="000C2BB3" w:rsidRDefault="00B11451" w:rsidP="00B162A0">
      <w:pPr>
        <w:keepNext/>
      </w:pPr>
      <w:r>
        <w:t>1979-ben, az első európai választások idején a szavazói részvétel 63%-os volt. A legutóbbi, 2014-es választásokon a részvétel csupán 42,54% volt</w:t>
      </w:r>
      <w:r w:rsidR="007A4551">
        <w:rPr>
          <w:rStyle w:val="FootnoteReference"/>
        </w:rPr>
        <w:footnoteReference w:id="3"/>
      </w:r>
      <w:r>
        <w:t>. E csökkenés okai közé tartozik a pénzügyi és gazdasági válság, amely számos európai országban aláásta a választók vezető pártokba, valamint általánosságban az európai folyamatba vetett bizalmát.</w:t>
      </w:r>
    </w:p>
    <w:p w:rsidR="007A1B13" w:rsidRPr="000C2BB3" w:rsidRDefault="007A1B13" w:rsidP="00B162A0">
      <w:pPr>
        <w:keepNext/>
      </w:pPr>
    </w:p>
    <w:p w:rsidR="007A1B13" w:rsidRPr="000C2BB3" w:rsidRDefault="007A1B13" w:rsidP="00B162A0">
      <w:pPr>
        <w:keepNext/>
      </w:pPr>
      <w:r>
        <w:t xml:space="preserve">Kor szerinti bontásban vizsgálva a 42,54%-ot megfigyelhető, hogy legkevésbé a fiatalok szavaztak: Európa-szerte csupán a 16–29 évesek 30%-a ment el szavazni, ami még a nemzeti választásokon részt vevő 16–24 évesek csupán 40%-os arányánál is alacsonyabb (ez 56% a 25–29 évesek esetén: lásd a </w:t>
      </w:r>
      <w:hyperlink r:id="rId14" w:history="1">
        <w:r>
          <w:rPr>
            <w:rStyle w:val="Hyperlink"/>
            <w:i/>
          </w:rPr>
          <w:t>Youth and Political Parties</w:t>
        </w:r>
        <w:r>
          <w:rPr>
            <w:rStyle w:val="Hyperlink"/>
            <w:i/>
            <w:iCs/>
          </w:rPr>
          <w:t xml:space="preserve"> [Fiatalok és politikai pártok]</w:t>
        </w:r>
      </w:hyperlink>
      <w:r>
        <w:t xml:space="preserve"> 8. oldalát; e tanulmányt az Európai Ifjúsági Fórum tette közzé 2018-ban).</w:t>
      </w:r>
    </w:p>
    <w:p w:rsidR="00B11451" w:rsidRPr="000C2BB3" w:rsidRDefault="00B11451" w:rsidP="00B162A0">
      <w:pPr>
        <w:keepNext/>
      </w:pPr>
    </w:p>
    <w:p w:rsidR="000C2BB3" w:rsidRDefault="00FE5C45" w:rsidP="00FE5C45">
      <w:r>
        <w:t xml:space="preserve">Az elérhető adatok arra utalnak, hogy 2019-ben is valami hasonló történhet. A </w:t>
      </w:r>
      <w:hyperlink r:id="rId15" w:history="1">
        <w:r>
          <w:rPr>
            <w:rStyle w:val="Hyperlink"/>
          </w:rPr>
          <w:t xml:space="preserve">2018. áprilisi </w:t>
        </w:r>
        <w:r>
          <w:rPr>
            <w:rStyle w:val="Hyperlink"/>
            <w:i/>
            <w:iCs/>
          </w:rPr>
          <w:t>Eurobarométer felmérés</w:t>
        </w:r>
      </w:hyperlink>
      <w:r>
        <w:t xml:space="preserve"> szerint míg az európaiak 60%-a meg van győződve arról, hogy országa számára előnyöket hozott az uniós tagság, ami 1983 óta a legmagasabb arányt jelenti, csupán 50%-uk nyilatkozott úgy, hogy érdeklődik a közelgő választások iránt.</w:t>
      </w:r>
    </w:p>
    <w:p w:rsidR="000C2BB3" w:rsidRDefault="000C2BB3" w:rsidP="00FE5C45"/>
    <w:p w:rsidR="00B11451" w:rsidRPr="000C2BB3" w:rsidRDefault="000C2BB3" w:rsidP="00FE5C45">
      <w:r>
        <w:t>Összefoglalva: az EU-val kapcsolatos általános vélekedés javulása, valamint a Parlament európai döntéshozatalban való jelentősége ellenére továbbra is bizonytalan, hogy a szavazók többsége ténylegesen részt vesz-e a májusi választásokon.</w:t>
      </w:r>
    </w:p>
    <w:p w:rsidR="009551B2" w:rsidRPr="000C2BB3" w:rsidRDefault="00344E72" w:rsidP="009551B2">
      <w:pPr>
        <w:pStyle w:val="Heading1"/>
        <w:keepNext/>
        <w:rPr>
          <w:b/>
        </w:rPr>
      </w:pPr>
      <w:bookmarkStart w:id="0" w:name="_GoBack"/>
      <w:bookmarkEnd w:id="0"/>
      <w:r>
        <w:rPr>
          <w:b/>
        </w:rPr>
        <w:lastRenderedPageBreak/>
        <w:t>Általános kérdések</w:t>
      </w:r>
    </w:p>
    <w:p w:rsidR="009551B2" w:rsidRPr="000C2BB3" w:rsidRDefault="009551B2" w:rsidP="009551B2">
      <w:pPr>
        <w:keepNext/>
      </w:pPr>
    </w:p>
    <w:p w:rsidR="009551B2" w:rsidRPr="000C2BB3" w:rsidRDefault="009551B2" w:rsidP="009551B2">
      <w:r>
        <w:t>Annak érdekében, hogy segítsünk a diákoknak és a tanároknak ötleteik megfogalmazásában és a brüsszeli vitákra való felkészülésben, felsorolunk néhány olyan kérdést, amelyek felmerülhetnek a 2019-es YEYS rendezvény keretében:</w:t>
      </w:r>
    </w:p>
    <w:p w:rsidR="009551B2" w:rsidRPr="000C2BB3" w:rsidRDefault="009551B2" w:rsidP="009551B2"/>
    <w:p w:rsidR="009551B2" w:rsidRPr="000C2BB3" w:rsidRDefault="00CB52B7" w:rsidP="009551B2">
      <w:pPr>
        <w:pStyle w:val="Heading2"/>
        <w:keepNext/>
      </w:pPr>
      <w:r>
        <w:t>A modern demokrácia működése</w:t>
      </w:r>
    </w:p>
    <w:p w:rsidR="009551B2" w:rsidRPr="000C2BB3" w:rsidRDefault="009551B2" w:rsidP="00FE5C45"/>
    <w:p w:rsidR="009551B2" w:rsidRPr="000C2BB3" w:rsidRDefault="009551B2" w:rsidP="009551B2">
      <w:pPr>
        <w:pStyle w:val="ListParagraph"/>
        <w:numPr>
          <w:ilvl w:val="0"/>
          <w:numId w:val="35"/>
        </w:numPr>
      </w:pPr>
      <w:r>
        <w:t>Milyen intézményi rendszerrel rendelkezik az országod? (köztársaság vagy alkotmányos monarchia, parlamenti, elnöki, részben elnöki...)</w:t>
      </w:r>
    </w:p>
    <w:p w:rsidR="00344E72" w:rsidRDefault="00344E72" w:rsidP="006969C5">
      <w:pPr>
        <w:pStyle w:val="ListParagraph"/>
        <w:numPr>
          <w:ilvl w:val="0"/>
          <w:numId w:val="35"/>
        </w:numPr>
      </w:pPr>
      <w:r>
        <w:t>Az Európai Unió fő intézményei és szervei a következők: az Európai Parlament, az Európai Tanács és az Európai Unió Tanácsa, az Európai Bizottság, az Európai Unió Bírósága, az Európai Számvevőszék, az Európai Központi Bank, az Európai Külügyi Szolgálat, az Európai Gazdasági és Szociális Bizottság és a Régiók Európai Bizottsága. Melyek az országod fő intézményei és szervei?</w:t>
      </w:r>
    </w:p>
    <w:p w:rsidR="009551B2" w:rsidRPr="000C2BB3" w:rsidRDefault="009551B2" w:rsidP="009551B2">
      <w:pPr>
        <w:pStyle w:val="ListParagraph"/>
        <w:numPr>
          <w:ilvl w:val="0"/>
          <w:numId w:val="35"/>
        </w:numPr>
      </w:pPr>
      <w:r>
        <w:t>Mely szerv központi jelentőségű az országod intézményrendszere szempontjából?</w:t>
      </w:r>
    </w:p>
    <w:p w:rsidR="009551B2" w:rsidRPr="000C2BB3" w:rsidRDefault="009551B2" w:rsidP="009551B2">
      <w:pPr>
        <w:pStyle w:val="ListParagraph"/>
      </w:pPr>
    </w:p>
    <w:p w:rsidR="00344E72" w:rsidRPr="000C2BB3" w:rsidRDefault="00344E72" w:rsidP="00344E72">
      <w:pPr>
        <w:pStyle w:val="Heading2"/>
      </w:pPr>
      <w:r>
        <w:t>A fiatalok és a modern társadalom</w:t>
      </w:r>
    </w:p>
    <w:p w:rsidR="00344E72" w:rsidRPr="000C2BB3" w:rsidRDefault="00344E72" w:rsidP="00344E72"/>
    <w:p w:rsidR="00344E72" w:rsidRPr="000C2BB3" w:rsidRDefault="00344E72" w:rsidP="0039020D">
      <w:pPr>
        <w:pStyle w:val="ListParagraph"/>
        <w:numPr>
          <w:ilvl w:val="0"/>
          <w:numId w:val="39"/>
        </w:numPr>
      </w:pPr>
      <w:r>
        <w:t>Milyen típusú társadalmat szeretnél látni az országodban és Európában?</w:t>
      </w:r>
    </w:p>
    <w:p w:rsidR="00344E72" w:rsidRPr="000C2BB3" w:rsidRDefault="00344E72" w:rsidP="0039020D">
      <w:pPr>
        <w:pStyle w:val="ListParagraph"/>
        <w:numPr>
          <w:ilvl w:val="0"/>
          <w:numId w:val="39"/>
        </w:numPr>
      </w:pPr>
      <w:r>
        <w:t>A szavazáson kívül vannak más módszerek a társadalom életében való részvételre?</w:t>
      </w:r>
    </w:p>
    <w:p w:rsidR="00344E72" w:rsidRDefault="00344E72" w:rsidP="0039020D">
      <w:pPr>
        <w:pStyle w:val="ListParagraph"/>
        <w:numPr>
          <w:ilvl w:val="0"/>
          <w:numId w:val="39"/>
        </w:numPr>
      </w:pPr>
      <w:r>
        <w:t>Részt veszel a politikában, vagy úgy gondolod, hogy a közeljövőben részt fogsz venni benne?</w:t>
      </w:r>
    </w:p>
    <w:p w:rsidR="00344E72" w:rsidRDefault="00344E72" w:rsidP="0039020D">
      <w:pPr>
        <w:pStyle w:val="ListParagraph"/>
        <w:numPr>
          <w:ilvl w:val="0"/>
          <w:numId w:val="39"/>
        </w:numPr>
      </w:pPr>
      <w:r>
        <w:t>A veled egykorúak közül hány embert ismersz, aki érdeklődik a politika iránt? Ezek az emberek többségben vagy kisebbségben vannak? Miért?</w:t>
      </w:r>
    </w:p>
    <w:p w:rsidR="00C86B61" w:rsidRPr="000C2BB3" w:rsidRDefault="00C86B61" w:rsidP="0039020D">
      <w:pPr>
        <w:pStyle w:val="ListParagraph"/>
        <w:numPr>
          <w:ilvl w:val="0"/>
          <w:numId w:val="39"/>
        </w:numPr>
      </w:pPr>
      <w:r>
        <w:t>Mit vársz az új Európai Parlamenttől (EP)?</w:t>
      </w:r>
    </w:p>
    <w:p w:rsidR="00344E72" w:rsidRPr="000C2BB3" w:rsidRDefault="00344E72" w:rsidP="00344E72"/>
    <w:p w:rsidR="009551B2" w:rsidRPr="000C2BB3" w:rsidRDefault="004C3202" w:rsidP="009551B2">
      <w:pPr>
        <w:pStyle w:val="Heading2"/>
      </w:pPr>
      <w:r>
        <w:t>A fiatalok és a szavazás</w:t>
      </w:r>
    </w:p>
    <w:p w:rsidR="009551B2" w:rsidRPr="000C2BB3" w:rsidRDefault="009551B2" w:rsidP="00F25211"/>
    <w:p w:rsidR="00FB141C" w:rsidRPr="000C2BB3" w:rsidRDefault="00503376" w:rsidP="0039020D">
      <w:pPr>
        <w:pStyle w:val="ListParagraph"/>
        <w:numPr>
          <w:ilvl w:val="0"/>
          <w:numId w:val="40"/>
        </w:numPr>
      </w:pPr>
      <w:r>
        <w:t>Mi a választójogi korhatár az országodban?</w:t>
      </w:r>
    </w:p>
    <w:p w:rsidR="004C3202" w:rsidRPr="000C2BB3" w:rsidRDefault="004C3202" w:rsidP="0039020D">
      <w:pPr>
        <w:pStyle w:val="ListParagraph"/>
        <w:numPr>
          <w:ilvl w:val="0"/>
          <w:numId w:val="40"/>
        </w:numPr>
      </w:pPr>
      <w:r>
        <w:t>Fogsz szavazni, ha betöltöd ezt a kort? Miért, vagy miért nem?</w:t>
      </w:r>
    </w:p>
    <w:p w:rsidR="004C3202" w:rsidRPr="000C2BB3" w:rsidRDefault="00503376" w:rsidP="0039020D">
      <w:pPr>
        <w:pStyle w:val="ListParagraph"/>
        <w:numPr>
          <w:ilvl w:val="0"/>
          <w:numId w:val="40"/>
        </w:numPr>
      </w:pPr>
      <w:r>
        <w:t>Miért fontos a szavazás az embereknek az országod és/vagy az Európai Unió fejlődésében való részvételéhez?</w:t>
      </w:r>
    </w:p>
    <w:p w:rsidR="004C3202" w:rsidRPr="000C2BB3" w:rsidRDefault="004C3202" w:rsidP="0039020D">
      <w:pPr>
        <w:pStyle w:val="ListParagraph"/>
        <w:numPr>
          <w:ilvl w:val="0"/>
          <w:numId w:val="40"/>
        </w:numPr>
      </w:pPr>
      <w:r>
        <w:t>Mit gondolsz, miért kevésbé valószínű, hogy a fiatalok részt vesznek a választásokban, mint az idősebbek?</w:t>
      </w:r>
    </w:p>
    <w:p w:rsidR="004C3202" w:rsidRPr="000C2BB3" w:rsidRDefault="004C3202" w:rsidP="0039020D">
      <w:pPr>
        <w:pStyle w:val="ListParagraph"/>
        <w:numPr>
          <w:ilvl w:val="0"/>
          <w:numId w:val="40"/>
        </w:numPr>
      </w:pPr>
      <w:r>
        <w:t>Hogyan segíthet a szavazás a fiatalok helyzetének javításában, a nem szavazással összevetve? (környezet, foglalkoztatás, szociális jogok, stabilitás stb.)</w:t>
      </w:r>
    </w:p>
    <w:p w:rsidR="004C3202" w:rsidRPr="000C2BB3" w:rsidRDefault="004C3202" w:rsidP="00F25211"/>
    <w:p w:rsidR="00FB141C" w:rsidRPr="000C2BB3" w:rsidRDefault="00FB141C" w:rsidP="00FB141C">
      <w:pPr>
        <w:pStyle w:val="Heading2"/>
        <w:keepNext/>
      </w:pPr>
      <w:r>
        <w:t>A média és a közösségi hálózatok szerepe</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Milyen szerepe van a médiának a mindennapi életedben? Szerinted a média képes befolyásolni az emberek véleményét és tetteit?</w:t>
      </w:r>
    </w:p>
    <w:p w:rsidR="00FB141C" w:rsidRPr="000C2BB3" w:rsidRDefault="00FB141C" w:rsidP="009C4A96">
      <w:pPr>
        <w:pStyle w:val="ListParagraph"/>
        <w:numPr>
          <w:ilvl w:val="0"/>
          <w:numId w:val="23"/>
        </w:numPr>
        <w:ind w:left="709" w:hanging="359"/>
      </w:pPr>
      <w:r>
        <w:t>Kicsit konkrétabban, mi a véleményed a média szerepéről Európában? Szerinted a média európai és demokratikus értékeket közvetít?</w:t>
      </w:r>
    </w:p>
    <w:p w:rsidR="00FB141C" w:rsidRPr="000C2BB3" w:rsidRDefault="00FB141C" w:rsidP="009C4A96">
      <w:pPr>
        <w:pStyle w:val="ListParagraph"/>
        <w:numPr>
          <w:ilvl w:val="0"/>
          <w:numId w:val="23"/>
        </w:numPr>
        <w:ind w:left="756" w:hanging="392"/>
        <w:rPr>
          <w:b/>
        </w:rPr>
      </w:pPr>
      <w:r>
        <w:t>Szerinted hogyan lehetne a médiában jobban népszerűsíteni az európai és demokratikus értékeket? Szerinted ez jobbá teheti a társadalmat?</w:t>
      </w:r>
    </w:p>
    <w:p w:rsidR="00FB141C" w:rsidRPr="000C2BB3" w:rsidRDefault="00FB141C" w:rsidP="009C4A96">
      <w:pPr>
        <w:pStyle w:val="ListParagraph"/>
        <w:numPr>
          <w:ilvl w:val="0"/>
          <w:numId w:val="23"/>
        </w:numPr>
        <w:ind w:left="756" w:hanging="392"/>
        <w:rPr>
          <w:b/>
        </w:rPr>
      </w:pPr>
      <w:r>
        <w:lastRenderedPageBreak/>
        <w:t>Véleményed szerint a közösségi hálózatok inkább pozitív vagy inkább negatív üzeneteket közvetítenek? Hogyan tudnánk elérni, hogy a közösségi hálózatok népszerűsítsék az európai és a demokratikus értékeket?</w:t>
      </w:r>
    </w:p>
    <w:p w:rsidR="00FB141C" w:rsidRDefault="00FB141C" w:rsidP="00FB141C"/>
    <w:p w:rsidR="009551B2" w:rsidRDefault="009551B2" w:rsidP="00F25211"/>
    <w:p w:rsidR="00C86B61" w:rsidRPr="00C86B61" w:rsidRDefault="00C86B61" w:rsidP="00B311A5">
      <w:pPr>
        <w:pStyle w:val="Heading1"/>
        <w:keepNext/>
        <w:keepLines/>
        <w:rPr>
          <w:b/>
        </w:rPr>
      </w:pPr>
      <w:r>
        <w:rPr>
          <w:b/>
        </w:rPr>
        <w:t>Konkrét kérdések</w:t>
      </w:r>
    </w:p>
    <w:p w:rsidR="00C86B61" w:rsidRDefault="00C86B61" w:rsidP="00B311A5">
      <w:pPr>
        <w:keepNext/>
        <w:keepLines/>
      </w:pPr>
    </w:p>
    <w:p w:rsidR="00C86B61" w:rsidRPr="00C86B61" w:rsidRDefault="00C86B61" w:rsidP="003C7161">
      <w:pPr>
        <w:pStyle w:val="ListParagraph"/>
        <w:numPr>
          <w:ilvl w:val="0"/>
          <w:numId w:val="37"/>
        </w:numPr>
      </w:pPr>
      <w:r>
        <w:t xml:space="preserve">Véleményed szerint mit kellene tenni az EP-választásokon való választói részvétel növelése érdekében? </w:t>
      </w:r>
    </w:p>
    <w:p w:rsidR="00C86B61" w:rsidRPr="00C86B61" w:rsidRDefault="00C86B61" w:rsidP="003C7161">
      <w:pPr>
        <w:pStyle w:val="ListParagraph"/>
        <w:numPr>
          <w:ilvl w:val="0"/>
          <w:numId w:val="37"/>
        </w:numPr>
      </w:pPr>
      <w:r>
        <w:t>Hogyan erősíthetjük meg a képviseleti demokráciát a jövőben?</w:t>
      </w:r>
    </w:p>
    <w:p w:rsidR="00C86B61" w:rsidRPr="00C86B61" w:rsidRDefault="00C86B61" w:rsidP="003C7161">
      <w:pPr>
        <w:pStyle w:val="ListParagraph"/>
        <w:numPr>
          <w:ilvl w:val="0"/>
          <w:numId w:val="37"/>
        </w:numPr>
        <w:spacing w:after="240" w:line="276" w:lineRule="auto"/>
      </w:pPr>
      <w:r>
        <w:t>Az EP választásokon kívül milyen politikai szerepvállalás létezik, és hogyan vennél részt ebben?</w:t>
      </w:r>
    </w:p>
    <w:p w:rsidR="00C86B61" w:rsidRDefault="00503376" w:rsidP="00C86B61">
      <w:pPr>
        <w:spacing w:after="240" w:line="276" w:lineRule="auto"/>
      </w:pPr>
      <w:r>
        <w:t>A fenti három kérdés adja majd  a YEYS három altémájának alapját. Íme néhány ötlet az alkérdések továbbgondolásához:</w:t>
      </w:r>
    </w:p>
    <w:p w:rsidR="00B311A5" w:rsidRDefault="00B311A5" w:rsidP="00EC3958">
      <w:pPr>
        <w:spacing w:after="240" w:line="276" w:lineRule="auto"/>
        <w:rPr>
          <w:b/>
        </w:rPr>
      </w:pPr>
    </w:p>
    <w:p w:rsidR="00EC3958" w:rsidRDefault="00EC3958" w:rsidP="00EC3958">
      <w:pPr>
        <w:spacing w:after="240" w:line="276" w:lineRule="auto"/>
        <w:rPr>
          <w:bCs/>
        </w:rPr>
      </w:pPr>
      <w:r>
        <w:rPr>
          <w:b/>
        </w:rPr>
        <w:t>1. kérdés:</w:t>
      </w:r>
      <w:r>
        <w:t xml:space="preserve"> Véleményed szerint mit kellene tenni az EP-választásokon való választói részvétel növelése érdekében?</w:t>
      </w:r>
    </w:p>
    <w:p w:rsidR="00DC20A4" w:rsidRDefault="003C7161" w:rsidP="00EC3958">
      <w:pPr>
        <w:spacing w:after="240" w:line="276" w:lineRule="auto"/>
      </w:pPr>
      <w:r>
        <w:t>Időnként azzal érvelnek, hogy a választók azért vesznek kevésbé részt az európai választásokon, mint a nemzeti választásokon, mert úgy érzik, hogy a nemzetek feletti szint távolabb áll tőlük, mint a nemzeti szint. Lehetségesek azonban más magyarázatok is: például az a tény, hogy jellemzően jobban ismerjük a nemzeti politikusainkat, mint más országok politikusait, befolyásolhatja azt, hogy készek vagyunk-e egy bizonyos Spitzenkandidatra szavazni vagy sem. Továbbá ha a más országokból származó politikusok nem beszélik a nyelvünket, akkor nem tudnak a nemzeti politikusokkal azonos feltételek mellett részt venni a televíziós vitákban, így kevésbé lesznek jelen számunkra a tömegtájékoztatásban.</w:t>
      </w:r>
    </w:p>
    <w:p w:rsidR="003C7161" w:rsidRDefault="003C7161" w:rsidP="005045E2">
      <w:pPr>
        <w:spacing w:after="240" w:line="276" w:lineRule="auto"/>
      </w:pPr>
      <w:r>
        <w:t xml:space="preserve">Az európai ifjúsági szervezetek, mint például az Európai Ifjúsági Fórum vagy az AEGEE (az európai diákfórum) többek közt a következő megoldásokat javasolták: transznacionális listák; a választójogi törvények egységesebbé tétele; szavazati jogok a 16 évesek számára; a </w:t>
      </w:r>
      <w:r>
        <w:rPr>
          <w:i/>
        </w:rPr>
        <w:t>Spitzenkandidat-</w:t>
      </w:r>
      <w:r>
        <w:t xml:space="preserve">rendszer fenntartása; kvóta biztosítása a fiatalok számára a döntéshozó szervekben. </w:t>
      </w:r>
    </w:p>
    <w:p w:rsidR="003C7161" w:rsidRDefault="003C7161" w:rsidP="00EC3958">
      <w:pPr>
        <w:pStyle w:val="ListParagraph"/>
        <w:numPr>
          <w:ilvl w:val="0"/>
          <w:numId w:val="41"/>
        </w:numPr>
        <w:spacing w:after="240" w:line="276" w:lineRule="auto"/>
      </w:pPr>
      <w:r>
        <w:t>Mit gondolsz ezekről az elképzelésekről?</w:t>
      </w:r>
    </w:p>
    <w:p w:rsidR="003C7161" w:rsidRDefault="003C7161" w:rsidP="00EC3958">
      <w:pPr>
        <w:pStyle w:val="ListParagraph"/>
        <w:numPr>
          <w:ilvl w:val="0"/>
          <w:numId w:val="41"/>
        </w:numPr>
        <w:spacing w:after="240" w:line="276" w:lineRule="auto"/>
      </w:pPr>
      <w:r>
        <w:t xml:space="preserve">Mik a </w:t>
      </w:r>
      <w:r>
        <w:rPr>
          <w:u w:val="single"/>
        </w:rPr>
        <w:t>te</w:t>
      </w:r>
      <w:r>
        <w:t xml:space="preserve"> ötleteid?</w:t>
      </w:r>
    </w:p>
    <w:p w:rsidR="00B311A5" w:rsidRPr="00C86B61" w:rsidRDefault="00B311A5" w:rsidP="00B311A5">
      <w:pPr>
        <w:spacing w:after="240" w:line="276" w:lineRule="auto"/>
      </w:pPr>
    </w:p>
    <w:p w:rsidR="00EC3958" w:rsidRDefault="00EC3958" w:rsidP="00EC3958">
      <w:pPr>
        <w:spacing w:after="240" w:line="276" w:lineRule="auto"/>
      </w:pPr>
      <w:r>
        <w:rPr>
          <w:b/>
        </w:rPr>
        <w:t>2. kérdés:</w:t>
      </w:r>
      <w:r>
        <w:t xml:space="preserve"> Hogyan erősíthetjük meg a képviseleti demokráciát a jövőben?</w:t>
      </w:r>
    </w:p>
    <w:p w:rsidR="00C86B61" w:rsidRDefault="004A6908" w:rsidP="00EC3958">
      <w:pPr>
        <w:spacing w:after="240" w:line="276" w:lineRule="auto"/>
      </w:pPr>
      <w:r>
        <w:t>A képviseleti demokrácia az a rendszer, amelyben a polgárok bizonyos időszakra (általában 4 vagy 5 évre) választanak képviselőket, és ezek a képviselők gondoskodnak a törvényalkotásról és a kormányzásról a következő választásig; a választások között a szavazók a közvetlen demokrácia eszközeivel (például népszavazásokkal és petíciókkal) befolyásolhatják képviselőik tevékenységét. Napjainkban azonban a közösségi média és az online tevékenység térnyerése a közvetlen demokrácia új eszközeinek létrejöttéhez vezetett – ilyenek például az online szavazások vagy a felmérések.</w:t>
      </w:r>
    </w:p>
    <w:p w:rsidR="006C5E99" w:rsidRDefault="006C5E99" w:rsidP="00EC3958">
      <w:pPr>
        <w:pStyle w:val="ListParagraph"/>
        <w:numPr>
          <w:ilvl w:val="0"/>
          <w:numId w:val="43"/>
        </w:numPr>
        <w:spacing w:after="240" w:line="276" w:lineRule="auto"/>
      </w:pPr>
      <w:r>
        <w:lastRenderedPageBreak/>
        <w:t>Mi a véleményed a közvetlen demokrácia új eszközeiről?</w:t>
      </w:r>
    </w:p>
    <w:p w:rsidR="006C5E99" w:rsidRDefault="006C5E99" w:rsidP="00EC3958">
      <w:pPr>
        <w:pStyle w:val="ListParagraph"/>
        <w:numPr>
          <w:ilvl w:val="0"/>
          <w:numId w:val="43"/>
        </w:numPr>
        <w:spacing w:after="240" w:line="276" w:lineRule="auto"/>
      </w:pPr>
      <w:r>
        <w:t>Hogyan használhatjuk ezeket úgy, hogy ne veszélyeztessük a képviseleti demokrácia alkotmányban rögzített formáját?</w:t>
      </w:r>
    </w:p>
    <w:p w:rsidR="00EC3958" w:rsidRDefault="006C5E99" w:rsidP="00EC3958">
      <w:pPr>
        <w:pStyle w:val="ListParagraph"/>
        <w:numPr>
          <w:ilvl w:val="0"/>
          <w:numId w:val="43"/>
        </w:numPr>
        <w:spacing w:after="240" w:line="276" w:lineRule="auto"/>
      </w:pPr>
      <w:r>
        <w:t>Hogyan biztosíthatjuk, hogy a közvetlen demokrácia döntései valódi információkon alapuljanak, és ne torzítsák azokat például álhírek?</w:t>
      </w:r>
    </w:p>
    <w:p w:rsidR="00B311A5" w:rsidRDefault="00B311A5" w:rsidP="00EC3958">
      <w:pPr>
        <w:spacing w:after="240" w:line="276" w:lineRule="auto"/>
        <w:rPr>
          <w:b/>
        </w:rPr>
      </w:pPr>
    </w:p>
    <w:p w:rsidR="00EC3958" w:rsidRDefault="00EC3958" w:rsidP="00EC3958">
      <w:pPr>
        <w:spacing w:after="240" w:line="276" w:lineRule="auto"/>
      </w:pPr>
      <w:r>
        <w:rPr>
          <w:b/>
        </w:rPr>
        <w:t>3. kérdés:</w:t>
      </w:r>
      <w:r>
        <w:t xml:space="preserve"> Az EP választásokon kívül milyen politikai szerepvállalás létezik, és hogyan vennél részt ebben?</w:t>
      </w:r>
    </w:p>
    <w:p w:rsidR="006C5E99" w:rsidRDefault="006C5E99" w:rsidP="00EC3958">
      <w:pPr>
        <w:spacing w:after="240" w:line="276" w:lineRule="auto"/>
      </w:pPr>
      <w:r>
        <w:t xml:space="preserve">A demokrácia a szabadon hozzáférhető és pontos információkon, valamint a </w:t>
      </w:r>
      <w:r>
        <w:rPr>
          <w:u w:val="single"/>
        </w:rPr>
        <w:t>részvételen</w:t>
      </w:r>
      <w:r>
        <w:t xml:space="preserve"> alapul. Egy olyan társadalomban, ahol csupán a lakosság egy része vesz részt a döntéshozatalban (vagyis ahol sokan érzik úgy, hogy nincs hatalmuk és befolyásuk, és ezért nem szavaznak), a demokrácia jellemzően gyengébb, és tovább hanyatlik. Míg a fiatalok közül általában kevesebben szavaznak, mint a lakosság más részeiből, ők gyakran más módokon vállalnak szerepet (önkéntes tevékenységekkel, utcai demonstrációkkal stb.).</w:t>
      </w:r>
    </w:p>
    <w:p w:rsidR="00D41971" w:rsidRDefault="00D41971" w:rsidP="00EC3958">
      <w:pPr>
        <w:pStyle w:val="ListParagraph"/>
        <w:numPr>
          <w:ilvl w:val="0"/>
          <w:numId w:val="44"/>
        </w:numPr>
        <w:spacing w:after="240" w:line="276" w:lineRule="auto"/>
      </w:pPr>
      <w:r>
        <w:t>Hogyan képes a modern demokrácia közvetíteni a fiatalok energiáját és szerepvállalását olyan módon, hogy az valódi változásokat idézzen elő a társadalomban?</w:t>
      </w:r>
    </w:p>
    <w:p w:rsidR="00D41971" w:rsidRDefault="00D41971" w:rsidP="00EC3958">
      <w:pPr>
        <w:pStyle w:val="ListParagraph"/>
        <w:numPr>
          <w:ilvl w:val="0"/>
          <w:numId w:val="44"/>
        </w:numPr>
        <w:spacing w:after="240" w:line="276" w:lineRule="auto"/>
      </w:pPr>
      <w:r>
        <w:t>Hogyan hathat egymásra az alternatív szerepvállalás és a hagyományosabb politikai részvétel?</w:t>
      </w:r>
    </w:p>
    <w:p w:rsidR="00D41971" w:rsidRDefault="00D41971" w:rsidP="00EC3958">
      <w:pPr>
        <w:pStyle w:val="ListParagraph"/>
        <w:numPr>
          <w:ilvl w:val="0"/>
          <w:numId w:val="44"/>
        </w:numPr>
        <w:spacing w:after="240" w:line="276" w:lineRule="auto"/>
      </w:pPr>
      <w:r>
        <w:t>Hogyan vehetnek részt a fiatalok úgy, hogy valóban alakítsák a jövőbeli társadalmi fejleményeket?</w:t>
      </w:r>
    </w:p>
    <w:p w:rsidR="00D41971" w:rsidRPr="00C86B61" w:rsidRDefault="00D41971" w:rsidP="00EC3958">
      <w:pPr>
        <w:pStyle w:val="ListParagraph"/>
        <w:numPr>
          <w:ilvl w:val="0"/>
          <w:numId w:val="44"/>
        </w:numPr>
        <w:spacing w:after="240" w:line="276" w:lineRule="auto"/>
      </w:pPr>
      <w:r>
        <w:t>Hogyan tudnak együttműködni a különböző generációk a jövő érdekében, és hogyan érhető el, hogy a fialatok továbbra is úgy érezzék, hogy részt vesznek a társadalmi és politikai folyamatokban, amint idősebbé válnak és megélik életük különböző szakaszait?</w:t>
      </w:r>
    </w:p>
    <w:p w:rsidR="00C86B61" w:rsidRPr="00C86B61" w:rsidRDefault="00C86B61" w:rsidP="00C86B61"/>
    <w:p w:rsidR="00C86B61" w:rsidRDefault="003C7161" w:rsidP="00C86B61">
      <w:r>
        <w:t>A gondolkodást segítő lehetséges források:</w:t>
      </w:r>
    </w:p>
    <w:p w:rsidR="00F25211" w:rsidRPr="003C7161" w:rsidRDefault="0097721D" w:rsidP="00F25211">
      <w:hyperlink r:id="rId16" w:history="1">
        <w:r w:rsidR="00B311A5">
          <w:rPr>
            <w:rStyle w:val="Hyperlink"/>
          </w:rPr>
          <w:t xml:space="preserve">2015-ös tanulmány: </w:t>
        </w:r>
        <w:r w:rsidR="00B311A5">
          <w:rPr>
            <w:rStyle w:val="Hyperlink"/>
            <w:i/>
            <w:iCs/>
          </w:rPr>
          <w:t>Young people and Democratic Life in Europe: What next after the 2014 European Elections?</w:t>
        </w:r>
        <w:r w:rsidR="00B311A5">
          <w:rPr>
            <w:rStyle w:val="Hyperlink"/>
          </w:rPr>
          <w:t xml:space="preserve"> [A fiatalok és a demokratikus élet Európában: Mi következik a 2014-es európai választások után?]</w:t>
        </w:r>
      </w:hyperlink>
    </w:p>
    <w:p w:rsidR="00F25211" w:rsidRPr="00C86B61" w:rsidRDefault="0097721D" w:rsidP="00F25211">
      <w:pPr>
        <w:rPr>
          <w:u w:val="single"/>
        </w:rPr>
      </w:pPr>
      <w:hyperlink r:id="rId17" w:history="1">
        <w:r w:rsidR="00B311A5">
          <w:rPr>
            <w:rStyle w:val="Hyperlink"/>
          </w:rPr>
          <w:t xml:space="preserve">2018: </w:t>
        </w:r>
        <w:r w:rsidR="00B311A5">
          <w:rPr>
            <w:rStyle w:val="Hyperlink"/>
            <w:i/>
            <w:iCs/>
          </w:rPr>
          <w:t>Youth &amp; Political Parties - a toolkit for Youth-friendly politics in Europe</w:t>
        </w:r>
        <w:r w:rsidR="00B311A5">
          <w:rPr>
            <w:rStyle w:val="Hyperlink"/>
          </w:rPr>
          <w:t xml:space="preserve"> [A fiatalok és a politikai pártok – Az európai ifjúságbarát politika eszköztára]</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További információk</w:t>
      </w:r>
    </w:p>
    <w:p w:rsidR="00386707" w:rsidRPr="000C2BB3" w:rsidRDefault="00386707" w:rsidP="00B162A0">
      <w:pPr>
        <w:keepNext/>
      </w:pPr>
    </w:p>
    <w:p w:rsidR="00386707" w:rsidRPr="000C2BB3" w:rsidRDefault="004E0FBC" w:rsidP="00B162A0">
      <w:pPr>
        <w:pStyle w:val="Heading2"/>
        <w:keepNext/>
      </w:pPr>
      <w:r>
        <w:t>Your Europe, Your Say! (A te Európád, a te szavad!)</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A YEYS honlapja: </w:t>
      </w:r>
      <w:hyperlink r:id="rId27" w:history="1">
        <w:r>
          <w:rPr>
            <w:rStyle w:val="Hyperlink"/>
          </w:rPr>
          <w:t>www.eesc.europa.eu/YEYS2019</w:t>
        </w:r>
      </w:hyperlink>
      <w:r>
        <w:t xml:space="preserve"> </w:t>
      </w:r>
    </w:p>
    <w:p w:rsidR="00B866AC" w:rsidRDefault="000F6F39" w:rsidP="00386707">
      <w:r>
        <w:t xml:space="preserve">Videó a 2018-as YEYS rendezvényről: </w:t>
      </w:r>
      <w:hyperlink r:id="rId28" w:history="1">
        <w:r>
          <w:rPr>
            <w:rStyle w:val="Hyperlink"/>
            <w:sz w:val="18"/>
          </w:rPr>
          <w:t>www.eesc.europa.eu/en/agenda/our-events/events/your-europe-your-say-2018/video-2018</w:t>
        </w:r>
      </w:hyperlink>
      <w:r>
        <w:t xml:space="preserve"> </w:t>
      </w:r>
    </w:p>
    <w:p w:rsidR="000F6F39" w:rsidRPr="000C2BB3" w:rsidRDefault="000F6F39" w:rsidP="00386707">
      <w:r>
        <w:lastRenderedPageBreak/>
        <w:t xml:space="preserve">Beszámoló a 2018-as YEYS rendezvényről: </w:t>
      </w:r>
      <w:hyperlink r:id="rId29" w:history="1">
        <w:r>
          <w:rPr>
            <w:rStyle w:val="Hyperlink"/>
            <w:sz w:val="18"/>
          </w:rPr>
          <w:t>www.eesc.europa.eu/en/agenda/our-events/events/your-europe-your-say-2018/documents</w:t>
        </w:r>
      </w:hyperlink>
    </w:p>
    <w:p w:rsidR="00386707" w:rsidRPr="000C2BB3" w:rsidRDefault="00386707" w:rsidP="00386707"/>
    <w:p w:rsidR="000000DD" w:rsidRPr="000C2BB3" w:rsidRDefault="00F25211" w:rsidP="00B162A0">
      <w:pPr>
        <w:pStyle w:val="Heading2"/>
        <w:keepNext/>
      </w:pPr>
      <w:r>
        <w:t>Az Európai Parlament és a 2019-es választások</w:t>
      </w:r>
    </w:p>
    <w:p w:rsidR="000000DD" w:rsidRPr="000C2BB3" w:rsidRDefault="000000DD" w:rsidP="000000DD"/>
    <w:p w:rsidR="00F25211" w:rsidRPr="000C2BB3" w:rsidRDefault="00F25211" w:rsidP="000000DD">
      <w:r>
        <w:t xml:space="preserve">Az EP weboldala: </w:t>
      </w:r>
      <w:hyperlink r:id="rId30" w:history="1">
        <w:r>
          <w:rPr>
            <w:rStyle w:val="Hyperlink"/>
          </w:rPr>
          <w:t>www.europarl.europa.eu</w:t>
        </w:r>
      </w:hyperlink>
      <w:r>
        <w:t xml:space="preserve"> </w:t>
      </w:r>
    </w:p>
    <w:p w:rsidR="000000DD" w:rsidRDefault="00F25211" w:rsidP="000000DD">
      <w:r>
        <w:t xml:space="preserve">Választási kampány: </w:t>
      </w:r>
      <w:hyperlink r:id="rId31" w:history="1">
        <w:r>
          <w:rPr>
            <w:rStyle w:val="Hyperlink"/>
          </w:rPr>
          <w:t>www.szavaznifogok.eu</w:t>
        </w:r>
      </w:hyperlink>
      <w:r>
        <w:rPr>
          <w:rStyle w:val="Hyperlink"/>
        </w:rPr>
        <w:br/>
      </w:r>
      <w:r>
        <w:t xml:space="preserve">Mit köszönhetnek az EU-nak a régiók: </w:t>
      </w:r>
      <w:hyperlink r:id="rId32" w:history="1">
        <w:r>
          <w:rPr>
            <w:rStyle w:val="Hyperlink"/>
          </w:rPr>
          <w:t>what-europe-does-for-me.eu/hu/home</w:t>
        </w:r>
      </w:hyperlink>
      <w:r>
        <w:t xml:space="preserve"> </w:t>
      </w:r>
    </w:p>
    <w:p w:rsidR="00631AC1" w:rsidRPr="000C2BB3" w:rsidRDefault="00631AC1" w:rsidP="000000DD"/>
    <w:p w:rsidR="004E0FBC" w:rsidRPr="000C2BB3" w:rsidRDefault="00B866AC" w:rsidP="00B162A0">
      <w:pPr>
        <w:pStyle w:val="Heading2"/>
        <w:keepNext/>
      </w:pPr>
      <w:r>
        <w:t>Az EGSZB</w:t>
      </w:r>
    </w:p>
    <w:p w:rsidR="00386707" w:rsidRPr="000C2BB3" w:rsidRDefault="005901E5" w:rsidP="00386707">
      <w:r>
        <w:t xml:space="preserve">Az EGSZB weboldala: </w:t>
      </w:r>
      <w:hyperlink r:id="rId33"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97721D">
      <w:rPr>
        <w:noProof/>
      </w:rPr>
      <w:t>6</w:t>
    </w:r>
    <w:r>
      <w:fldChar w:fldCharType="end"/>
    </w:r>
    <w:r>
      <w:t>/</w:t>
    </w:r>
    <w:fldSimple w:instr=" NUMPAGES ">
      <w:r w:rsidR="0097721D">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ab/>
        <w:t>A „szervezett civil társadalom” mindazon csoportokat és szervezeteket magában foglalja, ahol az emberek együttműködésben dolgoznak – legyen az helyi, nemzeti vagy európai szinten. Ezek a csoportok gyakran közvetítőként működnek a döntéshozók és a polgárok között, és lehetővé teszik az emberek számára, hogy aktívan részt vegyenek életkörülményeik javításában.</w:t>
      </w:r>
    </w:p>
  </w:footnote>
  <w:footnote w:id="3">
    <w:p w:rsidR="007A4551" w:rsidRPr="00E05B60" w:rsidRDefault="007A4551">
      <w:pPr>
        <w:pStyle w:val="FootnoteText"/>
      </w:pPr>
      <w:r>
        <w:rPr>
          <w:rStyle w:val="FootnoteReference"/>
        </w:rPr>
        <w:footnoteRef/>
      </w:r>
      <w:r>
        <w:t xml:space="preserve"> </w:t>
      </w:r>
      <w:r w:rsidR="0097721D">
        <w:tab/>
      </w:r>
      <w:r>
        <w:t xml:space="preserve">Az adatok forrása: </w:t>
      </w:r>
      <w:r>
        <w:rPr>
          <w:i/>
        </w:rPr>
        <w:t>European Parliament Election Study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7721D"/>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DF004"/>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hu-HU"/>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hu-HU"/>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hu-HU"/>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hu-HU"/>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zavaznifogok.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hu/node/40950"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s://what-europe-does-for-me.eu/hu/hom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szavaznifogok.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RCSZ5D2JPTA3-6-7198</_dlc_DocId>
    <_dlc_DocIdUrl xmlns="8975caae-a2e4-4a1b-856a-87d8a7cad937">
      <Url>http://dm/EESC/2018/_layouts/DocIdRedir.aspx?ID=RCSZ5D2JPTA3-6-7198</Url>
      <Description>RCSZ5D2JPTA3-6-7198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2018-12-07T12:00:00+00:00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2B139527-206D-47DE-8956-C6D97F96C636}"/>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D8CEA7DA-CF4B-4E6D-A892-D793F8AA967A}"/>
</file>

<file path=docProps/app.xml><?xml version="1.0" encoding="utf-8"?>
<Properties xmlns="http://schemas.openxmlformats.org/officeDocument/2006/extended-properties" xmlns:vt="http://schemas.openxmlformats.org/officeDocument/2006/docPropsVTypes">
  <Template>Styles.dotm</Template>
  <TotalTime>2</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MUNKADOKUMENTUM A RÉSZT VEVŐ ISKOLÁK SZÁMÁRA</dc:title>
  <dc:creator>Eleonora Di Nicolantonio</dc:creator>
  <cp:keywords>EESC-2018-04514-00-00-INFO-TRA-EN</cp:keywords>
  <dc:description>Rapporteur:  - Original language: EN - Date of document: 07/12/2018 - Date of meeting:  - External documents:  - Administrator: M. Vitali Daniele</dc:description>
  <cp:lastModifiedBy>nkli</cp:lastModifiedBy>
  <cp:revision>3</cp:revision>
  <cp:lastPrinted>2018-11-09T10:27:00Z</cp:lastPrinted>
  <dcterms:created xsi:type="dcterms:W3CDTF">2018-11-21T11:07:00Z</dcterms:created>
  <dcterms:modified xsi:type="dcterms:W3CDTF">2018-12-07T12:10:00Z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38015220-e87e-4e70-a403-2179cad66514</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20;#PL|1e03da61-4678-4e07-b136-b5024ca9197b;#18;#ES|e7a6b05b-ae16-40c8-add9-68b64b03aeba;#14;#NL|55c6556c-b4f4-441d-9acf-c498d4f838bd;#33;#EL|6d4f4d51-af9b-4650-94b4-4276bee85c91;#24;#PT|50ccc04a-eadd-42ae-a0cb-acaf45f812ba;#31;#RO|feb747a2-64cd-4299-af12-4833ddc30497;#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NL|55c6556c-b4f4-441d-9acf-c498d4f838bd;PL|1e03da61-4678-4e07-b136-b5024ca9197b;EL|6d4f4d51-af9b-4650-94b4-4276bee85c91;ES|e7a6b05b-ae16-40c8-add9-68b64b03aeba;PT|50ccc04a-eadd-42ae-a0cb-acaf45f812ba;EN|f2175f21-25d7-44a3-96da-d6a61b075e1b;RO|feb747a2-64cd-4299-af12-4833ddc30497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16;#HU|6b229040-c589-4408-b4c1-4285663d20a8</vt:lpwstr>
  </property>
</Properties>
</file>