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16" w:rsidRPr="00053C22" w:rsidRDefault="00053C22" w:rsidP="00530116">
      <w:pPr>
        <w:textAlignment w:val="baseline"/>
        <w:rPr>
          <w:rFonts w:ascii="Verdana" w:eastAsia="MS PGothic" w:hAnsi="Verdana" w:cs="Arial"/>
          <w:b/>
          <w:color w:val="000000" w:themeColor="text1"/>
          <w:sz w:val="24"/>
          <w:szCs w:val="24"/>
          <w:lang w:val="en-IE"/>
        </w:rPr>
      </w:pPr>
      <w:r w:rsidRPr="00053C22">
        <w:rPr>
          <w:rFonts w:ascii="Verdana" w:eastAsia="MS PGothic" w:hAnsi="Verdana" w:cs="Arial"/>
          <w:b/>
          <w:color w:val="000000" w:themeColor="text1"/>
          <w:sz w:val="24"/>
          <w:szCs w:val="24"/>
          <w:lang w:val="en-IE"/>
        </w:rPr>
        <w:t>Accessibility for persons with disabilities not included among the selection criteria for funding of projects under new EU rules</w:t>
      </w:r>
    </w:p>
    <w:p w:rsidR="00530116" w:rsidRPr="00053C22" w:rsidRDefault="00530116" w:rsidP="00530116">
      <w:pPr>
        <w:textAlignment w:val="baseline"/>
        <w:rPr>
          <w:rFonts w:ascii="Verdana" w:eastAsia="MS PGothic" w:hAnsi="Verdana" w:cs="Arial"/>
          <w:color w:val="000000" w:themeColor="text1"/>
          <w:sz w:val="24"/>
          <w:szCs w:val="24"/>
          <w:lang w:val="en-IE"/>
        </w:rPr>
      </w:pPr>
    </w:p>
    <w:p w:rsidR="00053C22" w:rsidRPr="00053C22" w:rsidRDefault="00053C22" w:rsidP="00530116">
      <w:pPr>
        <w:textAlignment w:val="baseline"/>
        <w:rPr>
          <w:rFonts w:ascii="Verdana" w:eastAsia="MS PGothic" w:hAnsi="Verdana" w:cs="Arial"/>
          <w:b/>
          <w:color w:val="000000" w:themeColor="text1"/>
          <w:sz w:val="20"/>
          <w:szCs w:val="20"/>
          <w:lang w:val="en-IE"/>
        </w:rPr>
      </w:pPr>
      <w:r w:rsidRPr="00053C22">
        <w:rPr>
          <w:rFonts w:ascii="Verdana" w:eastAsia="MS PGothic" w:hAnsi="Verdana" w:cs="Arial"/>
          <w:b/>
          <w:color w:val="000000" w:themeColor="text1"/>
          <w:sz w:val="20"/>
          <w:szCs w:val="20"/>
          <w:lang w:val="en-IE"/>
        </w:rPr>
        <w:t xml:space="preserve">The EESC </w:t>
      </w:r>
      <w:r>
        <w:rPr>
          <w:rFonts w:ascii="Verdana" w:eastAsia="MS PGothic" w:hAnsi="Verdana" w:cs="Arial"/>
          <w:b/>
          <w:color w:val="000000" w:themeColor="text1"/>
          <w:sz w:val="20"/>
          <w:szCs w:val="20"/>
          <w:lang w:val="en-IE"/>
        </w:rPr>
        <w:t>hearing on the new MFF and cohesion p</w:t>
      </w:r>
      <w:r w:rsidRPr="00053C22">
        <w:rPr>
          <w:rFonts w:ascii="Verdana" w:eastAsia="MS PGothic" w:hAnsi="Verdana" w:cs="Arial"/>
          <w:b/>
          <w:color w:val="000000" w:themeColor="text1"/>
          <w:sz w:val="20"/>
          <w:szCs w:val="20"/>
          <w:lang w:val="en-IE"/>
        </w:rPr>
        <w:t xml:space="preserve">olicy seen from the disability perspective shows the EC proposal could </w:t>
      </w:r>
      <w:r w:rsidR="006B6DA5">
        <w:rPr>
          <w:rFonts w:ascii="Verdana" w:eastAsia="MS PGothic" w:hAnsi="Verdana" w:cs="Arial"/>
          <w:b/>
          <w:color w:val="000000" w:themeColor="text1"/>
          <w:sz w:val="20"/>
          <w:szCs w:val="20"/>
          <w:lang w:val="en-IE"/>
        </w:rPr>
        <w:t xml:space="preserve">still be </w:t>
      </w:r>
      <w:r w:rsidRPr="00053C22">
        <w:rPr>
          <w:rFonts w:ascii="Verdana" w:eastAsia="MS PGothic" w:hAnsi="Verdana" w:cs="Arial"/>
          <w:b/>
          <w:color w:val="000000" w:themeColor="text1"/>
          <w:sz w:val="20"/>
          <w:szCs w:val="20"/>
          <w:lang w:val="en-IE"/>
        </w:rPr>
        <w:t>improve</w:t>
      </w:r>
      <w:r w:rsidR="006B6DA5">
        <w:rPr>
          <w:rFonts w:ascii="Verdana" w:eastAsia="MS PGothic" w:hAnsi="Verdana" w:cs="Arial"/>
          <w:b/>
          <w:color w:val="000000" w:themeColor="text1"/>
          <w:sz w:val="20"/>
          <w:szCs w:val="20"/>
          <w:lang w:val="en-IE"/>
        </w:rPr>
        <w:t>d</w:t>
      </w:r>
    </w:p>
    <w:p w:rsidR="00677A60" w:rsidRDefault="00677A60" w:rsidP="00402095">
      <w:pPr>
        <w:textAlignment w:val="baseline"/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</w:p>
    <w:p w:rsidR="00053C22" w:rsidRDefault="00053C22" w:rsidP="00677A60">
      <w:pPr>
        <w:textAlignment w:val="baseline"/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</w:p>
    <w:p w:rsidR="00677A60" w:rsidRDefault="00677A60" w:rsidP="00677A60">
      <w:pPr>
        <w:textAlignment w:val="baseline"/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  <w:r w:rsidRPr="00283BD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The European Commission's proposals for</w:t>
      </w:r>
      <w:r w:rsidR="0068576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new </w:t>
      </w:r>
      <w:r w:rsidRPr="00283BD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rules governing the funds </w:t>
      </w:r>
      <w:r w:rsidR="00452AAE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that underpin</w:t>
      </w:r>
      <w:r w:rsidRPr="00283BD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EU cohesion policy fail to list </w:t>
      </w:r>
      <w:r w:rsidR="002C1795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equality and </w:t>
      </w:r>
      <w:r w:rsidRPr="00283BD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accessibility 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for </w:t>
      </w:r>
      <w:r w:rsidRPr="00283BD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persons 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with disabilities</w:t>
      </w:r>
      <w:r w:rsidRPr="00283BD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among mandatory eligibility criteria for 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funding. This poses a </w:t>
      </w:r>
      <w:r w:rsidR="0058395D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risk 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that </w:t>
      </w:r>
      <w:r w:rsidRPr="00283BD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public money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may be used to finance</w:t>
      </w:r>
      <w:r w:rsidRPr="00283BD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infrastructure or services that will only increase the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ir</w:t>
      </w:r>
      <w:r w:rsidRPr="00283BD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discrimination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, an EESC hearing revealed.</w:t>
      </w:r>
    </w:p>
    <w:p w:rsidR="00677A60" w:rsidRDefault="00677A60" w:rsidP="00677A60">
      <w:pPr>
        <w:textAlignment w:val="baseline"/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</w:p>
    <w:p w:rsidR="00402095" w:rsidRDefault="00F0487C" w:rsidP="00402095">
      <w:pPr>
        <w:textAlignment w:val="baseline"/>
        <w:rPr>
          <w:rFonts w:ascii="Verdana" w:hAnsi="Verdana"/>
          <w:bCs/>
          <w:sz w:val="18"/>
          <w:szCs w:val="18"/>
        </w:rPr>
      </w:pPr>
      <w:r w:rsidRPr="0027674C">
        <w:rPr>
          <w:rFonts w:ascii="Verdana" w:hAnsi="Verdana"/>
          <w:sz w:val="18"/>
          <w:szCs w:val="18"/>
          <w:lang w:val="en-GB"/>
        </w:rPr>
        <w:t>"T</w:t>
      </w:r>
      <w:r w:rsidR="00E46FE6">
        <w:rPr>
          <w:rFonts w:ascii="Verdana" w:hAnsi="Verdana"/>
          <w:sz w:val="18"/>
          <w:szCs w:val="18"/>
          <w:lang w:val="en-GB"/>
        </w:rPr>
        <w:t>he accessibility in the next Multiannual Financial Framework</w:t>
      </w:r>
      <w:r w:rsidRPr="0027674C">
        <w:rPr>
          <w:rFonts w:ascii="Verdana" w:hAnsi="Verdana"/>
          <w:sz w:val="18"/>
          <w:szCs w:val="18"/>
          <w:lang w:val="en-GB"/>
        </w:rPr>
        <w:t xml:space="preserve"> is simple rhetoric,</w:t>
      </w:r>
      <w:r w:rsidR="00E46FE6">
        <w:rPr>
          <w:rFonts w:ascii="Verdana" w:hAnsi="Verdana"/>
          <w:sz w:val="18"/>
          <w:szCs w:val="18"/>
          <w:lang w:val="en-GB"/>
        </w:rPr>
        <w:t xml:space="preserve">" </w:t>
      </w:r>
      <w:r w:rsidR="00402095">
        <w:rPr>
          <w:rFonts w:ascii="Verdana" w:hAnsi="Verdana"/>
          <w:sz w:val="18"/>
          <w:szCs w:val="18"/>
          <w:lang w:val="en-GB"/>
        </w:rPr>
        <w:t xml:space="preserve">said </w:t>
      </w:r>
      <w:r w:rsidR="00E46FE6">
        <w:rPr>
          <w:rFonts w:ascii="Verdana" w:hAnsi="Verdana"/>
          <w:sz w:val="18"/>
          <w:szCs w:val="18"/>
          <w:lang w:val="en-GB"/>
        </w:rPr>
        <w:t xml:space="preserve">the EESC </w:t>
      </w:r>
      <w:r w:rsidR="0058395D">
        <w:rPr>
          <w:rFonts w:ascii="Verdana" w:hAnsi="Verdana"/>
          <w:sz w:val="18"/>
          <w:szCs w:val="18"/>
          <w:lang w:val="en-GB"/>
        </w:rPr>
        <w:t>m</w:t>
      </w:r>
      <w:r w:rsidR="00E46FE6">
        <w:rPr>
          <w:rFonts w:ascii="Verdana" w:hAnsi="Verdana"/>
          <w:sz w:val="18"/>
          <w:szCs w:val="18"/>
          <w:lang w:val="en-GB"/>
        </w:rPr>
        <w:t xml:space="preserve">ember, </w:t>
      </w:r>
      <w:r w:rsidR="00E46FE6" w:rsidRPr="00402095">
        <w:rPr>
          <w:rFonts w:ascii="Verdana" w:hAnsi="Verdana"/>
          <w:b/>
          <w:sz w:val="18"/>
          <w:szCs w:val="18"/>
          <w:lang w:val="en-GB"/>
        </w:rPr>
        <w:t>Ioannis Vardakastanis</w:t>
      </w:r>
      <w:r w:rsidR="00402095">
        <w:rPr>
          <w:rFonts w:ascii="Verdana" w:hAnsi="Verdana"/>
          <w:sz w:val="18"/>
          <w:szCs w:val="18"/>
          <w:lang w:val="en-GB"/>
        </w:rPr>
        <w:t xml:space="preserve">, one of the main speakers at the public hearing </w:t>
      </w:r>
      <w:hyperlink r:id="rId6" w:history="1">
        <w:r w:rsidR="00402095" w:rsidRPr="004B48B1">
          <w:rPr>
            <w:rStyle w:val="Hyperlink"/>
            <w:rFonts w:ascii="Verdana" w:hAnsi="Verdana"/>
            <w:b/>
            <w:sz w:val="18"/>
            <w:szCs w:val="18"/>
            <w:lang w:val="en-GB"/>
          </w:rPr>
          <w:t>"</w:t>
        </w:r>
        <w:r w:rsidR="00402095" w:rsidRPr="004B48B1">
          <w:rPr>
            <w:rStyle w:val="Hyperlink"/>
            <w:rFonts w:ascii="Verdana" w:hAnsi="Verdana"/>
            <w:bCs/>
            <w:sz w:val="18"/>
            <w:szCs w:val="18"/>
          </w:rPr>
          <w:t>The new MFF and cohesion policy: how to better use EU funds for persons with disabilities in the new financial framework"</w:t>
        </w:r>
      </w:hyperlink>
      <w:r w:rsidR="00402095" w:rsidRPr="004B48B1">
        <w:rPr>
          <w:rFonts w:ascii="Verdana" w:hAnsi="Verdana"/>
          <w:b/>
          <w:bCs/>
          <w:sz w:val="18"/>
          <w:szCs w:val="18"/>
        </w:rPr>
        <w:t>,</w:t>
      </w:r>
      <w:r w:rsidR="00402095" w:rsidRPr="004B48B1">
        <w:rPr>
          <w:rFonts w:ascii="Verdana" w:hAnsi="Verdana"/>
          <w:bCs/>
          <w:sz w:val="18"/>
          <w:szCs w:val="18"/>
        </w:rPr>
        <w:t xml:space="preserve"> held by the EESC Study Group on Disability</w:t>
      </w:r>
      <w:r w:rsidR="004B48B1">
        <w:rPr>
          <w:rFonts w:ascii="Verdana" w:hAnsi="Verdana"/>
          <w:bCs/>
          <w:sz w:val="18"/>
          <w:szCs w:val="18"/>
        </w:rPr>
        <w:t xml:space="preserve"> Rights on 23 October.</w:t>
      </w:r>
    </w:p>
    <w:p w:rsidR="0064161D" w:rsidRDefault="0064161D" w:rsidP="00402095">
      <w:pPr>
        <w:textAlignment w:val="baseline"/>
        <w:rPr>
          <w:rFonts w:ascii="Verdana" w:hAnsi="Verdana"/>
          <w:bCs/>
          <w:sz w:val="18"/>
          <w:szCs w:val="18"/>
        </w:rPr>
      </w:pPr>
    </w:p>
    <w:p w:rsidR="0064161D" w:rsidRDefault="0064161D" w:rsidP="0064161D">
      <w:pPr>
        <w:rPr>
          <w:rFonts w:ascii="Verdana" w:eastAsia="MS PGothic" w:hAnsi="Verdana" w:cs="Arial"/>
          <w:sz w:val="18"/>
          <w:szCs w:val="18"/>
          <w:lang w:val="en-GB"/>
        </w:rPr>
      </w:pPr>
      <w:r>
        <w:rPr>
          <w:rFonts w:ascii="Verdana" w:eastAsia="MS PGothic" w:hAnsi="Verdana" w:cs="Arial"/>
          <w:sz w:val="18"/>
          <w:szCs w:val="18"/>
          <w:lang w:val="en-GB"/>
        </w:rPr>
        <w:t xml:space="preserve">The hearing, which included participants from the EESC, European Commission and various NGOs, discussed the proposal for the new Common Provisions Regulation (CPR) – which sets common provisions for seven funds, managed jointly with Member States and representing </w:t>
      </w:r>
      <w:r w:rsidR="006B6DA5">
        <w:rPr>
          <w:rFonts w:ascii="Verdana" w:eastAsia="MS PGothic" w:hAnsi="Verdana" w:cs="Arial"/>
          <w:sz w:val="18"/>
          <w:szCs w:val="18"/>
          <w:lang w:val="en-GB"/>
        </w:rPr>
        <w:t xml:space="preserve">the </w:t>
      </w:r>
      <w:r>
        <w:rPr>
          <w:rFonts w:ascii="Verdana" w:eastAsia="MS PGothic" w:hAnsi="Verdana" w:cs="Arial"/>
          <w:sz w:val="18"/>
          <w:szCs w:val="18"/>
          <w:lang w:val="en-GB"/>
        </w:rPr>
        <w:t xml:space="preserve">main tools for the implementation of cohesion policy </w:t>
      </w:r>
      <w:r w:rsidR="0097381B">
        <w:rPr>
          <w:rFonts w:ascii="Verdana" w:eastAsia="MS PGothic" w:hAnsi="Verdana" w:cs="Arial"/>
          <w:sz w:val="18"/>
          <w:szCs w:val="18"/>
          <w:lang w:val="en-GB"/>
        </w:rPr>
        <w:t>–</w:t>
      </w:r>
      <w:r>
        <w:rPr>
          <w:rFonts w:ascii="Verdana" w:eastAsia="MS PGothic" w:hAnsi="Verdana" w:cs="Arial"/>
          <w:sz w:val="18"/>
          <w:szCs w:val="18"/>
          <w:lang w:val="en-GB"/>
        </w:rPr>
        <w:t xml:space="preserve"> </w:t>
      </w:r>
      <w:r w:rsidR="0097381B">
        <w:rPr>
          <w:rFonts w:ascii="Verdana" w:eastAsia="MS PGothic" w:hAnsi="Verdana" w:cs="Arial"/>
          <w:sz w:val="18"/>
          <w:szCs w:val="18"/>
          <w:lang w:val="en-GB"/>
        </w:rPr>
        <w:t>and the possible</w:t>
      </w:r>
      <w:r w:rsidR="00A123B0">
        <w:rPr>
          <w:rFonts w:ascii="Verdana" w:eastAsia="MS PGothic" w:hAnsi="Verdana" w:cs="Arial"/>
          <w:sz w:val="18"/>
          <w:szCs w:val="18"/>
          <w:lang w:val="en-GB"/>
        </w:rPr>
        <w:t xml:space="preserve"> changes it would </w:t>
      </w:r>
      <w:r>
        <w:rPr>
          <w:rFonts w:ascii="Verdana" w:eastAsia="MS PGothic" w:hAnsi="Verdana" w:cs="Arial"/>
          <w:sz w:val="18"/>
          <w:szCs w:val="18"/>
          <w:lang w:val="en-GB"/>
        </w:rPr>
        <w:t xml:space="preserve">bring for disability policies. </w:t>
      </w:r>
    </w:p>
    <w:p w:rsidR="0064161D" w:rsidRDefault="0064161D" w:rsidP="0064161D">
      <w:pPr>
        <w:rPr>
          <w:rFonts w:ascii="Verdana" w:eastAsia="MS PGothic" w:hAnsi="Verdana" w:cs="Arial"/>
          <w:sz w:val="18"/>
          <w:szCs w:val="18"/>
          <w:lang w:val="en-GB"/>
        </w:rPr>
      </w:pPr>
    </w:p>
    <w:p w:rsidR="0064161D" w:rsidRDefault="0064161D" w:rsidP="0064161D">
      <w:pPr>
        <w:rPr>
          <w:rFonts w:ascii="Verdana" w:eastAsia="MS PGothic" w:hAnsi="Verdana" w:cs="Arial"/>
          <w:sz w:val="18"/>
          <w:szCs w:val="18"/>
          <w:lang w:val="en-GB"/>
        </w:rPr>
      </w:pPr>
      <w:r>
        <w:rPr>
          <w:rFonts w:ascii="Verdana" w:eastAsia="MS PGothic" w:hAnsi="Verdana" w:cs="Arial"/>
          <w:sz w:val="18"/>
          <w:szCs w:val="18"/>
          <w:lang w:val="en-GB"/>
        </w:rPr>
        <w:t xml:space="preserve">Regulations governing the use of individual funds which fall under the CPR, such as </w:t>
      </w:r>
      <w:r w:rsidR="006B6DA5">
        <w:rPr>
          <w:rFonts w:ascii="Verdana" w:eastAsia="MS PGothic" w:hAnsi="Verdana" w:cs="Arial"/>
          <w:sz w:val="18"/>
          <w:szCs w:val="18"/>
          <w:lang w:val="en-GB"/>
        </w:rPr>
        <w:t xml:space="preserve">the </w:t>
      </w:r>
      <w:r>
        <w:rPr>
          <w:rFonts w:ascii="Verdana" w:eastAsia="MS PGothic" w:hAnsi="Verdana" w:cs="Arial"/>
          <w:sz w:val="18"/>
          <w:szCs w:val="18"/>
          <w:lang w:val="en-GB"/>
        </w:rPr>
        <w:t xml:space="preserve">European </w:t>
      </w:r>
      <w:r w:rsidR="00A367C0">
        <w:rPr>
          <w:rFonts w:ascii="Verdana" w:eastAsia="MS PGothic" w:hAnsi="Verdana" w:cs="Arial"/>
          <w:sz w:val="18"/>
          <w:szCs w:val="18"/>
          <w:lang w:val="en-GB"/>
        </w:rPr>
        <w:t xml:space="preserve">Social </w:t>
      </w:r>
      <w:r>
        <w:rPr>
          <w:rFonts w:ascii="Verdana" w:eastAsia="MS PGothic" w:hAnsi="Verdana" w:cs="Arial"/>
          <w:sz w:val="18"/>
          <w:szCs w:val="18"/>
          <w:lang w:val="en-GB"/>
        </w:rPr>
        <w:t>Fund</w:t>
      </w:r>
      <w:r w:rsidR="00A367C0">
        <w:rPr>
          <w:rFonts w:ascii="Verdana" w:eastAsia="MS PGothic" w:hAnsi="Verdana" w:cs="Arial"/>
          <w:sz w:val="18"/>
          <w:szCs w:val="18"/>
          <w:lang w:val="en-GB"/>
        </w:rPr>
        <w:t xml:space="preserve">+ </w:t>
      </w:r>
      <w:r>
        <w:rPr>
          <w:rFonts w:ascii="Verdana" w:eastAsia="MS PGothic" w:hAnsi="Verdana" w:cs="Arial"/>
          <w:sz w:val="18"/>
          <w:szCs w:val="18"/>
          <w:lang w:val="en-GB"/>
        </w:rPr>
        <w:t>(ESF</w:t>
      </w:r>
      <w:r w:rsidR="00A367C0">
        <w:rPr>
          <w:rFonts w:ascii="Verdana" w:eastAsia="MS PGothic" w:hAnsi="Verdana" w:cs="Arial"/>
          <w:sz w:val="18"/>
          <w:szCs w:val="18"/>
          <w:lang w:val="en-GB"/>
        </w:rPr>
        <w:t>+</w:t>
      </w:r>
      <w:r>
        <w:rPr>
          <w:rFonts w:ascii="Verdana" w:eastAsia="MS PGothic" w:hAnsi="Verdana" w:cs="Arial"/>
          <w:sz w:val="18"/>
          <w:szCs w:val="18"/>
          <w:lang w:val="en-GB"/>
        </w:rPr>
        <w:t xml:space="preserve">), European Regional Development Fund (ERDF) or Cohesion Fund (CF), were also discussed. The event was opened by </w:t>
      </w:r>
      <w:r w:rsidRPr="0064161D">
        <w:rPr>
          <w:rFonts w:ascii="Verdana" w:eastAsia="MS PGothic" w:hAnsi="Verdana" w:cs="Arial"/>
          <w:b/>
          <w:sz w:val="18"/>
          <w:szCs w:val="18"/>
          <w:lang w:val="en-GB"/>
        </w:rPr>
        <w:t xml:space="preserve">Javier </w:t>
      </w:r>
      <w:proofErr w:type="spellStart"/>
      <w:r w:rsidRPr="0064161D">
        <w:rPr>
          <w:rFonts w:ascii="Verdana" w:eastAsia="MS PGothic" w:hAnsi="Verdana" w:cs="Arial"/>
          <w:b/>
          <w:sz w:val="18"/>
          <w:szCs w:val="18"/>
          <w:lang w:val="en-GB"/>
        </w:rPr>
        <w:t>Doz</w:t>
      </w:r>
      <w:proofErr w:type="spellEnd"/>
      <w:r w:rsidRPr="0064161D">
        <w:rPr>
          <w:rFonts w:ascii="Verdana" w:eastAsia="MS PGothic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64161D">
        <w:rPr>
          <w:rFonts w:ascii="Verdana" w:eastAsia="MS PGothic" w:hAnsi="Verdana" w:cs="Arial"/>
          <w:b/>
          <w:sz w:val="18"/>
          <w:szCs w:val="18"/>
          <w:lang w:val="en-GB"/>
        </w:rPr>
        <w:t>Or</w:t>
      </w:r>
      <w:r w:rsidR="00A367C0">
        <w:rPr>
          <w:rFonts w:ascii="Verdana" w:eastAsia="MS PGothic" w:hAnsi="Verdana" w:cs="Arial"/>
          <w:b/>
          <w:sz w:val="18"/>
          <w:szCs w:val="18"/>
          <w:lang w:val="en-GB"/>
        </w:rPr>
        <w:t>r</w:t>
      </w:r>
      <w:r w:rsidRPr="0064161D">
        <w:rPr>
          <w:rFonts w:ascii="Verdana" w:eastAsia="MS PGothic" w:hAnsi="Verdana" w:cs="Arial"/>
          <w:b/>
          <w:sz w:val="18"/>
          <w:szCs w:val="18"/>
          <w:lang w:val="en-GB"/>
        </w:rPr>
        <w:t>i</w:t>
      </w:r>
      <w:r w:rsidR="00A367C0">
        <w:rPr>
          <w:rFonts w:ascii="Verdana" w:eastAsia="MS PGothic" w:hAnsi="Verdana" w:cs="Arial"/>
          <w:b/>
          <w:sz w:val="18"/>
          <w:szCs w:val="18"/>
          <w:lang w:val="en-GB"/>
        </w:rPr>
        <w:t>t</w:t>
      </w:r>
      <w:proofErr w:type="spellEnd"/>
      <w:r w:rsidRPr="0064161D">
        <w:rPr>
          <w:rFonts w:ascii="Verdana" w:eastAsia="MS PGothic" w:hAnsi="Verdana" w:cs="Arial"/>
          <w:b/>
          <w:sz w:val="18"/>
          <w:szCs w:val="18"/>
          <w:lang w:val="en-GB"/>
        </w:rPr>
        <w:t>,</w:t>
      </w:r>
      <w:r>
        <w:rPr>
          <w:rFonts w:ascii="Verdana" w:eastAsia="MS PGothic" w:hAnsi="Verdana" w:cs="Arial"/>
          <w:sz w:val="18"/>
          <w:szCs w:val="18"/>
          <w:lang w:val="en-GB"/>
        </w:rPr>
        <w:t xml:space="preserve"> EESC rapporteur for the Multiannual Financial Framework after 2020.</w:t>
      </w:r>
    </w:p>
    <w:p w:rsidR="00A123B0" w:rsidRDefault="00A123B0" w:rsidP="00452AAE">
      <w:pPr>
        <w:rPr>
          <w:rFonts w:ascii="Verdana" w:eastAsia="MS PGothic" w:hAnsi="Verdana" w:cs="Arial"/>
          <w:sz w:val="18"/>
          <w:szCs w:val="18"/>
          <w:lang w:val="en-GB"/>
        </w:rPr>
      </w:pPr>
    </w:p>
    <w:p w:rsidR="0019762C" w:rsidRDefault="00A123B0" w:rsidP="00452AAE">
      <w:pPr>
        <w:rPr>
          <w:rFonts w:ascii="Verdana" w:hAnsi="Verdana"/>
          <w:sz w:val="18"/>
          <w:szCs w:val="18"/>
          <w:lang w:val="en-GB"/>
        </w:rPr>
      </w:pPr>
      <w:r w:rsidRPr="00A123B0">
        <w:rPr>
          <w:rFonts w:ascii="Verdana" w:eastAsia="MS PGothic" w:hAnsi="Verdana" w:cs="Arial"/>
          <w:b/>
          <w:sz w:val="18"/>
          <w:szCs w:val="18"/>
          <w:lang w:val="en-GB"/>
        </w:rPr>
        <w:t xml:space="preserve">Mr </w:t>
      </w:r>
      <w:proofErr w:type="spellStart"/>
      <w:r w:rsidRPr="00A123B0">
        <w:rPr>
          <w:rFonts w:ascii="Verdana" w:eastAsia="MS PGothic" w:hAnsi="Verdana" w:cs="Arial"/>
          <w:b/>
          <w:sz w:val="18"/>
          <w:szCs w:val="18"/>
          <w:lang w:val="en-GB"/>
        </w:rPr>
        <w:t>Vardakastanis</w:t>
      </w:r>
      <w:proofErr w:type="spellEnd"/>
      <w:r>
        <w:rPr>
          <w:rFonts w:ascii="Verdana" w:eastAsia="MS PGothic" w:hAnsi="Verdana" w:cs="Arial"/>
          <w:sz w:val="18"/>
          <w:szCs w:val="18"/>
          <w:lang w:val="en-GB"/>
        </w:rPr>
        <w:t xml:space="preserve"> told the hearing that </w:t>
      </w:r>
      <w:r w:rsidR="00F67D5E">
        <w:rPr>
          <w:rFonts w:ascii="Verdana" w:eastAsia="MS PGothic" w:hAnsi="Verdana" w:cs="Arial"/>
          <w:sz w:val="18"/>
          <w:szCs w:val="18"/>
          <w:lang w:val="en-GB"/>
        </w:rPr>
        <w:t xml:space="preserve">in a recent opinion, </w:t>
      </w:r>
      <w:r>
        <w:rPr>
          <w:rFonts w:ascii="Verdana" w:eastAsia="MS PGothic" w:hAnsi="Verdana" w:cs="Arial"/>
          <w:sz w:val="18"/>
          <w:szCs w:val="18"/>
          <w:lang w:val="en-GB"/>
        </w:rPr>
        <w:t xml:space="preserve">the EESC </w:t>
      </w:r>
      <w:r w:rsidR="006B6DA5">
        <w:rPr>
          <w:rFonts w:ascii="Verdana" w:eastAsia="MS PGothic" w:hAnsi="Verdana" w:cs="Arial"/>
          <w:sz w:val="18"/>
          <w:szCs w:val="18"/>
          <w:lang w:val="en-GB"/>
        </w:rPr>
        <w:t xml:space="preserve">had </w:t>
      </w:r>
      <w:r w:rsidR="0058395D">
        <w:rPr>
          <w:rFonts w:ascii="Verdana" w:eastAsia="MS PGothic" w:hAnsi="Verdana" w:cs="Arial"/>
          <w:sz w:val="18"/>
          <w:szCs w:val="18"/>
          <w:lang w:val="en-GB"/>
        </w:rPr>
        <w:t>asked</w:t>
      </w:r>
      <w:r w:rsidR="006B6DA5">
        <w:rPr>
          <w:rFonts w:ascii="Verdana" w:eastAsia="MS PGothic" w:hAnsi="Verdana" w:cs="Arial"/>
          <w:sz w:val="18"/>
          <w:szCs w:val="18"/>
          <w:lang w:val="en-GB"/>
        </w:rPr>
        <w:t xml:space="preserve"> </w:t>
      </w:r>
      <w:r>
        <w:rPr>
          <w:rFonts w:ascii="Verdana" w:eastAsia="MS PGothic" w:hAnsi="Verdana" w:cs="Arial"/>
          <w:sz w:val="18"/>
          <w:szCs w:val="18"/>
          <w:lang w:val="en-GB"/>
        </w:rPr>
        <w:t>the Commission</w:t>
      </w:r>
      <w:r w:rsidR="00A367C0">
        <w:rPr>
          <w:rFonts w:ascii="Verdana" w:eastAsia="MS PGothic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to </w:t>
      </w:r>
      <w:r w:rsidR="00826D19">
        <w:rPr>
          <w:rFonts w:ascii="Verdana" w:hAnsi="Verdana"/>
          <w:sz w:val="18"/>
          <w:szCs w:val="18"/>
          <w:lang w:val="en-GB"/>
        </w:rPr>
        <w:t xml:space="preserve">reincorporate Article </w:t>
      </w:r>
      <w:r w:rsidR="00CC4892">
        <w:rPr>
          <w:rFonts w:ascii="Verdana" w:hAnsi="Verdana"/>
          <w:sz w:val="18"/>
          <w:szCs w:val="18"/>
          <w:lang w:val="en-GB"/>
        </w:rPr>
        <w:t xml:space="preserve">7 of the </w:t>
      </w:r>
      <w:r w:rsidR="00C10AAF">
        <w:rPr>
          <w:rFonts w:ascii="Verdana" w:hAnsi="Verdana"/>
          <w:sz w:val="18"/>
          <w:szCs w:val="18"/>
          <w:lang w:val="en-GB"/>
        </w:rPr>
        <w:t xml:space="preserve">CPR </w:t>
      </w:r>
      <w:r w:rsidR="00CC4892">
        <w:rPr>
          <w:rFonts w:ascii="Verdana" w:hAnsi="Verdana"/>
          <w:sz w:val="18"/>
          <w:szCs w:val="18"/>
          <w:lang w:val="en-GB"/>
        </w:rPr>
        <w:t xml:space="preserve">currently in force </w:t>
      </w:r>
      <w:r w:rsidR="00D211BF">
        <w:rPr>
          <w:rFonts w:ascii="Verdana" w:hAnsi="Verdana"/>
          <w:sz w:val="18"/>
          <w:szCs w:val="18"/>
          <w:lang w:val="en-GB"/>
        </w:rPr>
        <w:t>into its</w:t>
      </w:r>
      <w:r w:rsidR="00C10AAF">
        <w:rPr>
          <w:rFonts w:ascii="Verdana" w:hAnsi="Verdana"/>
          <w:sz w:val="18"/>
          <w:szCs w:val="18"/>
          <w:lang w:val="en-GB"/>
        </w:rPr>
        <w:t xml:space="preserve"> new text</w:t>
      </w:r>
      <w:r w:rsidR="0019762C">
        <w:rPr>
          <w:rFonts w:ascii="Verdana" w:hAnsi="Verdana"/>
          <w:sz w:val="18"/>
          <w:szCs w:val="18"/>
          <w:lang w:val="en-GB"/>
        </w:rPr>
        <w:t xml:space="preserve"> and to </w:t>
      </w:r>
      <w:r w:rsidR="00274DBA">
        <w:rPr>
          <w:rFonts w:ascii="Verdana" w:hAnsi="Verdana"/>
          <w:sz w:val="18"/>
          <w:szCs w:val="18"/>
          <w:lang w:val="en-GB"/>
        </w:rPr>
        <w:t xml:space="preserve">have </w:t>
      </w:r>
      <w:r w:rsidR="0019762C">
        <w:rPr>
          <w:rFonts w:ascii="Verdana" w:hAnsi="Verdana"/>
          <w:sz w:val="18"/>
          <w:szCs w:val="18"/>
          <w:lang w:val="en-GB"/>
        </w:rPr>
        <w:t>accessibility</w:t>
      </w:r>
      <w:r w:rsidR="00274DBA">
        <w:rPr>
          <w:rFonts w:ascii="Verdana" w:hAnsi="Verdana"/>
          <w:sz w:val="18"/>
          <w:szCs w:val="18"/>
          <w:lang w:val="en-GB"/>
        </w:rPr>
        <w:t xml:space="preserve"> for persons with disabilities included</w:t>
      </w:r>
      <w:r w:rsidR="0019762C">
        <w:rPr>
          <w:rFonts w:ascii="Verdana" w:hAnsi="Verdana"/>
          <w:sz w:val="18"/>
          <w:szCs w:val="18"/>
          <w:lang w:val="en-GB"/>
        </w:rPr>
        <w:t xml:space="preserve"> in the new Article 67</w:t>
      </w:r>
      <w:r w:rsidR="003F346B">
        <w:rPr>
          <w:rFonts w:ascii="Verdana" w:hAnsi="Verdana"/>
          <w:sz w:val="18"/>
          <w:szCs w:val="18"/>
          <w:lang w:val="en-GB"/>
        </w:rPr>
        <w:t xml:space="preserve"> </w:t>
      </w:r>
      <w:r w:rsidR="00D211BF">
        <w:rPr>
          <w:rFonts w:ascii="Verdana" w:hAnsi="Verdana"/>
          <w:sz w:val="18"/>
          <w:szCs w:val="18"/>
          <w:lang w:val="en-GB"/>
        </w:rPr>
        <w:t xml:space="preserve">as a criterion for the </w:t>
      </w:r>
      <w:r w:rsidR="003F346B">
        <w:rPr>
          <w:rFonts w:ascii="Verdana" w:hAnsi="Verdana"/>
          <w:sz w:val="18"/>
          <w:szCs w:val="18"/>
          <w:lang w:val="en-GB"/>
        </w:rPr>
        <w:t>selection of operations</w:t>
      </w:r>
      <w:r w:rsidR="0007200B">
        <w:rPr>
          <w:rFonts w:ascii="Verdana" w:hAnsi="Verdana"/>
          <w:sz w:val="18"/>
          <w:szCs w:val="18"/>
          <w:lang w:val="en-GB"/>
        </w:rPr>
        <w:t xml:space="preserve"> that are to be financed</w:t>
      </w:r>
      <w:r w:rsidR="00F5578D">
        <w:rPr>
          <w:rFonts w:ascii="Verdana" w:hAnsi="Verdana"/>
          <w:sz w:val="18"/>
          <w:szCs w:val="18"/>
          <w:lang w:val="en-GB"/>
        </w:rPr>
        <w:t xml:space="preserve"> from EU funds</w:t>
      </w:r>
      <w:r w:rsidR="00C10AAF">
        <w:rPr>
          <w:rFonts w:ascii="Verdana" w:hAnsi="Verdana"/>
          <w:sz w:val="18"/>
          <w:szCs w:val="18"/>
          <w:lang w:val="en-GB"/>
        </w:rPr>
        <w:t xml:space="preserve">. </w:t>
      </w:r>
    </w:p>
    <w:p w:rsidR="0019762C" w:rsidRDefault="0019762C" w:rsidP="00452AAE">
      <w:pPr>
        <w:rPr>
          <w:rFonts w:ascii="Verdana" w:hAnsi="Verdana"/>
          <w:sz w:val="18"/>
          <w:szCs w:val="18"/>
          <w:lang w:val="en-GB"/>
        </w:rPr>
      </w:pPr>
    </w:p>
    <w:p w:rsidR="00C10AAF" w:rsidRDefault="0019762C" w:rsidP="00452AAE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Article 7 of the current CPR </w:t>
      </w:r>
      <w:r w:rsidR="00CC4892">
        <w:rPr>
          <w:rFonts w:ascii="Verdana" w:hAnsi="Verdana"/>
          <w:sz w:val="18"/>
          <w:szCs w:val="18"/>
          <w:lang w:val="en-GB"/>
        </w:rPr>
        <w:t>obliges</w:t>
      </w:r>
      <w:r>
        <w:rPr>
          <w:rFonts w:ascii="Verdana" w:hAnsi="Verdana"/>
          <w:sz w:val="18"/>
          <w:szCs w:val="18"/>
          <w:lang w:val="en-GB"/>
        </w:rPr>
        <w:t xml:space="preserve"> Member States and the Commission to prevent any discrimination during the preparation and implementation of the</w:t>
      </w:r>
      <w:r w:rsidR="0007200B">
        <w:rPr>
          <w:rFonts w:ascii="Verdana" w:hAnsi="Verdana"/>
          <w:sz w:val="18"/>
          <w:szCs w:val="18"/>
          <w:lang w:val="en-GB"/>
        </w:rPr>
        <w:t xml:space="preserve"> funded</w:t>
      </w:r>
      <w:r>
        <w:rPr>
          <w:rFonts w:ascii="Verdana" w:hAnsi="Verdana"/>
          <w:sz w:val="18"/>
          <w:szCs w:val="18"/>
          <w:lang w:val="en-GB"/>
        </w:rPr>
        <w:t xml:space="preserve"> programmes and to ensure accessibility for persons with disabilities. It has been removed from the proposed CPR and its </w:t>
      </w:r>
      <w:r w:rsidR="00A57792">
        <w:rPr>
          <w:rFonts w:ascii="Verdana" w:hAnsi="Verdana"/>
          <w:sz w:val="18"/>
          <w:szCs w:val="18"/>
          <w:lang w:val="en-GB"/>
        </w:rPr>
        <w:t xml:space="preserve">provisions </w:t>
      </w:r>
      <w:r>
        <w:rPr>
          <w:rFonts w:ascii="Verdana" w:hAnsi="Verdana"/>
          <w:sz w:val="18"/>
          <w:szCs w:val="18"/>
          <w:lang w:val="en-GB"/>
        </w:rPr>
        <w:t>were included in the new Article 67</w:t>
      </w:r>
      <w:r w:rsidR="003F346B">
        <w:rPr>
          <w:rFonts w:ascii="Verdana" w:hAnsi="Verdana"/>
          <w:sz w:val="18"/>
          <w:szCs w:val="18"/>
          <w:lang w:val="en-GB"/>
        </w:rPr>
        <w:t xml:space="preserve"> -</w:t>
      </w:r>
      <w:r>
        <w:rPr>
          <w:rFonts w:ascii="Verdana" w:hAnsi="Verdana"/>
          <w:sz w:val="18"/>
          <w:szCs w:val="18"/>
          <w:lang w:val="en-GB"/>
        </w:rPr>
        <w:t xml:space="preserve"> save for accessibility which is not mentioned.</w:t>
      </w:r>
    </w:p>
    <w:p w:rsidR="0019762C" w:rsidRDefault="0019762C" w:rsidP="00452AAE">
      <w:pPr>
        <w:rPr>
          <w:rFonts w:ascii="Verdana" w:hAnsi="Verdana"/>
          <w:sz w:val="18"/>
          <w:szCs w:val="18"/>
          <w:lang w:val="en-GB"/>
        </w:rPr>
      </w:pPr>
    </w:p>
    <w:p w:rsidR="00A123B0" w:rsidRDefault="00F5578D" w:rsidP="00A123B0">
      <w:pPr>
        <w:rPr>
          <w:rFonts w:ascii="Verdana" w:eastAsia="MS PGothic" w:hAnsi="Verdana" w:cs="Arial"/>
          <w:sz w:val="18"/>
          <w:szCs w:val="18"/>
          <w:lang w:val="en-GB"/>
        </w:rPr>
      </w:pPr>
      <w:r>
        <w:rPr>
          <w:rFonts w:ascii="Verdana" w:eastAsia="MS PGothic" w:hAnsi="Verdana" w:cs="Arial"/>
          <w:sz w:val="18"/>
          <w:szCs w:val="18"/>
          <w:lang w:val="en-GB"/>
        </w:rPr>
        <w:t xml:space="preserve">In this way, </w:t>
      </w:r>
      <w:r w:rsidR="00A123B0">
        <w:rPr>
          <w:rFonts w:ascii="Verdana" w:eastAsia="MS PGothic" w:hAnsi="Verdana" w:cs="Arial"/>
          <w:sz w:val="18"/>
          <w:szCs w:val="18"/>
          <w:lang w:val="en-GB"/>
        </w:rPr>
        <w:t>accessibility, non-discrimination and equality are included in the preamble of the new CPR but are no longer embedded in its main text nor in the new ERDF or CF regulations</w:t>
      </w:r>
      <w:r>
        <w:rPr>
          <w:rFonts w:ascii="Verdana" w:eastAsia="MS PGothic" w:hAnsi="Verdana" w:cs="Arial"/>
          <w:sz w:val="18"/>
          <w:szCs w:val="18"/>
          <w:lang w:val="en-GB"/>
        </w:rPr>
        <w:t>. According to the EESC, this</w:t>
      </w:r>
      <w:r w:rsidR="00A123B0">
        <w:rPr>
          <w:rFonts w:ascii="Verdana" w:eastAsia="MS PGothic" w:hAnsi="Verdana" w:cs="Arial"/>
          <w:sz w:val="18"/>
          <w:szCs w:val="18"/>
          <w:lang w:val="en-GB"/>
        </w:rPr>
        <w:t xml:space="preserve"> may mean they would no longer represent criteria for the selection of operations to be funded </w:t>
      </w:r>
      <w:r w:rsidR="006B6DA5">
        <w:rPr>
          <w:rFonts w:ascii="Verdana" w:eastAsia="MS PGothic" w:hAnsi="Verdana" w:cs="Arial"/>
          <w:sz w:val="18"/>
          <w:szCs w:val="18"/>
          <w:lang w:val="en-GB"/>
        </w:rPr>
        <w:t xml:space="preserve">using </w:t>
      </w:r>
      <w:r w:rsidR="00A123B0">
        <w:rPr>
          <w:rFonts w:ascii="Verdana" w:eastAsia="MS PGothic" w:hAnsi="Verdana" w:cs="Arial"/>
          <w:sz w:val="18"/>
          <w:szCs w:val="18"/>
          <w:lang w:val="en-GB"/>
        </w:rPr>
        <w:t>EU money.</w:t>
      </w:r>
      <w:r w:rsidR="00A123B0" w:rsidRPr="00C10AAF">
        <w:rPr>
          <w:rFonts w:ascii="Verdana" w:eastAsia="MS PGothic" w:hAnsi="Verdana" w:cs="Arial"/>
          <w:sz w:val="18"/>
          <w:szCs w:val="18"/>
          <w:lang w:val="en-GB"/>
        </w:rPr>
        <w:t xml:space="preserve"> </w:t>
      </w:r>
    </w:p>
    <w:p w:rsidR="00A123B0" w:rsidRDefault="00A123B0" w:rsidP="00452AAE">
      <w:pPr>
        <w:rPr>
          <w:rFonts w:ascii="Verdana" w:hAnsi="Verdana"/>
          <w:sz w:val="18"/>
          <w:szCs w:val="18"/>
          <w:lang w:val="en-GB"/>
        </w:rPr>
      </w:pPr>
    </w:p>
    <w:p w:rsidR="00C10AAF" w:rsidRDefault="00C10AAF" w:rsidP="00C10AAF">
      <w:pPr>
        <w:rPr>
          <w:rFonts w:ascii="Verdana" w:hAnsi="Verdana"/>
          <w:sz w:val="18"/>
          <w:szCs w:val="18"/>
          <w:lang w:val="en-GB"/>
        </w:rPr>
      </w:pPr>
      <w:r w:rsidRPr="004B48B1">
        <w:rPr>
          <w:rFonts w:ascii="Verdana" w:eastAsia="MS PGothic" w:hAnsi="Verdana" w:cs="Arial"/>
          <w:sz w:val="18"/>
          <w:szCs w:val="18"/>
          <w:lang w:val="en-GB"/>
        </w:rPr>
        <w:t>"</w:t>
      </w:r>
      <w:r w:rsidR="003F346B">
        <w:rPr>
          <w:rFonts w:ascii="Verdana" w:eastAsia="MS PGothic" w:hAnsi="Verdana" w:cs="Arial"/>
          <w:sz w:val="18"/>
          <w:szCs w:val="18"/>
          <w:lang w:val="en-GB"/>
        </w:rPr>
        <w:t xml:space="preserve">Under the new regulation, accessibility is not obligatory. </w:t>
      </w:r>
      <w:r>
        <w:rPr>
          <w:rFonts w:ascii="Verdana" w:hAnsi="Verdana"/>
          <w:sz w:val="18"/>
          <w:szCs w:val="18"/>
          <w:lang w:val="en-GB"/>
        </w:rPr>
        <w:t xml:space="preserve">This </w:t>
      </w:r>
      <w:r w:rsidR="003F346B">
        <w:rPr>
          <w:rFonts w:ascii="Verdana" w:hAnsi="Verdana"/>
          <w:sz w:val="18"/>
          <w:szCs w:val="18"/>
          <w:lang w:val="en-GB"/>
        </w:rPr>
        <w:t>will</w:t>
      </w:r>
      <w:r>
        <w:rPr>
          <w:rFonts w:ascii="Verdana" w:hAnsi="Verdana"/>
          <w:sz w:val="18"/>
          <w:szCs w:val="18"/>
          <w:lang w:val="en-GB"/>
        </w:rPr>
        <w:t xml:space="preserve"> allow for public funding to</w:t>
      </w:r>
      <w:r w:rsidRPr="004B48B1">
        <w:rPr>
          <w:rFonts w:ascii="Verdana" w:hAnsi="Verdana"/>
          <w:sz w:val="18"/>
          <w:szCs w:val="18"/>
          <w:lang w:val="en-GB"/>
        </w:rPr>
        <w:t xml:space="preserve"> be used to </w:t>
      </w:r>
      <w:r>
        <w:rPr>
          <w:rFonts w:ascii="Verdana" w:hAnsi="Verdana"/>
          <w:sz w:val="18"/>
          <w:szCs w:val="18"/>
          <w:lang w:val="en-GB"/>
        </w:rPr>
        <w:t xml:space="preserve">create </w:t>
      </w:r>
      <w:r w:rsidRPr="004B48B1">
        <w:rPr>
          <w:rFonts w:ascii="Verdana" w:hAnsi="Verdana"/>
          <w:sz w:val="18"/>
          <w:szCs w:val="18"/>
          <w:lang w:val="en-GB"/>
        </w:rPr>
        <w:t>working spaces</w:t>
      </w:r>
      <w:r>
        <w:rPr>
          <w:rFonts w:ascii="Verdana" w:hAnsi="Verdana"/>
          <w:sz w:val="18"/>
          <w:szCs w:val="18"/>
          <w:lang w:val="en-GB"/>
        </w:rPr>
        <w:t>, products or services</w:t>
      </w:r>
      <w:r w:rsidRPr="004B48B1">
        <w:rPr>
          <w:rFonts w:ascii="Verdana" w:hAnsi="Verdana"/>
          <w:sz w:val="18"/>
          <w:szCs w:val="18"/>
          <w:lang w:val="en-GB"/>
        </w:rPr>
        <w:t xml:space="preserve"> that will make discrimination of persons with disabilities</w:t>
      </w:r>
      <w:r>
        <w:rPr>
          <w:rFonts w:ascii="Verdana" w:hAnsi="Verdana"/>
          <w:sz w:val="18"/>
          <w:szCs w:val="18"/>
          <w:lang w:val="en-GB"/>
        </w:rPr>
        <w:t xml:space="preserve"> even bigger," </w:t>
      </w:r>
      <w:r w:rsidRPr="004B48B1">
        <w:rPr>
          <w:rFonts w:ascii="Verdana" w:hAnsi="Verdana"/>
          <w:b/>
          <w:sz w:val="18"/>
          <w:szCs w:val="18"/>
          <w:lang w:val="en-GB"/>
        </w:rPr>
        <w:t>Mr Vardakastanis</w:t>
      </w:r>
      <w:r>
        <w:rPr>
          <w:rFonts w:ascii="Verdana" w:hAnsi="Verdana"/>
          <w:sz w:val="18"/>
          <w:szCs w:val="18"/>
          <w:lang w:val="en-GB"/>
        </w:rPr>
        <w:t xml:space="preserve"> warned. </w:t>
      </w:r>
    </w:p>
    <w:p w:rsidR="00C10AAF" w:rsidRDefault="00C10AAF" w:rsidP="00452AAE">
      <w:pPr>
        <w:rPr>
          <w:rFonts w:ascii="Verdana" w:hAnsi="Verdana"/>
          <w:sz w:val="18"/>
          <w:szCs w:val="18"/>
          <w:lang w:val="en-GB"/>
        </w:rPr>
      </w:pPr>
    </w:p>
    <w:p w:rsidR="003F346B" w:rsidRPr="004B48B1" w:rsidRDefault="003F346B" w:rsidP="003F346B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The same </w:t>
      </w:r>
      <w:r w:rsidR="0007200B">
        <w:rPr>
          <w:rFonts w:ascii="Verdana" w:hAnsi="Verdana"/>
          <w:sz w:val="18"/>
          <w:szCs w:val="18"/>
          <w:lang w:val="en-GB"/>
        </w:rPr>
        <w:t>concerns were voiced</w:t>
      </w:r>
      <w:r w:rsidR="00452AAE">
        <w:rPr>
          <w:rFonts w:ascii="Verdana" w:hAnsi="Verdana"/>
          <w:sz w:val="18"/>
          <w:szCs w:val="18"/>
          <w:lang w:val="en-GB"/>
        </w:rPr>
        <w:t xml:space="preserve"> by the EESC in </w:t>
      </w:r>
      <w:r w:rsidR="00F67D5E">
        <w:rPr>
          <w:rFonts w:ascii="Verdana" w:hAnsi="Verdana"/>
          <w:sz w:val="18"/>
          <w:szCs w:val="18"/>
          <w:lang w:val="en-GB"/>
        </w:rPr>
        <w:t xml:space="preserve">its </w:t>
      </w:r>
      <w:bookmarkStart w:id="0" w:name="_GoBack"/>
      <w:bookmarkEnd w:id="0"/>
      <w:r w:rsidR="00F67D5E">
        <w:rPr>
          <w:rFonts w:ascii="Verdana" w:hAnsi="Verdana"/>
          <w:sz w:val="18"/>
          <w:szCs w:val="18"/>
          <w:lang w:val="en-GB"/>
        </w:rPr>
        <w:fldChar w:fldCharType="begin"/>
      </w:r>
      <w:r w:rsidR="00F67D5E">
        <w:rPr>
          <w:rFonts w:ascii="Verdana" w:hAnsi="Verdana"/>
          <w:sz w:val="18"/>
          <w:szCs w:val="18"/>
          <w:lang w:val="en-GB"/>
        </w:rPr>
        <w:instrText xml:space="preserve"> HYPERLINK "https://www.eesc.europa.eu/en/our-work/opinions-information-reports/opinions/regulation-european-regional-development-fund-2021-2027" </w:instrText>
      </w:r>
      <w:r w:rsidR="00F67D5E">
        <w:rPr>
          <w:rFonts w:ascii="Verdana" w:hAnsi="Verdana"/>
          <w:sz w:val="18"/>
          <w:szCs w:val="18"/>
          <w:lang w:val="en-GB"/>
        </w:rPr>
      </w:r>
      <w:r w:rsidR="00F67D5E">
        <w:rPr>
          <w:rFonts w:ascii="Verdana" w:hAnsi="Verdana"/>
          <w:sz w:val="18"/>
          <w:szCs w:val="18"/>
          <w:lang w:val="en-GB"/>
        </w:rPr>
        <w:fldChar w:fldCharType="separate"/>
      </w:r>
      <w:r w:rsidR="00452AAE" w:rsidRPr="00F67D5E">
        <w:rPr>
          <w:rStyle w:val="Hyperlink"/>
          <w:rFonts w:ascii="Verdana" w:hAnsi="Verdana"/>
          <w:sz w:val="18"/>
          <w:szCs w:val="18"/>
          <w:lang w:val="en-GB"/>
        </w:rPr>
        <w:t>opinion</w:t>
      </w:r>
      <w:r w:rsidR="00F67D5E">
        <w:rPr>
          <w:rFonts w:ascii="Verdana" w:hAnsi="Verdana"/>
          <w:sz w:val="18"/>
          <w:szCs w:val="18"/>
          <w:lang w:val="en-GB"/>
        </w:rPr>
        <w:fldChar w:fldCharType="end"/>
      </w:r>
      <w:r w:rsidR="00452AAE">
        <w:rPr>
          <w:rFonts w:ascii="Verdana" w:hAnsi="Verdana"/>
          <w:sz w:val="18"/>
          <w:szCs w:val="18"/>
          <w:lang w:val="en-GB"/>
        </w:rPr>
        <w:t xml:space="preserve"> on the </w:t>
      </w:r>
      <w:r w:rsidR="00A123B0">
        <w:rPr>
          <w:rFonts w:ascii="Verdana" w:hAnsi="Verdana"/>
          <w:sz w:val="18"/>
          <w:szCs w:val="18"/>
          <w:lang w:val="en-GB"/>
        </w:rPr>
        <w:t>ERDF</w:t>
      </w:r>
      <w:r w:rsidR="00452AAE">
        <w:rPr>
          <w:rFonts w:ascii="Verdana" w:hAnsi="Verdana"/>
          <w:sz w:val="18"/>
          <w:szCs w:val="18"/>
          <w:lang w:val="en-GB"/>
        </w:rPr>
        <w:t xml:space="preserve"> </w:t>
      </w:r>
      <w:r w:rsidR="00A123B0">
        <w:rPr>
          <w:rFonts w:ascii="Verdana" w:hAnsi="Verdana"/>
          <w:sz w:val="18"/>
          <w:szCs w:val="18"/>
          <w:lang w:val="en-GB"/>
        </w:rPr>
        <w:t>and the CF,</w:t>
      </w:r>
      <w:r w:rsidR="00452AAE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authored by</w:t>
      </w:r>
      <w:r w:rsidR="00452AAE">
        <w:rPr>
          <w:rFonts w:ascii="Verdana" w:hAnsi="Verdana"/>
          <w:sz w:val="18"/>
          <w:szCs w:val="18"/>
          <w:lang w:val="en-GB"/>
        </w:rPr>
        <w:t xml:space="preserve"> </w:t>
      </w:r>
      <w:r w:rsidR="00452AAE" w:rsidRPr="00A123B0">
        <w:rPr>
          <w:rFonts w:ascii="Verdana" w:hAnsi="Verdana"/>
          <w:b/>
          <w:sz w:val="18"/>
          <w:szCs w:val="18"/>
          <w:lang w:val="en-GB"/>
        </w:rPr>
        <w:t xml:space="preserve">Mr </w:t>
      </w:r>
      <w:r w:rsidRPr="00A123B0">
        <w:rPr>
          <w:rFonts w:ascii="Verdana" w:hAnsi="Verdana"/>
          <w:b/>
          <w:sz w:val="18"/>
          <w:szCs w:val="18"/>
          <w:lang w:val="en-GB"/>
        </w:rPr>
        <w:t>Vardakastanis</w:t>
      </w:r>
      <w:r>
        <w:rPr>
          <w:rFonts w:ascii="Verdana" w:hAnsi="Verdana"/>
          <w:sz w:val="18"/>
          <w:szCs w:val="18"/>
          <w:lang w:val="en-GB"/>
        </w:rPr>
        <w:t>, but were also echoed by other participants in the hearing</w:t>
      </w:r>
      <w:r w:rsidRPr="003F346B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which included representatives from </w:t>
      </w:r>
      <w:r w:rsidR="006B6DA5">
        <w:rPr>
          <w:rFonts w:ascii="Verdana" w:hAnsi="Verdana"/>
          <w:sz w:val="18"/>
          <w:szCs w:val="18"/>
          <w:lang w:val="en-GB"/>
        </w:rPr>
        <w:t xml:space="preserve">the </w:t>
      </w:r>
      <w:r w:rsidR="00A123B0">
        <w:rPr>
          <w:rFonts w:ascii="Verdana" w:hAnsi="Verdana"/>
          <w:sz w:val="18"/>
          <w:szCs w:val="18"/>
          <w:lang w:val="en-GB"/>
        </w:rPr>
        <w:t>E</w:t>
      </w:r>
      <w:r>
        <w:rPr>
          <w:rFonts w:ascii="Verdana" w:hAnsi="Verdana"/>
          <w:sz w:val="18"/>
          <w:szCs w:val="18"/>
          <w:lang w:val="en-GB"/>
        </w:rPr>
        <w:t>uropean Disability Forum</w:t>
      </w:r>
      <w:r w:rsidR="00D211BF">
        <w:rPr>
          <w:rFonts w:ascii="Verdana" w:hAnsi="Verdana"/>
          <w:sz w:val="18"/>
          <w:szCs w:val="18"/>
          <w:lang w:val="en-GB"/>
        </w:rPr>
        <w:t xml:space="preserve"> (EDF)</w:t>
      </w:r>
      <w:r>
        <w:rPr>
          <w:rFonts w:ascii="Verdana" w:hAnsi="Verdana"/>
          <w:sz w:val="18"/>
          <w:szCs w:val="18"/>
          <w:lang w:val="en-GB"/>
        </w:rPr>
        <w:t xml:space="preserve">, European Network for Independent Living (ENIL), European Association of Service Providers for </w:t>
      </w:r>
      <w:r w:rsidR="00A57792">
        <w:rPr>
          <w:rFonts w:ascii="Verdana" w:hAnsi="Verdana"/>
          <w:sz w:val="18"/>
          <w:szCs w:val="18"/>
          <w:lang w:val="en-GB"/>
        </w:rPr>
        <w:t>P</w:t>
      </w:r>
      <w:r>
        <w:rPr>
          <w:rFonts w:ascii="Verdana" w:hAnsi="Verdana"/>
          <w:sz w:val="18"/>
          <w:szCs w:val="18"/>
          <w:lang w:val="en-GB"/>
        </w:rPr>
        <w:t xml:space="preserve">ersons with </w:t>
      </w:r>
      <w:r w:rsidR="00A57792">
        <w:rPr>
          <w:rFonts w:ascii="Verdana" w:hAnsi="Verdana"/>
          <w:sz w:val="18"/>
          <w:szCs w:val="18"/>
          <w:lang w:val="en-GB"/>
        </w:rPr>
        <w:t>D</w:t>
      </w:r>
      <w:r>
        <w:rPr>
          <w:rFonts w:ascii="Verdana" w:hAnsi="Verdana"/>
          <w:sz w:val="18"/>
          <w:szCs w:val="18"/>
          <w:lang w:val="en-GB"/>
        </w:rPr>
        <w:t>isabilities (EASDP) and Spain's ONCE Foundation.</w:t>
      </w:r>
    </w:p>
    <w:p w:rsidR="003F346B" w:rsidRDefault="003F346B" w:rsidP="003F346B">
      <w:pPr>
        <w:rPr>
          <w:rFonts w:ascii="Verdana" w:hAnsi="Verdana"/>
          <w:sz w:val="18"/>
          <w:szCs w:val="18"/>
          <w:lang w:val="en-GB"/>
        </w:rPr>
      </w:pPr>
    </w:p>
    <w:p w:rsidR="0007200B" w:rsidRDefault="0007200B" w:rsidP="0007200B">
      <w:pP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  <w:r>
        <w:rPr>
          <w:rFonts w:ascii="Verdana" w:eastAsia="MS PGothic" w:hAnsi="Verdana" w:cs="Arial"/>
          <w:color w:val="000000" w:themeColor="text1"/>
          <w:sz w:val="18"/>
          <w:szCs w:val="18"/>
        </w:rPr>
        <w:t>"</w:t>
      </w:r>
      <w:r w:rsidRPr="0007200B">
        <w:rPr>
          <w:rFonts w:ascii="Verdana" w:eastAsia="MS PGothic" w:hAnsi="Verdana" w:cs="Arial"/>
          <w:color w:val="000000" w:themeColor="text1"/>
          <w:sz w:val="18"/>
          <w:szCs w:val="18"/>
        </w:rPr>
        <w:t>There are more than 80 million people with disabilities in the EU. We want the relevant regulations to be clear that investment in inaccessible infrastructure or technology cannot be accepted</w:t>
      </w:r>
      <w:r>
        <w:rPr>
          <w:rFonts w:ascii="Verdana" w:eastAsia="MS PGothic" w:hAnsi="Verdana" w:cs="Arial"/>
          <w:color w:val="000000" w:themeColor="text1"/>
          <w:sz w:val="18"/>
          <w:szCs w:val="18"/>
        </w:rPr>
        <w:t xml:space="preserve">," 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said </w:t>
      </w:r>
      <w:r w:rsidRPr="0007200B">
        <w:rPr>
          <w:rFonts w:ascii="Verdana" w:eastAsia="MS PGothic" w:hAnsi="Verdana" w:cs="Arial"/>
          <w:b/>
          <w:color w:val="000000" w:themeColor="text1"/>
          <w:sz w:val="18"/>
          <w:szCs w:val="18"/>
          <w:lang w:val="en-IE"/>
        </w:rPr>
        <w:t>Catherine Naughton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of the EDF, adding that "it should be possible to invest in accessible housing in the same way it is possible to fund energy</w:t>
      </w:r>
      <w:r w:rsidR="00A57792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-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efficient housing".</w:t>
      </w:r>
    </w:p>
    <w:p w:rsidR="00053C22" w:rsidRDefault="00053C22" w:rsidP="0007200B">
      <w:pP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</w:p>
    <w:p w:rsidR="0007200B" w:rsidRPr="0007200B" w:rsidRDefault="0007200B" w:rsidP="0007200B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The participants also asked for the transition from institutional to community-based care for persons with disabilities to be restored as an investment priority</w:t>
      </w:r>
      <w:r w:rsidR="00F5578D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under the new rules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so as to </w:t>
      </w:r>
      <w:r w:rsidR="00F5578D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enable these </w:t>
      </w:r>
      <w:r w:rsidR="00A57792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people </w:t>
      </w:r>
      <w:r w:rsidR="00F5578D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to live independent lives and be included in their communities. In the same vein, building or renovating segregated institutional care facilities</w:t>
      </w:r>
      <w:r w:rsidR="00D82DE8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must</w:t>
      </w:r>
      <w:r w:rsidR="00F5578D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not </w:t>
      </w:r>
      <w:r w:rsidR="00A742C2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be eligible for funding.</w:t>
      </w:r>
    </w:p>
    <w:p w:rsidR="0007200B" w:rsidRDefault="0007200B" w:rsidP="00274DBA">
      <w:pPr>
        <w:rPr>
          <w:rFonts w:ascii="Verdana" w:hAnsi="Verdana"/>
          <w:sz w:val="18"/>
          <w:szCs w:val="18"/>
          <w:lang w:val="en-GB"/>
        </w:rPr>
      </w:pPr>
    </w:p>
    <w:p w:rsidR="00053C22" w:rsidRDefault="00A742C2" w:rsidP="00274DBA">
      <w:pPr>
        <w:rPr>
          <w:rFonts w:ascii="Verdana" w:hAnsi="Verdana"/>
          <w:sz w:val="18"/>
          <w:szCs w:val="18"/>
          <w:lang w:val="en-GB"/>
        </w:rPr>
      </w:pPr>
      <w:r w:rsidRPr="00601B23">
        <w:rPr>
          <w:rFonts w:ascii="Verdana" w:hAnsi="Verdana"/>
          <w:b/>
          <w:sz w:val="18"/>
          <w:szCs w:val="18"/>
          <w:lang w:val="en-GB"/>
        </w:rPr>
        <w:t>Maria Tussy-Flores</w:t>
      </w:r>
      <w:r>
        <w:rPr>
          <w:rFonts w:ascii="Verdana" w:hAnsi="Verdana"/>
          <w:sz w:val="18"/>
          <w:szCs w:val="18"/>
          <w:lang w:val="en-GB"/>
        </w:rPr>
        <w:t xml:space="preserve"> of the ONCE Foundation gave a positive example of a successful use of EU funds. Through the ESF</w:t>
      </w:r>
      <w:r w:rsidR="00D82DE8">
        <w:rPr>
          <w:rFonts w:ascii="Verdana" w:hAnsi="Verdana"/>
          <w:sz w:val="18"/>
          <w:szCs w:val="18"/>
          <w:lang w:val="en-GB"/>
        </w:rPr>
        <w:t xml:space="preserve"> and in cooperation with the Spanish government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="00D82DE8">
        <w:rPr>
          <w:rFonts w:ascii="Verdana" w:hAnsi="Verdana"/>
          <w:sz w:val="18"/>
          <w:szCs w:val="18"/>
          <w:lang w:val="en-GB"/>
        </w:rPr>
        <w:t xml:space="preserve">ONCE helped </w:t>
      </w:r>
      <w:r>
        <w:rPr>
          <w:rFonts w:ascii="Verdana" w:hAnsi="Verdana"/>
          <w:sz w:val="18"/>
          <w:szCs w:val="18"/>
          <w:lang w:val="en-GB"/>
        </w:rPr>
        <w:t xml:space="preserve">some 100,000 </w:t>
      </w:r>
      <w:r w:rsidR="00D07B5A">
        <w:rPr>
          <w:rFonts w:ascii="Verdana" w:hAnsi="Verdana"/>
          <w:sz w:val="18"/>
          <w:szCs w:val="18"/>
          <w:lang w:val="en-GB"/>
        </w:rPr>
        <w:t>people</w:t>
      </w:r>
      <w:r>
        <w:rPr>
          <w:rFonts w:ascii="Verdana" w:hAnsi="Verdana"/>
          <w:sz w:val="18"/>
          <w:szCs w:val="18"/>
          <w:lang w:val="en-GB"/>
        </w:rPr>
        <w:t xml:space="preserve"> with disabilities in Spain</w:t>
      </w:r>
      <w:r w:rsidR="00D82DE8">
        <w:rPr>
          <w:rFonts w:ascii="Verdana" w:hAnsi="Verdana"/>
          <w:sz w:val="18"/>
          <w:szCs w:val="18"/>
          <w:lang w:val="en-GB"/>
        </w:rPr>
        <w:t xml:space="preserve"> undergo</w:t>
      </w:r>
      <w:r>
        <w:rPr>
          <w:rFonts w:ascii="Verdana" w:hAnsi="Verdana"/>
          <w:sz w:val="18"/>
          <w:szCs w:val="18"/>
          <w:lang w:val="en-GB"/>
        </w:rPr>
        <w:t xml:space="preserve"> job training and </w:t>
      </w:r>
      <w:r w:rsidR="006B6DA5">
        <w:rPr>
          <w:rFonts w:ascii="Verdana" w:hAnsi="Verdana"/>
          <w:sz w:val="18"/>
          <w:szCs w:val="18"/>
          <w:lang w:val="en-GB"/>
        </w:rPr>
        <w:t xml:space="preserve">around </w:t>
      </w:r>
      <w:r>
        <w:rPr>
          <w:rFonts w:ascii="Verdana" w:hAnsi="Verdana"/>
          <w:sz w:val="18"/>
          <w:szCs w:val="18"/>
          <w:lang w:val="en-GB"/>
        </w:rPr>
        <w:t xml:space="preserve">80,000 got a job, of which 45% were women. </w:t>
      </w:r>
    </w:p>
    <w:p w:rsidR="00A742C2" w:rsidRDefault="00A742C2" w:rsidP="00274DBA">
      <w:pPr>
        <w:rPr>
          <w:rFonts w:ascii="Verdana" w:hAnsi="Verdana"/>
          <w:sz w:val="18"/>
          <w:szCs w:val="18"/>
          <w:lang w:val="en-GB"/>
        </w:rPr>
      </w:pPr>
    </w:p>
    <w:p w:rsidR="00A742C2" w:rsidRDefault="00A742C2" w:rsidP="00274DBA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"This is a true value of the ESF. These events were life-changing for these people," she said.</w:t>
      </w:r>
    </w:p>
    <w:p w:rsidR="00A742C2" w:rsidRDefault="00A742C2" w:rsidP="00274DBA">
      <w:pPr>
        <w:rPr>
          <w:rFonts w:ascii="Verdana" w:hAnsi="Verdana"/>
          <w:sz w:val="18"/>
          <w:szCs w:val="18"/>
          <w:lang w:val="en-GB"/>
        </w:rPr>
      </w:pPr>
    </w:p>
    <w:p w:rsidR="00A742C2" w:rsidRDefault="0097381B" w:rsidP="00274DBA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It was stressed that associations representing the disabled should be involved in decision-making and monitoring of projects and programmes that affect them. </w:t>
      </w:r>
      <w:r w:rsidR="00A742C2">
        <w:rPr>
          <w:rFonts w:ascii="Verdana" w:hAnsi="Verdana"/>
          <w:sz w:val="18"/>
          <w:szCs w:val="18"/>
          <w:lang w:val="en-GB"/>
        </w:rPr>
        <w:t xml:space="preserve">Another concern raised was that smaller organisations are often incapable of managing EU funds, as they lack expertise and </w:t>
      </w:r>
      <w:r w:rsidR="006B6DA5">
        <w:rPr>
          <w:rFonts w:ascii="Verdana" w:hAnsi="Verdana"/>
          <w:sz w:val="18"/>
          <w:szCs w:val="18"/>
          <w:lang w:val="en-GB"/>
        </w:rPr>
        <w:t xml:space="preserve">the </w:t>
      </w:r>
      <w:r w:rsidR="00A742C2">
        <w:rPr>
          <w:rFonts w:ascii="Verdana" w:hAnsi="Verdana"/>
          <w:sz w:val="18"/>
          <w:szCs w:val="18"/>
          <w:lang w:val="en-GB"/>
        </w:rPr>
        <w:t>necessary capacity to even apply for them.</w:t>
      </w:r>
      <w:r>
        <w:rPr>
          <w:rFonts w:ascii="Verdana" w:hAnsi="Verdana"/>
          <w:sz w:val="18"/>
          <w:szCs w:val="18"/>
          <w:lang w:val="en-GB"/>
        </w:rPr>
        <w:t xml:space="preserve"> The EDF therefore recommended a two percent allocation of funds for capacity</w:t>
      </w:r>
      <w:r w:rsidR="006B6DA5">
        <w:rPr>
          <w:rFonts w:ascii="Verdana" w:hAnsi="Verdana"/>
          <w:sz w:val="18"/>
          <w:szCs w:val="18"/>
          <w:lang w:val="en-GB"/>
        </w:rPr>
        <w:t>-</w:t>
      </w:r>
      <w:r>
        <w:rPr>
          <w:rFonts w:ascii="Verdana" w:hAnsi="Verdana"/>
          <w:sz w:val="18"/>
          <w:szCs w:val="18"/>
          <w:lang w:val="en-GB"/>
        </w:rPr>
        <w:t>building for smaller organisations.</w:t>
      </w:r>
    </w:p>
    <w:p w:rsidR="00A742C2" w:rsidRDefault="00A742C2" w:rsidP="00274DBA">
      <w:pPr>
        <w:rPr>
          <w:rFonts w:ascii="Verdana" w:hAnsi="Verdana"/>
          <w:sz w:val="18"/>
          <w:szCs w:val="18"/>
          <w:lang w:val="en-GB"/>
        </w:rPr>
      </w:pPr>
    </w:p>
    <w:p w:rsidR="00274DBA" w:rsidRDefault="00A123B0" w:rsidP="00274DBA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The participants agreed that the UN Convention on the Rights of Persons </w:t>
      </w:r>
      <w:r w:rsidR="0097381B">
        <w:rPr>
          <w:rFonts w:ascii="Verdana" w:hAnsi="Verdana"/>
          <w:sz w:val="18"/>
          <w:szCs w:val="18"/>
          <w:lang w:val="en-GB"/>
        </w:rPr>
        <w:t xml:space="preserve">with Disabilities (CRPD) should </w:t>
      </w:r>
      <w:r>
        <w:rPr>
          <w:rFonts w:ascii="Verdana" w:hAnsi="Verdana"/>
          <w:sz w:val="18"/>
          <w:szCs w:val="18"/>
          <w:lang w:val="en-GB"/>
        </w:rPr>
        <w:t>be embedded in th</w:t>
      </w:r>
      <w:r w:rsidR="00D211BF">
        <w:rPr>
          <w:rFonts w:ascii="Verdana" w:hAnsi="Verdana"/>
          <w:sz w:val="18"/>
          <w:szCs w:val="18"/>
          <w:lang w:val="en-GB"/>
        </w:rPr>
        <w:t>e main texts of the ERDF, CF</w:t>
      </w:r>
      <w:r w:rsidR="00A57792">
        <w:rPr>
          <w:rFonts w:ascii="Verdana" w:hAnsi="Verdana"/>
          <w:sz w:val="18"/>
          <w:szCs w:val="18"/>
          <w:lang w:val="en-GB"/>
        </w:rPr>
        <w:t xml:space="preserve"> and</w:t>
      </w:r>
      <w:r w:rsidR="00D211BF">
        <w:rPr>
          <w:rFonts w:ascii="Verdana" w:hAnsi="Verdana"/>
          <w:sz w:val="18"/>
          <w:szCs w:val="18"/>
          <w:lang w:val="en-GB"/>
        </w:rPr>
        <w:t xml:space="preserve"> ESF regulations and the CPR, and references to it strengthened across all of them.</w:t>
      </w:r>
    </w:p>
    <w:p w:rsidR="00274DBA" w:rsidRDefault="00274DBA" w:rsidP="00274DBA">
      <w:pPr>
        <w:rPr>
          <w:rFonts w:ascii="Verdana" w:hAnsi="Verdana"/>
          <w:sz w:val="18"/>
          <w:szCs w:val="18"/>
          <w:lang w:val="en-GB"/>
        </w:rPr>
      </w:pPr>
    </w:p>
    <w:p w:rsidR="0097381B" w:rsidRDefault="00D211BF" w:rsidP="00D211BF">
      <w:pP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  <w:r w:rsidRPr="00D211BF">
        <w:rPr>
          <w:rFonts w:ascii="Verdana" w:hAnsi="Verdana"/>
          <w:sz w:val="18"/>
          <w:szCs w:val="18"/>
          <w:lang w:val="en-GB"/>
        </w:rPr>
        <w:t>"</w:t>
      </w:r>
      <w:r w:rsidRPr="00D211BF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The EU budget should be a tool to implement the CRPD, and should not support actions which are </w:t>
      </w:r>
      <w:r w:rsidR="00FC6093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at odds</w:t>
      </w:r>
      <w:r w:rsidRPr="00D211BF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with it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," </w:t>
      </w:r>
      <w:r w:rsidR="0097381B" w:rsidRPr="00601B23">
        <w:rPr>
          <w:rFonts w:ascii="Verdana" w:eastAsia="MS PGothic" w:hAnsi="Verdana" w:cs="Arial"/>
          <w:b/>
          <w:color w:val="000000" w:themeColor="text1"/>
          <w:sz w:val="18"/>
          <w:szCs w:val="18"/>
          <w:lang w:val="en-IE"/>
        </w:rPr>
        <w:t>Ms Naughton</w:t>
      </w:r>
      <w:r w:rsidR="0097381B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maintained.</w:t>
      </w:r>
    </w:p>
    <w:p w:rsidR="0097381B" w:rsidRDefault="0097381B" w:rsidP="00D211BF">
      <w:pP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</w:p>
    <w:p w:rsidR="003F346B" w:rsidRDefault="0097381B" w:rsidP="004B48B1">
      <w:pP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But</w:t>
      </w:r>
      <w:r w:rsidR="00601B23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the proposed cuts </w:t>
      </w:r>
      <w:r w:rsidR="006B6DA5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to </w:t>
      </w:r>
      <w:r w:rsidR="00601B23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cohesion policy funding, amounting to 6%, 12% and 46% </w:t>
      </w:r>
      <w:r w:rsidR="006B6DA5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of </w:t>
      </w:r>
      <w:r w:rsidR="00601B23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the ESF, ERDF and CF budgets respectively, show the lack of political ambition on the part of the Commission.</w:t>
      </w:r>
    </w:p>
    <w:p w:rsidR="00601B23" w:rsidRDefault="00601B23" w:rsidP="004B48B1">
      <w:pP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</w:p>
    <w:p w:rsidR="00601B23" w:rsidRDefault="00601B23" w:rsidP="004B48B1">
      <w:pP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</w:pP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"Cohesion policy is a crucial instrument for the Commission to tackle disparities and inequalities among citizens and regions alike, especially </w:t>
      </w:r>
      <w:r w:rsidR="00FC6093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in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these times of uncertainty and growing populism. Its proposal has just not be</w:t>
      </w:r>
      <w:r w:rsidR="00453956"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>en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politically ambitious enough," </w:t>
      </w:r>
      <w:r w:rsidRPr="00601B23">
        <w:rPr>
          <w:rFonts w:ascii="Verdana" w:eastAsia="MS PGothic" w:hAnsi="Verdana" w:cs="Arial"/>
          <w:b/>
          <w:color w:val="000000" w:themeColor="text1"/>
          <w:sz w:val="18"/>
          <w:szCs w:val="18"/>
          <w:lang w:val="en-IE"/>
        </w:rPr>
        <w:t>Mr Vardakastanis</w:t>
      </w:r>
      <w:r>
        <w:rPr>
          <w:rFonts w:ascii="Verdana" w:eastAsia="MS PGothic" w:hAnsi="Verdana" w:cs="Arial"/>
          <w:color w:val="000000" w:themeColor="text1"/>
          <w:sz w:val="18"/>
          <w:szCs w:val="18"/>
          <w:lang w:val="en-IE"/>
        </w:rPr>
        <w:t xml:space="preserve"> concluded.</w:t>
      </w:r>
    </w:p>
    <w:p w:rsidR="00601B23" w:rsidRDefault="00601B23" w:rsidP="004B48B1">
      <w:pPr>
        <w:rPr>
          <w:rFonts w:ascii="Verdana" w:hAnsi="Verdana"/>
          <w:sz w:val="18"/>
          <w:szCs w:val="18"/>
          <w:lang w:val="en-GB"/>
        </w:rPr>
      </w:pPr>
    </w:p>
    <w:p w:rsidR="003F346B" w:rsidRDefault="003F346B" w:rsidP="004B48B1">
      <w:pPr>
        <w:rPr>
          <w:rFonts w:ascii="Verdana" w:hAnsi="Verdana"/>
          <w:sz w:val="18"/>
          <w:szCs w:val="18"/>
          <w:lang w:val="en-GB"/>
        </w:rPr>
      </w:pPr>
    </w:p>
    <w:p w:rsidR="003F346B" w:rsidRDefault="003F346B" w:rsidP="004B48B1">
      <w:pPr>
        <w:rPr>
          <w:rFonts w:ascii="Verdana" w:hAnsi="Verdana"/>
          <w:sz w:val="18"/>
          <w:szCs w:val="18"/>
          <w:lang w:val="en-GB"/>
        </w:rPr>
      </w:pPr>
    </w:p>
    <w:p w:rsidR="003F346B" w:rsidRDefault="003F346B" w:rsidP="004B48B1">
      <w:pPr>
        <w:rPr>
          <w:rFonts w:ascii="Verdana" w:hAnsi="Verdana"/>
          <w:sz w:val="18"/>
          <w:szCs w:val="18"/>
          <w:lang w:val="en-GB"/>
        </w:rPr>
      </w:pPr>
    </w:p>
    <w:p w:rsidR="00273E23" w:rsidRDefault="00273E23" w:rsidP="004B48B1">
      <w:pPr>
        <w:rPr>
          <w:rFonts w:ascii="Verdana" w:eastAsia="MS PGothic" w:hAnsi="Verdana" w:cs="Arial"/>
          <w:sz w:val="18"/>
          <w:szCs w:val="18"/>
          <w:lang w:val="en-GB"/>
        </w:rPr>
      </w:pPr>
    </w:p>
    <w:p w:rsidR="00401C40" w:rsidRDefault="00401C40" w:rsidP="00530116">
      <w:pPr>
        <w:textAlignment w:val="baseline"/>
        <w:rPr>
          <w:rFonts w:ascii="Verdana" w:eastAsia="MS PGothic" w:hAnsi="Verdana" w:cs="Arial"/>
          <w:color w:val="000000" w:themeColor="text1"/>
          <w:sz w:val="20"/>
          <w:szCs w:val="20"/>
          <w:lang w:val="en-IE"/>
        </w:rPr>
      </w:pPr>
    </w:p>
    <w:sectPr w:rsidR="00401C40" w:rsidSect="00530116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D6C1279"/>
    <w:multiLevelType w:val="hybridMultilevel"/>
    <w:tmpl w:val="E49600EA"/>
    <w:lvl w:ilvl="0" w:tplc="8568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8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6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6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43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8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6F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0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B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7F5DEC"/>
    <w:multiLevelType w:val="hybridMultilevel"/>
    <w:tmpl w:val="CEFE8446"/>
    <w:lvl w:ilvl="0" w:tplc="F588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61E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E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E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6C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29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4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8C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0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br">
    <w15:presenceInfo w15:providerId="None" w15:userId="mo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16"/>
    <w:rsid w:val="00053C22"/>
    <w:rsid w:val="0007200B"/>
    <w:rsid w:val="0019762C"/>
    <w:rsid w:val="001B2A1C"/>
    <w:rsid w:val="00273E23"/>
    <w:rsid w:val="00274DBA"/>
    <w:rsid w:val="0027674C"/>
    <w:rsid w:val="00283BD8"/>
    <w:rsid w:val="002921D6"/>
    <w:rsid w:val="002C1795"/>
    <w:rsid w:val="002F7262"/>
    <w:rsid w:val="003F346B"/>
    <w:rsid w:val="00401C40"/>
    <w:rsid w:val="00402095"/>
    <w:rsid w:val="00452AAE"/>
    <w:rsid w:val="00453956"/>
    <w:rsid w:val="004B48B1"/>
    <w:rsid w:val="00530116"/>
    <w:rsid w:val="0058395D"/>
    <w:rsid w:val="00601B23"/>
    <w:rsid w:val="0064161D"/>
    <w:rsid w:val="006444CD"/>
    <w:rsid w:val="00677A60"/>
    <w:rsid w:val="00685768"/>
    <w:rsid w:val="006B6DA5"/>
    <w:rsid w:val="00825267"/>
    <w:rsid w:val="00826D19"/>
    <w:rsid w:val="0095340E"/>
    <w:rsid w:val="0097381B"/>
    <w:rsid w:val="00A123B0"/>
    <w:rsid w:val="00A367C0"/>
    <w:rsid w:val="00A57792"/>
    <w:rsid w:val="00A742C2"/>
    <w:rsid w:val="00B031BC"/>
    <w:rsid w:val="00B23BE6"/>
    <w:rsid w:val="00B35449"/>
    <w:rsid w:val="00C10AAF"/>
    <w:rsid w:val="00CC4892"/>
    <w:rsid w:val="00D07B5A"/>
    <w:rsid w:val="00D1282D"/>
    <w:rsid w:val="00D211BF"/>
    <w:rsid w:val="00D82DE8"/>
    <w:rsid w:val="00E1578D"/>
    <w:rsid w:val="00E46FE6"/>
    <w:rsid w:val="00E72795"/>
    <w:rsid w:val="00F0487C"/>
    <w:rsid w:val="00F5578D"/>
    <w:rsid w:val="00F67D5E"/>
    <w:rsid w:val="00F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3011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3011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3011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3011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3011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3011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3011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011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3011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116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53011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530116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530116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530116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30116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530116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530116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5301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530116"/>
  </w:style>
  <w:style w:type="character" w:customStyle="1" w:styleId="FooterChar">
    <w:name w:val="Footer Char"/>
    <w:basedOn w:val="DefaultParagraphFont"/>
    <w:link w:val="Footer"/>
    <w:rsid w:val="0053011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3011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30116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530116"/>
  </w:style>
  <w:style w:type="character" w:customStyle="1" w:styleId="HeaderChar">
    <w:name w:val="Header Char"/>
    <w:basedOn w:val="DefaultParagraphFont"/>
    <w:link w:val="Header"/>
    <w:rsid w:val="00530116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3011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30116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530116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3011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3011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3011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3011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3011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3011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3011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011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3011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116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53011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530116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530116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530116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30116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530116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530116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5301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530116"/>
  </w:style>
  <w:style w:type="character" w:customStyle="1" w:styleId="FooterChar">
    <w:name w:val="Footer Char"/>
    <w:basedOn w:val="DefaultParagraphFont"/>
    <w:link w:val="Footer"/>
    <w:rsid w:val="0053011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3011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30116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530116"/>
  </w:style>
  <w:style w:type="character" w:customStyle="1" w:styleId="HeaderChar">
    <w:name w:val="Header Char"/>
    <w:basedOn w:val="DefaultParagraphFont"/>
    <w:link w:val="Header"/>
    <w:rsid w:val="00530116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3011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30116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530116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sc.europa.eu/en/agenda/our-events/events/new-mff-and-cohesion-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Irena Lui</dc:creator>
  <cp:lastModifiedBy>Laura Irena Lui</cp:lastModifiedBy>
  <cp:revision>5</cp:revision>
  <cp:lastPrinted>2018-10-25T09:20:00Z</cp:lastPrinted>
  <dcterms:created xsi:type="dcterms:W3CDTF">2018-10-26T09:11:00Z</dcterms:created>
  <dcterms:modified xsi:type="dcterms:W3CDTF">2018-10-26T09:24:00Z</dcterms:modified>
</cp:coreProperties>
</file>