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3F" w:rsidRPr="00F3110C" w:rsidRDefault="00C430C9" w:rsidP="00D55E35">
      <w:pPr>
        <w:jc w:val="center"/>
        <w:rPr>
          <w:b/>
          <w:bCs/>
          <w:sz w:val="28"/>
          <w:szCs w:val="28"/>
          <w:lang w:val="en-GB"/>
        </w:rPr>
      </w:pPr>
      <w:r w:rsidRPr="00F3110C">
        <w:rPr>
          <w:b/>
          <w:bCs/>
          <w:sz w:val="28"/>
          <w:szCs w:val="28"/>
          <w:lang w:val="en-GB"/>
        </w:rPr>
        <w:t xml:space="preserve">The energy transition can only be successful if </w:t>
      </w:r>
      <w:r w:rsidR="00D55E35" w:rsidRPr="00F3110C">
        <w:rPr>
          <w:b/>
          <w:bCs/>
          <w:sz w:val="28"/>
          <w:szCs w:val="28"/>
          <w:lang w:val="en-GB"/>
        </w:rPr>
        <w:t>everybody is involved</w:t>
      </w:r>
      <w:r w:rsidRPr="00F3110C">
        <w:rPr>
          <w:b/>
          <w:bCs/>
          <w:sz w:val="28"/>
          <w:szCs w:val="28"/>
          <w:lang w:val="en-GB"/>
        </w:rPr>
        <w:t>, say</w:t>
      </w:r>
      <w:r w:rsidR="009E1C2B" w:rsidRPr="00F3110C">
        <w:rPr>
          <w:b/>
          <w:bCs/>
          <w:sz w:val="28"/>
          <w:szCs w:val="28"/>
          <w:lang w:val="en-GB"/>
        </w:rPr>
        <w:t xml:space="preserve"> stakeholder</w:t>
      </w:r>
      <w:r w:rsidRPr="00F3110C">
        <w:rPr>
          <w:b/>
          <w:bCs/>
          <w:sz w:val="28"/>
          <w:szCs w:val="28"/>
          <w:lang w:val="en-GB"/>
        </w:rPr>
        <w:t>s</w:t>
      </w:r>
      <w:r w:rsidR="00DD77D5" w:rsidRPr="00F3110C">
        <w:rPr>
          <w:b/>
          <w:bCs/>
          <w:sz w:val="28"/>
          <w:szCs w:val="28"/>
          <w:lang w:val="en-GB"/>
        </w:rPr>
        <w:t xml:space="preserve"> </w:t>
      </w:r>
      <w:r w:rsidR="009E1C2B" w:rsidRPr="00F3110C">
        <w:rPr>
          <w:b/>
          <w:bCs/>
          <w:sz w:val="28"/>
          <w:szCs w:val="28"/>
          <w:lang w:val="en-GB"/>
        </w:rPr>
        <w:t xml:space="preserve">at </w:t>
      </w:r>
      <w:r w:rsidR="0019593F" w:rsidRPr="00F3110C">
        <w:rPr>
          <w:b/>
          <w:bCs/>
          <w:sz w:val="28"/>
          <w:szCs w:val="28"/>
          <w:lang w:val="en-GB"/>
        </w:rPr>
        <w:t>EES</w:t>
      </w:r>
      <w:r w:rsidR="000727BF" w:rsidRPr="00F3110C">
        <w:rPr>
          <w:b/>
          <w:bCs/>
          <w:sz w:val="28"/>
          <w:szCs w:val="28"/>
          <w:lang w:val="en-GB"/>
        </w:rPr>
        <w:t xml:space="preserve">C </w:t>
      </w:r>
      <w:r w:rsidR="00C6200B" w:rsidRPr="00F3110C">
        <w:rPr>
          <w:b/>
          <w:bCs/>
          <w:sz w:val="28"/>
          <w:szCs w:val="28"/>
          <w:lang w:val="en-GB"/>
        </w:rPr>
        <w:t>debate on accessible energy</w:t>
      </w:r>
    </w:p>
    <w:p w:rsidR="0019593F" w:rsidRPr="00F3110C" w:rsidRDefault="0019593F" w:rsidP="0019593F">
      <w:pPr>
        <w:rPr>
          <w:lang w:val="en-GB"/>
        </w:rPr>
      </w:pPr>
    </w:p>
    <w:p w:rsidR="003907A1" w:rsidRPr="00F3110C" w:rsidRDefault="0019593F" w:rsidP="00ED1436">
      <w:pPr>
        <w:rPr>
          <w:b/>
          <w:bCs/>
          <w:lang w:val="en-GB"/>
        </w:rPr>
      </w:pPr>
      <w:r w:rsidRPr="00F3110C">
        <w:rPr>
          <w:b/>
          <w:bCs/>
          <w:lang w:val="en-GB"/>
        </w:rPr>
        <w:t xml:space="preserve">The role of </w:t>
      </w:r>
      <w:r w:rsidR="003907A1" w:rsidRPr="00F3110C">
        <w:rPr>
          <w:b/>
          <w:bCs/>
          <w:lang w:val="en-GB"/>
        </w:rPr>
        <w:t>people</w:t>
      </w:r>
      <w:r w:rsidRPr="00F3110C">
        <w:rPr>
          <w:b/>
          <w:bCs/>
          <w:lang w:val="en-GB"/>
        </w:rPr>
        <w:t xml:space="preserve"> </w:t>
      </w:r>
      <w:r w:rsidR="003907A1" w:rsidRPr="00F3110C">
        <w:rPr>
          <w:b/>
          <w:bCs/>
          <w:lang w:val="en-GB"/>
        </w:rPr>
        <w:t xml:space="preserve">in the energy transition </w:t>
      </w:r>
      <w:r w:rsidRPr="00F3110C">
        <w:rPr>
          <w:b/>
          <w:bCs/>
          <w:lang w:val="en-GB"/>
        </w:rPr>
        <w:t xml:space="preserve">was at the heart of </w:t>
      </w:r>
      <w:r w:rsidR="00677DE8" w:rsidRPr="00F3110C">
        <w:rPr>
          <w:b/>
          <w:bCs/>
          <w:lang w:val="en-GB"/>
        </w:rPr>
        <w:t xml:space="preserve">the agenda of </w:t>
      </w:r>
      <w:r w:rsidRPr="00F3110C">
        <w:rPr>
          <w:b/>
          <w:bCs/>
          <w:lang w:val="en-GB"/>
        </w:rPr>
        <w:t>the February</w:t>
      </w:r>
      <w:r w:rsidR="00947DBE" w:rsidRPr="00F3110C">
        <w:rPr>
          <w:b/>
          <w:bCs/>
          <w:lang w:val="en-GB"/>
        </w:rPr>
        <w:t xml:space="preserve"> meeting of the Section for Transport, Energy, Infrastructure and the Information Society (TEN) of the European Economic and Social Committee (EESC)</w:t>
      </w:r>
      <w:r w:rsidR="00702400" w:rsidRPr="00F3110C">
        <w:rPr>
          <w:b/>
          <w:bCs/>
          <w:lang w:val="en-GB"/>
        </w:rPr>
        <w:t xml:space="preserve">, where energy experts showcased their experience </w:t>
      </w:r>
      <w:r w:rsidR="00ED1436" w:rsidRPr="00F3110C">
        <w:rPr>
          <w:b/>
          <w:bCs/>
          <w:lang w:val="en-GB"/>
        </w:rPr>
        <w:t>of</w:t>
      </w:r>
      <w:r w:rsidR="00702400" w:rsidRPr="00F3110C">
        <w:rPr>
          <w:b/>
          <w:bCs/>
          <w:lang w:val="en-GB"/>
        </w:rPr>
        <w:t xml:space="preserve"> working for citizens</w:t>
      </w:r>
      <w:r w:rsidR="00947DBE" w:rsidRPr="00F3110C">
        <w:rPr>
          <w:b/>
          <w:bCs/>
          <w:lang w:val="en-GB"/>
        </w:rPr>
        <w:t>.</w:t>
      </w:r>
    </w:p>
    <w:p w:rsidR="003907A1" w:rsidRPr="00F3110C" w:rsidRDefault="003907A1" w:rsidP="003907A1">
      <w:pPr>
        <w:rPr>
          <w:lang w:val="en-GB"/>
        </w:rPr>
      </w:pPr>
    </w:p>
    <w:p w:rsidR="00C65DB8" w:rsidRPr="00F3110C" w:rsidRDefault="003907A1" w:rsidP="00F0600C">
      <w:pPr>
        <w:rPr>
          <w:lang w:val="en-GB"/>
        </w:rPr>
      </w:pPr>
      <w:r w:rsidRPr="00F3110C">
        <w:rPr>
          <w:lang w:val="en-GB"/>
        </w:rPr>
        <w:t>How can the energy transition work for citizens?</w:t>
      </w:r>
      <w:r w:rsidR="00702400" w:rsidRPr="00F3110C">
        <w:rPr>
          <w:lang w:val="en-GB"/>
        </w:rPr>
        <w:t xml:space="preserve"> How can energy be accessible for all?</w:t>
      </w:r>
      <w:r w:rsidR="00C65DB8" w:rsidRPr="00F3110C">
        <w:rPr>
          <w:lang w:val="en-GB"/>
        </w:rPr>
        <w:t xml:space="preserve"> </w:t>
      </w:r>
      <w:r w:rsidR="006D2EA2" w:rsidRPr="00F3110C">
        <w:rPr>
          <w:lang w:val="en-GB"/>
        </w:rPr>
        <w:t>Th</w:t>
      </w:r>
      <w:r w:rsidR="00C65DB8" w:rsidRPr="00F3110C">
        <w:rPr>
          <w:lang w:val="en-GB"/>
        </w:rPr>
        <w:t xml:space="preserve">e energy transition </w:t>
      </w:r>
      <w:r w:rsidR="00BF46C2" w:rsidRPr="00F3110C">
        <w:rPr>
          <w:lang w:val="en-GB"/>
        </w:rPr>
        <w:t xml:space="preserve">means </w:t>
      </w:r>
      <w:r w:rsidR="00C65DB8" w:rsidRPr="00F3110C">
        <w:rPr>
          <w:lang w:val="en-GB"/>
        </w:rPr>
        <w:t xml:space="preserve">a fundamental transformation of our societies and affects everybody's </w:t>
      </w:r>
      <w:r w:rsidR="00BF46C2" w:rsidRPr="00F3110C">
        <w:rPr>
          <w:lang w:val="en-GB"/>
        </w:rPr>
        <w:t xml:space="preserve">day-to-day </w:t>
      </w:r>
      <w:r w:rsidR="00C65DB8" w:rsidRPr="00F3110C">
        <w:rPr>
          <w:lang w:val="en-GB"/>
        </w:rPr>
        <w:t>life. It is not only about climate change, greenhouse gas reduction and the use of new technologies. It represents an opportunity for structural change where citizens need to play a key role.</w:t>
      </w:r>
      <w:r w:rsidR="00E24844" w:rsidRPr="00F3110C">
        <w:rPr>
          <w:lang w:val="en-GB"/>
        </w:rPr>
        <w:t xml:space="preserve"> </w:t>
      </w:r>
      <w:r w:rsidR="006D2EA2" w:rsidRPr="00F3110C">
        <w:rPr>
          <w:lang w:val="en-GB"/>
        </w:rPr>
        <w:t xml:space="preserve">The issue of citizen participation is central. </w:t>
      </w:r>
      <w:r w:rsidR="00E24844" w:rsidRPr="00F3110C">
        <w:rPr>
          <w:lang w:val="en-GB"/>
        </w:rPr>
        <w:t>"The energy transition cannot be successful if all stakeholders are not on board</w:t>
      </w:r>
      <w:r w:rsidR="00BF46C2" w:rsidRPr="00F3110C">
        <w:rPr>
          <w:lang w:val="en-GB"/>
        </w:rPr>
        <w:t xml:space="preserve"> -</w:t>
      </w:r>
      <w:r w:rsidR="00CC7928" w:rsidRPr="00F3110C">
        <w:rPr>
          <w:lang w:val="en-GB"/>
        </w:rPr>
        <w:t xml:space="preserve"> we have to take into account the needs of all actors involved,</w:t>
      </w:r>
      <w:r w:rsidR="00E24844" w:rsidRPr="00F3110C">
        <w:rPr>
          <w:lang w:val="en-GB"/>
        </w:rPr>
        <w:t xml:space="preserve">" declared the president of the TEN </w:t>
      </w:r>
      <w:proofErr w:type="gramStart"/>
      <w:r w:rsidR="00E24844" w:rsidRPr="00F3110C">
        <w:rPr>
          <w:lang w:val="en-GB"/>
        </w:rPr>
        <w:t>section</w:t>
      </w:r>
      <w:proofErr w:type="gramEnd"/>
      <w:r w:rsidR="00E24844" w:rsidRPr="00F3110C">
        <w:rPr>
          <w:lang w:val="en-GB"/>
        </w:rPr>
        <w:t xml:space="preserve">, </w:t>
      </w:r>
      <w:r w:rsidR="00E24844" w:rsidRPr="00F3110C">
        <w:rPr>
          <w:b/>
          <w:bCs/>
          <w:lang w:val="en-GB"/>
        </w:rPr>
        <w:t>Pierre Jean Coulon</w:t>
      </w:r>
      <w:r w:rsidR="00E24844" w:rsidRPr="00F3110C">
        <w:rPr>
          <w:lang w:val="en-GB"/>
        </w:rPr>
        <w:t xml:space="preserve">. "The reason </w:t>
      </w:r>
      <w:r w:rsidR="00F14E8F" w:rsidRPr="00F3110C">
        <w:rPr>
          <w:lang w:val="en-GB"/>
        </w:rPr>
        <w:t>we have energy</w:t>
      </w:r>
      <w:r w:rsidR="00E24844" w:rsidRPr="00F3110C">
        <w:rPr>
          <w:lang w:val="en-GB"/>
        </w:rPr>
        <w:t xml:space="preserve"> is to </w:t>
      </w:r>
      <w:r w:rsidR="00F14E8F" w:rsidRPr="00F3110C">
        <w:rPr>
          <w:lang w:val="en-GB"/>
        </w:rPr>
        <w:t>serve a final purpose, to simplify citizens</w:t>
      </w:r>
      <w:r w:rsidR="00F0600C" w:rsidRPr="00F3110C">
        <w:rPr>
          <w:lang w:val="en-GB"/>
        </w:rPr>
        <w:t>'</w:t>
      </w:r>
      <w:r w:rsidR="00E24844" w:rsidRPr="00F3110C">
        <w:rPr>
          <w:lang w:val="en-GB"/>
        </w:rPr>
        <w:t xml:space="preserve"> life, including </w:t>
      </w:r>
      <w:r w:rsidR="00F14E8F" w:rsidRPr="00F3110C">
        <w:rPr>
          <w:lang w:val="en-GB"/>
        </w:rPr>
        <w:t xml:space="preserve">families and </w:t>
      </w:r>
      <w:r w:rsidR="00E24844" w:rsidRPr="00F3110C">
        <w:rPr>
          <w:lang w:val="en-GB"/>
        </w:rPr>
        <w:t xml:space="preserve">businesses. </w:t>
      </w:r>
      <w:r w:rsidR="00F14E8F" w:rsidRPr="00F3110C">
        <w:rPr>
          <w:lang w:val="en-GB"/>
        </w:rPr>
        <w:t>W</w:t>
      </w:r>
      <w:r w:rsidR="00E24844" w:rsidRPr="00F3110C">
        <w:rPr>
          <w:lang w:val="en-GB"/>
        </w:rPr>
        <w:t xml:space="preserve">ithout energy, </w:t>
      </w:r>
      <w:r w:rsidR="000C45D6" w:rsidRPr="00F3110C">
        <w:rPr>
          <w:lang w:val="en-GB"/>
        </w:rPr>
        <w:t xml:space="preserve">our basic needs are not met: </w:t>
      </w:r>
      <w:r w:rsidR="00E24844" w:rsidRPr="00F3110C">
        <w:rPr>
          <w:lang w:val="en-GB"/>
        </w:rPr>
        <w:t>there</w:t>
      </w:r>
      <w:r w:rsidR="00F14E8F" w:rsidRPr="00F3110C">
        <w:rPr>
          <w:lang w:val="en-GB"/>
        </w:rPr>
        <w:t xml:space="preserve"> i</w:t>
      </w:r>
      <w:r w:rsidR="00E24844" w:rsidRPr="00F3110C">
        <w:rPr>
          <w:lang w:val="en-GB"/>
        </w:rPr>
        <w:t xml:space="preserve">s no </w:t>
      </w:r>
      <w:r w:rsidR="00F14E8F" w:rsidRPr="00F3110C">
        <w:rPr>
          <w:lang w:val="en-GB"/>
        </w:rPr>
        <w:t>education, health system</w:t>
      </w:r>
      <w:r w:rsidR="000C45D6" w:rsidRPr="00F3110C">
        <w:rPr>
          <w:lang w:val="en-GB"/>
        </w:rPr>
        <w:t xml:space="preserve"> or</w:t>
      </w:r>
      <w:r w:rsidR="00F14E8F" w:rsidRPr="00F3110C">
        <w:rPr>
          <w:lang w:val="en-GB"/>
        </w:rPr>
        <w:t xml:space="preserve"> </w:t>
      </w:r>
      <w:r w:rsidR="00E24844" w:rsidRPr="00F3110C">
        <w:rPr>
          <w:lang w:val="en-GB"/>
        </w:rPr>
        <w:t>transport</w:t>
      </w:r>
      <w:r w:rsidR="000C45D6" w:rsidRPr="00F3110C">
        <w:rPr>
          <w:lang w:val="en-GB"/>
        </w:rPr>
        <w:t>.</w:t>
      </w:r>
      <w:r w:rsidR="00E24844" w:rsidRPr="00F3110C">
        <w:rPr>
          <w:lang w:val="en-GB"/>
        </w:rPr>
        <w:t>"</w:t>
      </w:r>
    </w:p>
    <w:p w:rsidR="00797EC6" w:rsidRPr="00F3110C" w:rsidRDefault="00797EC6" w:rsidP="00797EC6">
      <w:pPr>
        <w:rPr>
          <w:lang w:val="en-GB"/>
        </w:rPr>
      </w:pPr>
    </w:p>
    <w:p w:rsidR="006D2EA2" w:rsidRPr="00F3110C" w:rsidRDefault="00797EC6" w:rsidP="00C26253">
      <w:pPr>
        <w:rPr>
          <w:lang w:val="en-GB"/>
        </w:rPr>
      </w:pPr>
      <w:r w:rsidRPr="00F3110C">
        <w:rPr>
          <w:lang w:val="en-GB"/>
        </w:rPr>
        <w:t>The</w:t>
      </w:r>
      <w:r w:rsidR="00C65DB8" w:rsidRPr="00F3110C">
        <w:rPr>
          <w:lang w:val="en-GB"/>
        </w:rPr>
        <w:t xml:space="preserve"> energy transition has huge economic and social potential, especially at regional level. The rapidly declining costs of decentralised renewable technologies offer a </w:t>
      </w:r>
      <w:r w:rsidR="00393AEB" w:rsidRPr="00F3110C">
        <w:rPr>
          <w:lang w:val="en-GB"/>
        </w:rPr>
        <w:t>large</w:t>
      </w:r>
      <w:r w:rsidR="00C65DB8" w:rsidRPr="00F3110C">
        <w:rPr>
          <w:lang w:val="en-GB"/>
        </w:rPr>
        <w:t xml:space="preserve"> wealth of opportunities to less advanced regions to boost their local </w:t>
      </w:r>
      <w:r w:rsidR="00C26253" w:rsidRPr="00F3110C">
        <w:rPr>
          <w:lang w:val="en-GB"/>
        </w:rPr>
        <w:t>economy</w:t>
      </w:r>
      <w:r w:rsidR="00C65DB8" w:rsidRPr="00F3110C">
        <w:rPr>
          <w:lang w:val="en-GB"/>
        </w:rPr>
        <w:t xml:space="preserve"> and to citizens to become energy "prosumers". In other words, people do not only purchase (consume) clean energy, but they also </w:t>
      </w:r>
      <w:r w:rsidR="00BF46C2" w:rsidRPr="00F3110C">
        <w:rPr>
          <w:lang w:val="en-GB"/>
        </w:rPr>
        <w:t xml:space="preserve">play an </w:t>
      </w:r>
      <w:r w:rsidR="00C65DB8" w:rsidRPr="00F3110C">
        <w:rPr>
          <w:lang w:val="en-GB"/>
        </w:rPr>
        <w:t>active part in the process and engage in energy production</w:t>
      </w:r>
      <w:r w:rsidR="0078691E" w:rsidRPr="00F3110C">
        <w:rPr>
          <w:lang w:val="en-GB"/>
        </w:rPr>
        <w:t xml:space="preserve">. </w:t>
      </w:r>
      <w:r w:rsidR="00C65DB8" w:rsidRPr="00F3110C">
        <w:rPr>
          <w:lang w:val="en-GB"/>
        </w:rPr>
        <w:t xml:space="preserve">"If a citizen installs seven solar panels on </w:t>
      </w:r>
      <w:r w:rsidR="006D2EA2" w:rsidRPr="00F3110C">
        <w:rPr>
          <w:lang w:val="en-GB"/>
        </w:rPr>
        <w:t>the</w:t>
      </w:r>
      <w:r w:rsidR="00C65DB8" w:rsidRPr="00F3110C">
        <w:rPr>
          <w:lang w:val="en-GB"/>
        </w:rPr>
        <w:t xml:space="preserve"> roof, he produces as much electricity as a normal electric car will need for one year in the future," said EESC member </w:t>
      </w:r>
      <w:r w:rsidR="00C65DB8" w:rsidRPr="00F3110C">
        <w:rPr>
          <w:b/>
          <w:bCs/>
          <w:lang w:val="en-GB"/>
        </w:rPr>
        <w:t>Lutz</w:t>
      </w:r>
      <w:r w:rsidR="00C65DB8" w:rsidRPr="00F3110C">
        <w:rPr>
          <w:lang w:val="en-GB"/>
        </w:rPr>
        <w:t xml:space="preserve"> </w:t>
      </w:r>
      <w:proofErr w:type="spellStart"/>
      <w:r w:rsidR="00C65DB8" w:rsidRPr="00F3110C">
        <w:rPr>
          <w:b/>
          <w:bCs/>
          <w:lang w:val="en-GB"/>
        </w:rPr>
        <w:t>Ribbe</w:t>
      </w:r>
      <w:proofErr w:type="spellEnd"/>
      <w:r w:rsidR="00C65DB8" w:rsidRPr="00F3110C">
        <w:rPr>
          <w:lang w:val="en-GB"/>
        </w:rPr>
        <w:t xml:space="preserve"> in a video message.</w:t>
      </w:r>
      <w:r w:rsidR="006D2EA2" w:rsidRPr="00F3110C">
        <w:rPr>
          <w:lang w:val="en-GB"/>
        </w:rPr>
        <w:t xml:space="preserve"> </w:t>
      </w:r>
    </w:p>
    <w:p w:rsidR="006D2EA2" w:rsidRPr="00F3110C" w:rsidRDefault="006D2EA2" w:rsidP="006D2EA2">
      <w:pPr>
        <w:rPr>
          <w:lang w:val="en-GB"/>
        </w:rPr>
      </w:pPr>
    </w:p>
    <w:p w:rsidR="009A5390" w:rsidRPr="00F3110C" w:rsidRDefault="007E74F7" w:rsidP="007B4952">
      <w:pPr>
        <w:rPr>
          <w:lang w:val="en-GB"/>
        </w:rPr>
      </w:pPr>
      <w:r w:rsidRPr="00F3110C">
        <w:rPr>
          <w:lang w:val="en-GB"/>
        </w:rPr>
        <w:t xml:space="preserve">On the other hand, </w:t>
      </w:r>
      <w:r w:rsidR="00D904AD" w:rsidRPr="00F3110C">
        <w:rPr>
          <w:lang w:val="en-GB"/>
        </w:rPr>
        <w:t>i</w:t>
      </w:r>
      <w:r w:rsidRPr="00F3110C">
        <w:rPr>
          <w:lang w:val="en-GB"/>
        </w:rPr>
        <w:t>t</w:t>
      </w:r>
      <w:r w:rsidR="00D904AD" w:rsidRPr="00F3110C">
        <w:rPr>
          <w:lang w:val="en-GB"/>
        </w:rPr>
        <w:t xml:space="preserve"> is important to </w:t>
      </w:r>
      <w:r w:rsidR="00C65DB8" w:rsidRPr="00F3110C">
        <w:rPr>
          <w:lang w:val="en-GB"/>
        </w:rPr>
        <w:t xml:space="preserve">stress the concern that some regions, cities, and vulnerable groups may be left behind in this process. </w:t>
      </w:r>
      <w:r w:rsidR="00E371C7" w:rsidRPr="00F3110C">
        <w:rPr>
          <w:lang w:val="en-GB"/>
        </w:rPr>
        <w:t xml:space="preserve">This is why it is </w:t>
      </w:r>
      <w:r w:rsidR="00D904AD" w:rsidRPr="00F3110C">
        <w:rPr>
          <w:lang w:val="en-GB"/>
        </w:rPr>
        <w:t>crucial</w:t>
      </w:r>
      <w:r w:rsidR="00E371C7" w:rsidRPr="00F3110C">
        <w:rPr>
          <w:lang w:val="en-GB"/>
        </w:rPr>
        <w:t xml:space="preserve"> </w:t>
      </w:r>
      <w:r w:rsidR="00184DBF" w:rsidRPr="00F3110C">
        <w:rPr>
          <w:lang w:val="en-GB"/>
        </w:rPr>
        <w:t>"</w:t>
      </w:r>
      <w:r w:rsidR="00E371C7" w:rsidRPr="00F3110C">
        <w:rPr>
          <w:lang w:val="en-GB"/>
        </w:rPr>
        <w:t xml:space="preserve">to </w:t>
      </w:r>
      <w:r w:rsidR="00184DBF" w:rsidRPr="00F3110C">
        <w:rPr>
          <w:lang w:val="en-GB"/>
        </w:rPr>
        <w:t xml:space="preserve">pursue a new path, </w:t>
      </w:r>
      <w:r w:rsidR="00E371C7" w:rsidRPr="00F3110C">
        <w:rPr>
          <w:lang w:val="en-GB"/>
        </w:rPr>
        <w:t>by creating regional renewable energy cycles</w:t>
      </w:r>
      <w:r w:rsidR="00184DBF" w:rsidRPr="00F3110C">
        <w:rPr>
          <w:lang w:val="en-GB"/>
        </w:rPr>
        <w:t xml:space="preserve"> and</w:t>
      </w:r>
      <w:r w:rsidR="00E73ED2" w:rsidRPr="00F3110C">
        <w:rPr>
          <w:lang w:val="en-GB"/>
        </w:rPr>
        <w:t xml:space="preserve"> interconnect</w:t>
      </w:r>
      <w:r w:rsidR="00184DBF" w:rsidRPr="00F3110C">
        <w:rPr>
          <w:lang w:val="en-GB"/>
        </w:rPr>
        <w:t>ing</w:t>
      </w:r>
      <w:r w:rsidR="00E73ED2" w:rsidRPr="00F3110C">
        <w:rPr>
          <w:lang w:val="en-GB"/>
        </w:rPr>
        <w:t xml:space="preserve"> energy and regional policies</w:t>
      </w:r>
      <w:r w:rsidR="00184DBF" w:rsidRPr="00F3110C">
        <w:rPr>
          <w:lang w:val="en-GB"/>
        </w:rPr>
        <w:t>,"</w:t>
      </w:r>
      <w:r w:rsidR="00E371C7" w:rsidRPr="00F3110C">
        <w:rPr>
          <w:lang w:val="en-GB"/>
        </w:rPr>
        <w:t xml:space="preserve"> </w:t>
      </w:r>
      <w:r w:rsidR="00184DBF" w:rsidRPr="00F3110C">
        <w:rPr>
          <w:lang w:val="en-GB"/>
        </w:rPr>
        <w:t xml:space="preserve">continued </w:t>
      </w:r>
      <w:r w:rsidR="00184DBF" w:rsidRPr="00F3110C">
        <w:rPr>
          <w:b/>
          <w:bCs/>
          <w:lang w:val="en-GB"/>
        </w:rPr>
        <w:t>Mr</w:t>
      </w:r>
      <w:r w:rsidR="00DD77D5" w:rsidRPr="00F3110C">
        <w:rPr>
          <w:b/>
          <w:bCs/>
          <w:lang w:val="en-GB"/>
        </w:rPr>
        <w:t> </w:t>
      </w:r>
      <w:proofErr w:type="spellStart"/>
      <w:r w:rsidR="00184DBF" w:rsidRPr="00F3110C">
        <w:rPr>
          <w:b/>
          <w:bCs/>
          <w:lang w:val="en-GB"/>
        </w:rPr>
        <w:t>Ribbe</w:t>
      </w:r>
      <w:proofErr w:type="spellEnd"/>
      <w:r w:rsidR="00393AEB" w:rsidRPr="00F3110C">
        <w:rPr>
          <w:lang w:val="en-GB"/>
        </w:rPr>
        <w:t>.</w:t>
      </w:r>
      <w:r w:rsidR="00184DBF" w:rsidRPr="00F3110C">
        <w:rPr>
          <w:lang w:val="en-GB"/>
        </w:rPr>
        <w:t xml:space="preserve"> </w:t>
      </w:r>
      <w:r w:rsidR="003907A1" w:rsidRPr="00F3110C">
        <w:rPr>
          <w:lang w:val="en-GB"/>
        </w:rPr>
        <w:t>"We can help address energy poverty via renewable energy production if there is the political will.</w:t>
      </w:r>
      <w:r w:rsidR="00184DBF" w:rsidRPr="00F3110C">
        <w:rPr>
          <w:lang w:val="en-GB"/>
        </w:rPr>
        <w:t>"</w:t>
      </w:r>
    </w:p>
    <w:p w:rsidR="003907A1" w:rsidRPr="00F3110C" w:rsidRDefault="003907A1" w:rsidP="0019593F">
      <w:pPr>
        <w:rPr>
          <w:lang w:val="en-GB"/>
        </w:rPr>
      </w:pPr>
    </w:p>
    <w:p w:rsidR="00906677" w:rsidRPr="00F3110C" w:rsidRDefault="001E2D3C" w:rsidP="00CE3F9C">
      <w:pPr>
        <w:rPr>
          <w:lang w:val="en-GB"/>
        </w:rPr>
      </w:pPr>
      <w:r w:rsidRPr="00F3110C">
        <w:rPr>
          <w:lang w:val="en-GB"/>
        </w:rPr>
        <w:t xml:space="preserve">The package on "Clean Energy for all Europeans" was the first ever to put consumers at the centre of the energy transition, </w:t>
      </w:r>
      <w:r w:rsidR="00CE3F9C" w:rsidRPr="00F3110C">
        <w:rPr>
          <w:lang w:val="en-GB"/>
        </w:rPr>
        <w:t>underlined</w:t>
      </w:r>
      <w:r w:rsidR="00906677" w:rsidRPr="00F3110C">
        <w:rPr>
          <w:lang w:val="en-GB"/>
        </w:rPr>
        <w:t xml:space="preserve"> </w:t>
      </w:r>
      <w:r w:rsidR="00906677" w:rsidRPr="00F3110C">
        <w:rPr>
          <w:b/>
          <w:bCs/>
          <w:lang w:val="en-GB"/>
        </w:rPr>
        <w:t xml:space="preserve">Klaus-Dieter </w:t>
      </w:r>
      <w:proofErr w:type="spellStart"/>
      <w:r w:rsidR="00906677" w:rsidRPr="00F3110C">
        <w:rPr>
          <w:b/>
          <w:bCs/>
          <w:lang w:val="en-GB"/>
        </w:rPr>
        <w:t>Borchardt</w:t>
      </w:r>
      <w:proofErr w:type="spellEnd"/>
      <w:r w:rsidR="00906677" w:rsidRPr="00F3110C">
        <w:rPr>
          <w:lang w:val="en-GB"/>
        </w:rPr>
        <w:t xml:space="preserve"> from </w:t>
      </w:r>
      <w:r w:rsidR="00BF46C2" w:rsidRPr="00F3110C">
        <w:rPr>
          <w:lang w:val="en-GB"/>
        </w:rPr>
        <w:t xml:space="preserve">the European Commission's </w:t>
      </w:r>
      <w:r w:rsidR="00906677" w:rsidRPr="00F3110C">
        <w:rPr>
          <w:lang w:val="en-GB"/>
        </w:rPr>
        <w:t xml:space="preserve">DG ENER. A concrete example is </w:t>
      </w:r>
      <w:r w:rsidR="00BF46C2" w:rsidRPr="00F3110C">
        <w:rPr>
          <w:lang w:val="en-GB"/>
        </w:rPr>
        <w:t xml:space="preserve">consumer </w:t>
      </w:r>
      <w:r w:rsidR="00906677" w:rsidRPr="00F3110C">
        <w:rPr>
          <w:lang w:val="en-GB"/>
        </w:rPr>
        <w:t xml:space="preserve">information: </w:t>
      </w:r>
      <w:r w:rsidR="00BF46C2" w:rsidRPr="00F3110C">
        <w:rPr>
          <w:lang w:val="en-GB"/>
        </w:rPr>
        <w:t xml:space="preserve">the option </w:t>
      </w:r>
      <w:r w:rsidR="00906677" w:rsidRPr="00F3110C">
        <w:rPr>
          <w:lang w:val="en-GB"/>
        </w:rPr>
        <w:t>to switch electricity supplier within 24 hours from 2026</w:t>
      </w:r>
      <w:r w:rsidR="00BF46C2" w:rsidRPr="00F3110C">
        <w:rPr>
          <w:lang w:val="en-GB"/>
        </w:rPr>
        <w:t xml:space="preserve"> at the latest</w:t>
      </w:r>
      <w:r w:rsidR="00906677" w:rsidRPr="00F3110C">
        <w:rPr>
          <w:lang w:val="en-GB"/>
        </w:rPr>
        <w:t>, free-of-charge access to at least one energy price comparison tool and clearer and more user-friendly bills.</w:t>
      </w:r>
    </w:p>
    <w:p w:rsidR="00906677" w:rsidRPr="00F3110C" w:rsidRDefault="00906677" w:rsidP="00906677">
      <w:pPr>
        <w:rPr>
          <w:lang w:val="en-GB"/>
        </w:rPr>
      </w:pPr>
    </w:p>
    <w:p w:rsidR="00906677" w:rsidRPr="00F3110C" w:rsidRDefault="00906677" w:rsidP="00F2402E">
      <w:pPr>
        <w:rPr>
          <w:lang w:val="en-GB"/>
        </w:rPr>
      </w:pPr>
      <w:r w:rsidRPr="00F3110C">
        <w:rPr>
          <w:b/>
          <w:bCs/>
          <w:lang w:val="en-GB"/>
        </w:rPr>
        <w:t xml:space="preserve">Vincent </w:t>
      </w:r>
      <w:proofErr w:type="spellStart"/>
      <w:r w:rsidRPr="00F3110C">
        <w:rPr>
          <w:b/>
          <w:bCs/>
          <w:lang w:val="en-GB"/>
        </w:rPr>
        <w:t>Berrutto</w:t>
      </w:r>
      <w:proofErr w:type="spellEnd"/>
      <w:r w:rsidRPr="00F3110C">
        <w:rPr>
          <w:lang w:val="en-GB"/>
        </w:rPr>
        <w:t xml:space="preserve">, </w:t>
      </w:r>
      <w:r w:rsidR="004F39B8" w:rsidRPr="00F3110C">
        <w:rPr>
          <w:lang w:val="en-GB"/>
        </w:rPr>
        <w:t>representing</w:t>
      </w:r>
      <w:r w:rsidRPr="00F3110C">
        <w:rPr>
          <w:lang w:val="en-GB"/>
        </w:rPr>
        <w:t xml:space="preserve"> EASME, the European Commission's executive agency for SMEs, </w:t>
      </w:r>
      <w:r w:rsidR="00BF46C2" w:rsidRPr="00F3110C">
        <w:rPr>
          <w:lang w:val="en-GB"/>
        </w:rPr>
        <w:t xml:space="preserve">was on the same </w:t>
      </w:r>
      <w:r w:rsidR="00F2402E" w:rsidRPr="00F3110C">
        <w:rPr>
          <w:lang w:val="en-GB"/>
        </w:rPr>
        <w:t>wavelength</w:t>
      </w:r>
      <w:r w:rsidR="00BF46C2" w:rsidRPr="00F3110C">
        <w:rPr>
          <w:lang w:val="en-GB"/>
        </w:rPr>
        <w:t xml:space="preserve">, </w:t>
      </w:r>
      <w:r w:rsidRPr="00F3110C">
        <w:rPr>
          <w:lang w:val="en-GB"/>
        </w:rPr>
        <w:t>point</w:t>
      </w:r>
      <w:r w:rsidR="00BF46C2" w:rsidRPr="00F3110C">
        <w:rPr>
          <w:lang w:val="en-GB"/>
        </w:rPr>
        <w:t>ing</w:t>
      </w:r>
      <w:r w:rsidRPr="00F3110C">
        <w:rPr>
          <w:lang w:val="en-GB"/>
        </w:rPr>
        <w:t xml:space="preserve"> out </w:t>
      </w:r>
      <w:r w:rsidR="00BF46C2" w:rsidRPr="00F3110C">
        <w:rPr>
          <w:lang w:val="en-GB"/>
        </w:rPr>
        <w:t xml:space="preserve">that the </w:t>
      </w:r>
      <w:r w:rsidRPr="00F3110C">
        <w:rPr>
          <w:lang w:val="en-GB"/>
        </w:rPr>
        <w:t>energy polic</w:t>
      </w:r>
      <w:r w:rsidR="00BF46C2" w:rsidRPr="00F3110C">
        <w:rPr>
          <w:lang w:val="en-GB"/>
        </w:rPr>
        <w:t>y agenda</w:t>
      </w:r>
      <w:r w:rsidRPr="00F3110C">
        <w:rPr>
          <w:lang w:val="en-GB"/>
        </w:rPr>
        <w:t xml:space="preserve"> was no </w:t>
      </w:r>
      <w:r w:rsidR="00F2402E" w:rsidRPr="00F3110C">
        <w:rPr>
          <w:lang w:val="en-GB"/>
        </w:rPr>
        <w:t>longer</w:t>
      </w:r>
      <w:r w:rsidR="00F2402E" w:rsidRPr="00F3110C">
        <w:rPr>
          <w:lang w:val="en-GB"/>
        </w:rPr>
        <w:t xml:space="preserve"> </w:t>
      </w:r>
      <w:r w:rsidR="00BF46C2" w:rsidRPr="00F3110C">
        <w:rPr>
          <w:lang w:val="en-GB"/>
        </w:rPr>
        <w:t xml:space="preserve">headed by </w:t>
      </w:r>
      <w:r w:rsidRPr="00F3110C">
        <w:rPr>
          <w:lang w:val="en-GB"/>
        </w:rPr>
        <w:t xml:space="preserve">awareness-raising but </w:t>
      </w:r>
      <w:r w:rsidR="00BF46C2" w:rsidRPr="00F3110C">
        <w:rPr>
          <w:lang w:val="en-GB"/>
        </w:rPr>
        <w:t xml:space="preserve">by </w:t>
      </w:r>
      <w:r w:rsidRPr="00F3110C">
        <w:rPr>
          <w:lang w:val="en-GB"/>
        </w:rPr>
        <w:t>empowering consumers, helping them take action and supporting them with new energy services.</w:t>
      </w:r>
    </w:p>
    <w:p w:rsidR="00FF4BCF" w:rsidRPr="00F3110C" w:rsidRDefault="00FF4BCF" w:rsidP="00906677">
      <w:pPr>
        <w:rPr>
          <w:lang w:val="en-GB"/>
        </w:rPr>
      </w:pPr>
    </w:p>
    <w:p w:rsidR="00F9792A" w:rsidRPr="00F3110C" w:rsidRDefault="00FF4BCF" w:rsidP="008062DE">
      <w:pPr>
        <w:rPr>
          <w:lang w:val="en-GB"/>
        </w:rPr>
      </w:pPr>
      <w:r w:rsidRPr="00F3110C">
        <w:rPr>
          <w:lang w:val="en-GB"/>
        </w:rPr>
        <w:t>People could produce 4</w:t>
      </w:r>
      <w:bookmarkStart w:id="0" w:name="_GoBack"/>
      <w:bookmarkEnd w:id="0"/>
      <w:r w:rsidRPr="00F3110C">
        <w:rPr>
          <w:lang w:val="en-GB"/>
        </w:rPr>
        <w:t xml:space="preserve">5% of the EU's electricity by 2050, </w:t>
      </w:r>
      <w:r w:rsidR="008062DE" w:rsidRPr="00F3110C">
        <w:rPr>
          <w:lang w:val="en-GB"/>
        </w:rPr>
        <w:t>indicated</w:t>
      </w:r>
      <w:r w:rsidRPr="00F3110C">
        <w:rPr>
          <w:lang w:val="en-GB"/>
        </w:rPr>
        <w:t xml:space="preserve"> </w:t>
      </w:r>
      <w:r w:rsidRPr="00F3110C">
        <w:rPr>
          <w:b/>
          <w:bCs/>
          <w:lang w:val="en-GB"/>
        </w:rPr>
        <w:t>Josh Roberts</w:t>
      </w:r>
      <w:r w:rsidRPr="00F3110C">
        <w:rPr>
          <w:lang w:val="en-GB"/>
        </w:rPr>
        <w:t xml:space="preserve"> from </w:t>
      </w:r>
      <w:proofErr w:type="spellStart"/>
      <w:r w:rsidRPr="00F3110C">
        <w:rPr>
          <w:lang w:val="en-GB"/>
        </w:rPr>
        <w:t>REScoop</w:t>
      </w:r>
      <w:proofErr w:type="spellEnd"/>
      <w:r w:rsidRPr="00F3110C">
        <w:rPr>
          <w:lang w:val="en-GB"/>
        </w:rPr>
        <w:t xml:space="preserve">, who </w:t>
      </w:r>
      <w:r w:rsidR="004F39B8" w:rsidRPr="00F3110C">
        <w:rPr>
          <w:lang w:val="en-GB"/>
        </w:rPr>
        <w:t>elaborated on the potential citizen ownership of renewables in the EU and mentioned the example of energy</w:t>
      </w:r>
      <w:r w:rsidRPr="00F3110C">
        <w:rPr>
          <w:lang w:val="en-GB"/>
        </w:rPr>
        <w:t xml:space="preserve"> cooperatives.</w:t>
      </w:r>
      <w:r w:rsidR="008062DE" w:rsidRPr="00F3110C">
        <w:rPr>
          <w:lang w:val="en-GB"/>
        </w:rPr>
        <w:t xml:space="preserve"> </w:t>
      </w:r>
    </w:p>
    <w:p w:rsidR="00F9792A" w:rsidRPr="00F3110C" w:rsidRDefault="00F9792A" w:rsidP="008062DE">
      <w:pPr>
        <w:rPr>
          <w:lang w:val="en-GB"/>
        </w:rPr>
      </w:pPr>
    </w:p>
    <w:p w:rsidR="004F39B8" w:rsidRPr="00F3110C" w:rsidRDefault="006C7CCD" w:rsidP="0013409B">
      <w:pPr>
        <w:rPr>
          <w:lang w:val="en-GB"/>
        </w:rPr>
      </w:pPr>
      <w:r w:rsidRPr="00F3110C">
        <w:rPr>
          <w:lang w:val="en-GB"/>
        </w:rPr>
        <w:t>According to</w:t>
      </w:r>
      <w:r w:rsidR="004F39B8" w:rsidRPr="00F3110C">
        <w:rPr>
          <w:b/>
          <w:bCs/>
          <w:lang w:val="en-GB"/>
        </w:rPr>
        <w:t xml:space="preserve"> </w:t>
      </w:r>
      <w:proofErr w:type="spellStart"/>
      <w:r w:rsidR="004F39B8" w:rsidRPr="00F3110C">
        <w:rPr>
          <w:b/>
          <w:bCs/>
          <w:lang w:val="en-GB"/>
        </w:rPr>
        <w:t>Alix</w:t>
      </w:r>
      <w:proofErr w:type="spellEnd"/>
      <w:r w:rsidR="004F39B8" w:rsidRPr="00F3110C">
        <w:rPr>
          <w:b/>
          <w:bCs/>
          <w:lang w:val="en-GB"/>
        </w:rPr>
        <w:t xml:space="preserve"> </w:t>
      </w:r>
      <w:proofErr w:type="spellStart"/>
      <w:r w:rsidR="004F39B8" w:rsidRPr="00F3110C">
        <w:rPr>
          <w:b/>
          <w:bCs/>
          <w:lang w:val="en-GB"/>
        </w:rPr>
        <w:t>Bolle</w:t>
      </w:r>
      <w:proofErr w:type="spellEnd"/>
      <w:r w:rsidR="0013409B" w:rsidRPr="00F3110C">
        <w:rPr>
          <w:lang w:val="en-GB"/>
        </w:rPr>
        <w:t>, a representative of</w:t>
      </w:r>
      <w:r w:rsidR="004F39B8" w:rsidRPr="00F3110C">
        <w:rPr>
          <w:lang w:val="en-GB"/>
        </w:rPr>
        <w:t xml:space="preserve"> Energy Cities, stronger support for local governance innovation </w:t>
      </w:r>
      <w:r w:rsidRPr="00F3110C">
        <w:rPr>
          <w:lang w:val="en-GB"/>
        </w:rPr>
        <w:t xml:space="preserve">is needed: </w:t>
      </w:r>
      <w:r w:rsidR="004F39B8" w:rsidRPr="00F3110C">
        <w:rPr>
          <w:lang w:val="en-GB"/>
        </w:rPr>
        <w:t>cities can have a</w:t>
      </w:r>
      <w:r w:rsidRPr="00F3110C">
        <w:rPr>
          <w:lang w:val="en-GB"/>
        </w:rPr>
        <w:t xml:space="preserve"> direct role a</w:t>
      </w:r>
      <w:r w:rsidR="004F39B8" w:rsidRPr="00F3110C">
        <w:rPr>
          <w:lang w:val="en-GB"/>
        </w:rPr>
        <w:t>s policy and regulatory enablers, direct project partners and energy operators.</w:t>
      </w:r>
    </w:p>
    <w:p w:rsidR="004F39B8" w:rsidRPr="00F3110C" w:rsidRDefault="004F39B8" w:rsidP="00F46701">
      <w:pPr>
        <w:rPr>
          <w:lang w:val="en-GB"/>
        </w:rPr>
      </w:pPr>
    </w:p>
    <w:p w:rsidR="00393AEB" w:rsidRPr="00F3110C" w:rsidRDefault="009E0DCF" w:rsidP="000F7961">
      <w:pPr>
        <w:rPr>
          <w:lang w:val="en-GB"/>
        </w:rPr>
      </w:pPr>
      <w:r w:rsidRPr="00F3110C">
        <w:rPr>
          <w:lang w:val="en-GB"/>
        </w:rPr>
        <w:t>The subject of the</w:t>
      </w:r>
      <w:r w:rsidR="004F39B8" w:rsidRPr="00F3110C">
        <w:rPr>
          <w:lang w:val="en-GB"/>
        </w:rPr>
        <w:t xml:space="preserve"> energy poor was</w:t>
      </w:r>
      <w:r w:rsidRPr="00F3110C">
        <w:rPr>
          <w:lang w:val="en-GB"/>
        </w:rPr>
        <w:t xml:space="preserve"> highlighted by </w:t>
      </w:r>
      <w:r w:rsidR="00663B8B" w:rsidRPr="00F3110C">
        <w:rPr>
          <w:b/>
          <w:bCs/>
          <w:lang w:val="en-GB"/>
        </w:rPr>
        <w:t xml:space="preserve">Magda </w:t>
      </w:r>
      <w:proofErr w:type="spellStart"/>
      <w:r w:rsidR="00387F90" w:rsidRPr="00F3110C">
        <w:rPr>
          <w:b/>
          <w:bCs/>
          <w:lang w:val="en-GB"/>
        </w:rPr>
        <w:t>Tancau</w:t>
      </w:r>
      <w:proofErr w:type="spellEnd"/>
      <w:r w:rsidR="009E1C2B" w:rsidRPr="00F3110C">
        <w:rPr>
          <w:lang w:val="en-GB"/>
        </w:rPr>
        <w:t xml:space="preserve">, </w:t>
      </w:r>
      <w:r w:rsidR="004F39B8" w:rsidRPr="00F3110C">
        <w:rPr>
          <w:lang w:val="en-GB"/>
        </w:rPr>
        <w:t>representing</w:t>
      </w:r>
      <w:r w:rsidR="00387F90" w:rsidRPr="00F3110C">
        <w:rPr>
          <w:lang w:val="en-GB"/>
        </w:rPr>
        <w:t xml:space="preserve"> the European</w:t>
      </w:r>
      <w:r w:rsidR="00663B8B" w:rsidRPr="00F3110C">
        <w:rPr>
          <w:lang w:val="en-GB"/>
        </w:rPr>
        <w:t xml:space="preserve"> </w:t>
      </w:r>
      <w:r w:rsidR="00387F90" w:rsidRPr="00F3110C">
        <w:rPr>
          <w:lang w:val="en-GB"/>
        </w:rPr>
        <w:t>Anti</w:t>
      </w:r>
      <w:r w:rsidRPr="00F3110C">
        <w:rPr>
          <w:lang w:val="en-GB"/>
        </w:rPr>
        <w:noBreakHyphen/>
      </w:r>
      <w:r w:rsidR="00387F90" w:rsidRPr="00F3110C">
        <w:rPr>
          <w:lang w:val="en-GB"/>
        </w:rPr>
        <w:t>Poverty Network</w:t>
      </w:r>
      <w:r w:rsidR="009E1C2B" w:rsidRPr="00F3110C">
        <w:rPr>
          <w:lang w:val="en-GB"/>
        </w:rPr>
        <w:t>,</w:t>
      </w:r>
      <w:r w:rsidR="004F39B8" w:rsidRPr="00F3110C">
        <w:rPr>
          <w:lang w:val="en-GB"/>
        </w:rPr>
        <w:t xml:space="preserve"> who</w:t>
      </w:r>
      <w:r w:rsidR="00891060" w:rsidRPr="00F3110C">
        <w:rPr>
          <w:lang w:val="en-GB"/>
        </w:rPr>
        <w:t xml:space="preserve"> wondered how civil society </w:t>
      </w:r>
      <w:r w:rsidR="000F7961" w:rsidRPr="00F3110C">
        <w:rPr>
          <w:lang w:val="en-GB"/>
        </w:rPr>
        <w:t xml:space="preserve">could </w:t>
      </w:r>
      <w:r w:rsidR="00891060" w:rsidRPr="00F3110C">
        <w:rPr>
          <w:lang w:val="en-GB"/>
        </w:rPr>
        <w:t xml:space="preserve">bring energy closer to citizens, especially to </w:t>
      </w:r>
      <w:r w:rsidR="00BF46C2" w:rsidRPr="00F3110C">
        <w:rPr>
          <w:lang w:val="en-GB"/>
        </w:rPr>
        <w:t>those who</w:t>
      </w:r>
      <w:r w:rsidR="00891060" w:rsidRPr="00F3110C">
        <w:rPr>
          <w:lang w:val="en-GB"/>
        </w:rPr>
        <w:t xml:space="preserve"> are vulnerable</w:t>
      </w:r>
      <w:r w:rsidR="004F39B8" w:rsidRPr="00F3110C">
        <w:rPr>
          <w:lang w:val="en-GB"/>
        </w:rPr>
        <w:t xml:space="preserve">, </w:t>
      </w:r>
      <w:r w:rsidR="00BF46C2" w:rsidRPr="00F3110C">
        <w:rPr>
          <w:lang w:val="en-GB"/>
        </w:rPr>
        <w:t xml:space="preserve">arguing </w:t>
      </w:r>
      <w:r w:rsidR="00891060" w:rsidRPr="00F3110C">
        <w:rPr>
          <w:lang w:val="en-GB"/>
        </w:rPr>
        <w:t>that more resources should be made available to NGOs for capacity</w:t>
      </w:r>
      <w:r w:rsidR="00BF46C2" w:rsidRPr="00F3110C">
        <w:rPr>
          <w:lang w:val="en-GB"/>
        </w:rPr>
        <w:t>-</w:t>
      </w:r>
      <w:r w:rsidR="00891060" w:rsidRPr="00F3110C">
        <w:rPr>
          <w:lang w:val="en-GB"/>
        </w:rPr>
        <w:t>building</w:t>
      </w:r>
      <w:r w:rsidR="00BF46C2" w:rsidRPr="00F3110C">
        <w:rPr>
          <w:lang w:val="en-GB"/>
        </w:rPr>
        <w:t>:</w:t>
      </w:r>
      <w:r w:rsidR="00891060" w:rsidRPr="00F3110C">
        <w:rPr>
          <w:lang w:val="en-GB"/>
        </w:rPr>
        <w:t xml:space="preserve"> </w:t>
      </w:r>
      <w:r w:rsidR="00BF46C2" w:rsidRPr="00F3110C">
        <w:rPr>
          <w:lang w:val="en-GB"/>
        </w:rPr>
        <w:t xml:space="preserve">while </w:t>
      </w:r>
      <w:r w:rsidR="00891060" w:rsidRPr="00F3110C">
        <w:rPr>
          <w:lang w:val="en-GB"/>
        </w:rPr>
        <w:t>citizens</w:t>
      </w:r>
      <w:r w:rsidR="00BF46C2" w:rsidRPr="00F3110C">
        <w:rPr>
          <w:lang w:val="en-GB"/>
        </w:rPr>
        <w:t>'</w:t>
      </w:r>
      <w:r w:rsidR="00891060" w:rsidRPr="00F3110C">
        <w:rPr>
          <w:lang w:val="en-GB"/>
        </w:rPr>
        <w:t xml:space="preserve"> participation is important</w:t>
      </w:r>
      <w:r w:rsidR="00BF46C2" w:rsidRPr="00F3110C">
        <w:rPr>
          <w:lang w:val="en-GB"/>
        </w:rPr>
        <w:t>, it</w:t>
      </w:r>
      <w:r w:rsidR="00F2402E" w:rsidRPr="00F3110C">
        <w:rPr>
          <w:lang w:val="en-GB"/>
        </w:rPr>
        <w:t xml:space="preserve"> </w:t>
      </w:r>
      <w:r w:rsidR="00891060" w:rsidRPr="00F3110C">
        <w:rPr>
          <w:lang w:val="en-GB"/>
        </w:rPr>
        <w:t>cannot be taken for granted.</w:t>
      </w:r>
      <w:r w:rsidR="004F39B8" w:rsidRPr="00F3110C">
        <w:rPr>
          <w:lang w:val="en-GB"/>
        </w:rPr>
        <w:t xml:space="preserve"> </w:t>
      </w:r>
    </w:p>
    <w:p w:rsidR="00393AEB" w:rsidRPr="00F3110C" w:rsidRDefault="00393AEB" w:rsidP="009E0DCF">
      <w:pPr>
        <w:rPr>
          <w:lang w:val="en-GB"/>
        </w:rPr>
      </w:pPr>
    </w:p>
    <w:p w:rsidR="00663B8B" w:rsidRPr="00F3110C" w:rsidRDefault="00393AEB" w:rsidP="009E38E9">
      <w:pPr>
        <w:rPr>
          <w:lang w:val="en-GB"/>
        </w:rPr>
      </w:pPr>
      <w:r w:rsidRPr="00F3110C">
        <w:rPr>
          <w:lang w:val="en-GB"/>
        </w:rPr>
        <w:t>The energy system should be affordable, sustainable and democratic</w:t>
      </w:r>
      <w:r w:rsidR="00F9792A" w:rsidRPr="00F3110C">
        <w:rPr>
          <w:lang w:val="en-GB"/>
        </w:rPr>
        <w:t>,</w:t>
      </w:r>
      <w:r w:rsidRPr="00F3110C">
        <w:rPr>
          <w:lang w:val="en-GB"/>
        </w:rPr>
        <w:t xml:space="preserve"> </w:t>
      </w:r>
      <w:r w:rsidR="00F9792A" w:rsidRPr="00F3110C">
        <w:rPr>
          <w:lang w:val="en-GB"/>
        </w:rPr>
        <w:t>emphasised</w:t>
      </w:r>
      <w:r w:rsidR="004F39B8" w:rsidRPr="00F3110C">
        <w:rPr>
          <w:lang w:val="en-GB"/>
        </w:rPr>
        <w:t xml:space="preserve"> </w:t>
      </w:r>
      <w:r w:rsidR="006414F1" w:rsidRPr="00F3110C">
        <w:rPr>
          <w:b/>
          <w:bCs/>
          <w:lang w:val="en-GB"/>
        </w:rPr>
        <w:t>Ruth London</w:t>
      </w:r>
      <w:r w:rsidR="009E1C2B" w:rsidRPr="00F3110C">
        <w:rPr>
          <w:lang w:val="en-GB"/>
        </w:rPr>
        <w:t>,</w:t>
      </w:r>
      <w:r w:rsidR="006414F1" w:rsidRPr="00F3110C">
        <w:rPr>
          <w:lang w:val="en-GB"/>
        </w:rPr>
        <w:t xml:space="preserve"> </w:t>
      </w:r>
      <w:r w:rsidR="004F39B8" w:rsidRPr="00F3110C">
        <w:rPr>
          <w:lang w:val="en-GB"/>
        </w:rPr>
        <w:t xml:space="preserve">a volunteer </w:t>
      </w:r>
      <w:r w:rsidR="00BF46C2" w:rsidRPr="00F3110C">
        <w:rPr>
          <w:lang w:val="en-GB"/>
        </w:rPr>
        <w:t xml:space="preserve">from </w:t>
      </w:r>
      <w:r w:rsidR="006414F1" w:rsidRPr="00F3110C">
        <w:rPr>
          <w:lang w:val="en-GB"/>
        </w:rPr>
        <w:t>Fuel Poverty Action</w:t>
      </w:r>
      <w:r w:rsidR="009E1C2B" w:rsidRPr="00F3110C">
        <w:rPr>
          <w:lang w:val="en-GB"/>
        </w:rPr>
        <w:t>,</w:t>
      </w:r>
      <w:r w:rsidR="00663B8B" w:rsidRPr="00F3110C">
        <w:rPr>
          <w:lang w:val="en-GB"/>
        </w:rPr>
        <w:t xml:space="preserve"> present</w:t>
      </w:r>
      <w:r w:rsidR="00F9792A" w:rsidRPr="00F3110C">
        <w:rPr>
          <w:lang w:val="en-GB"/>
        </w:rPr>
        <w:t>ing</w:t>
      </w:r>
      <w:r w:rsidR="00663B8B" w:rsidRPr="00F3110C">
        <w:rPr>
          <w:lang w:val="en-GB"/>
        </w:rPr>
        <w:t xml:space="preserve"> </w:t>
      </w:r>
      <w:r w:rsidR="006414F1" w:rsidRPr="00F3110C">
        <w:rPr>
          <w:lang w:val="en-GB"/>
        </w:rPr>
        <w:t>some</w:t>
      </w:r>
      <w:r w:rsidR="00663B8B" w:rsidRPr="00F3110C">
        <w:rPr>
          <w:lang w:val="en-GB"/>
        </w:rPr>
        <w:t xml:space="preserve"> exampl</w:t>
      </w:r>
      <w:r w:rsidR="006414F1" w:rsidRPr="00F3110C">
        <w:rPr>
          <w:lang w:val="en-GB"/>
        </w:rPr>
        <w:t>e</w:t>
      </w:r>
      <w:r w:rsidR="00663B8B" w:rsidRPr="00F3110C">
        <w:rPr>
          <w:lang w:val="en-GB"/>
        </w:rPr>
        <w:t xml:space="preserve">s of </w:t>
      </w:r>
      <w:r w:rsidR="006414F1" w:rsidRPr="00F3110C">
        <w:rPr>
          <w:lang w:val="en-GB"/>
        </w:rPr>
        <w:t>how</w:t>
      </w:r>
      <w:r w:rsidR="00663B8B" w:rsidRPr="00F3110C">
        <w:rPr>
          <w:lang w:val="en-GB"/>
        </w:rPr>
        <w:t xml:space="preserve"> green initiative</w:t>
      </w:r>
      <w:r w:rsidR="006414F1" w:rsidRPr="00F3110C">
        <w:rPr>
          <w:lang w:val="en-GB"/>
        </w:rPr>
        <w:t xml:space="preserve">s </w:t>
      </w:r>
      <w:r w:rsidR="000165F3" w:rsidRPr="00F3110C">
        <w:rPr>
          <w:lang w:val="en-GB"/>
        </w:rPr>
        <w:t>ha</w:t>
      </w:r>
      <w:r w:rsidR="00F46701" w:rsidRPr="00F3110C">
        <w:rPr>
          <w:lang w:val="en-GB"/>
        </w:rPr>
        <w:t>d</w:t>
      </w:r>
      <w:r w:rsidR="000165F3" w:rsidRPr="00F3110C">
        <w:rPr>
          <w:lang w:val="en-GB"/>
        </w:rPr>
        <w:t xml:space="preserve"> often</w:t>
      </w:r>
      <w:r w:rsidR="006414F1" w:rsidRPr="00F3110C">
        <w:rPr>
          <w:lang w:val="en-GB"/>
        </w:rPr>
        <w:t xml:space="preserve"> </w:t>
      </w:r>
      <w:r w:rsidR="00663B8B" w:rsidRPr="00F3110C">
        <w:rPr>
          <w:lang w:val="en-GB"/>
        </w:rPr>
        <w:t>clash</w:t>
      </w:r>
      <w:r w:rsidR="000165F3" w:rsidRPr="00F3110C">
        <w:rPr>
          <w:lang w:val="en-GB"/>
        </w:rPr>
        <w:t>ed</w:t>
      </w:r>
      <w:r w:rsidR="00663B8B" w:rsidRPr="00F3110C">
        <w:rPr>
          <w:lang w:val="en-GB"/>
        </w:rPr>
        <w:t xml:space="preserve"> with </w:t>
      </w:r>
      <w:r w:rsidR="000165F3" w:rsidRPr="00F3110C">
        <w:rPr>
          <w:lang w:val="en-GB"/>
        </w:rPr>
        <w:t>political and economic energy</w:t>
      </w:r>
      <w:r w:rsidR="00663B8B" w:rsidRPr="00F3110C">
        <w:rPr>
          <w:lang w:val="en-GB"/>
        </w:rPr>
        <w:t xml:space="preserve"> objectives</w:t>
      </w:r>
      <w:r w:rsidR="00BF46C2" w:rsidRPr="00F3110C">
        <w:rPr>
          <w:lang w:val="en-GB"/>
        </w:rPr>
        <w:t>,</w:t>
      </w:r>
      <w:r w:rsidR="009E38E9" w:rsidRPr="00F3110C">
        <w:rPr>
          <w:lang w:val="en-GB"/>
        </w:rPr>
        <w:t xml:space="preserve"> and</w:t>
      </w:r>
      <w:r w:rsidR="006414F1" w:rsidRPr="00F3110C">
        <w:rPr>
          <w:lang w:val="en-GB"/>
        </w:rPr>
        <w:t xml:space="preserve"> </w:t>
      </w:r>
      <w:r w:rsidR="00BF46C2" w:rsidRPr="00F3110C">
        <w:rPr>
          <w:lang w:val="en-GB"/>
        </w:rPr>
        <w:t>mentioning</w:t>
      </w:r>
      <w:r w:rsidR="006414F1" w:rsidRPr="00F3110C">
        <w:rPr>
          <w:lang w:val="en-GB"/>
        </w:rPr>
        <w:t xml:space="preserve"> green policies that ha</w:t>
      </w:r>
      <w:r w:rsidR="00F46701" w:rsidRPr="00F3110C">
        <w:rPr>
          <w:lang w:val="en-GB"/>
        </w:rPr>
        <w:t>d</w:t>
      </w:r>
      <w:r w:rsidR="006414F1" w:rsidRPr="00F3110C">
        <w:rPr>
          <w:lang w:val="en-GB"/>
        </w:rPr>
        <w:t xml:space="preserve"> been imposed on citizens with no accountability </w:t>
      </w:r>
      <w:r w:rsidR="00BF46C2" w:rsidRPr="00F3110C">
        <w:rPr>
          <w:lang w:val="en-GB"/>
        </w:rPr>
        <w:t xml:space="preserve">or </w:t>
      </w:r>
      <w:r w:rsidR="006414F1" w:rsidRPr="00F3110C">
        <w:rPr>
          <w:lang w:val="en-GB"/>
        </w:rPr>
        <w:t>consultation</w:t>
      </w:r>
      <w:r w:rsidR="00663B8B" w:rsidRPr="00F3110C">
        <w:rPr>
          <w:lang w:val="en-GB"/>
        </w:rPr>
        <w:t>.</w:t>
      </w:r>
    </w:p>
    <w:p w:rsidR="004F39B8" w:rsidRPr="00F3110C" w:rsidRDefault="004F39B8" w:rsidP="00993D55">
      <w:pPr>
        <w:rPr>
          <w:lang w:val="en-GB"/>
        </w:rPr>
      </w:pPr>
    </w:p>
    <w:p w:rsidR="004F39B8" w:rsidRPr="00F3110C" w:rsidRDefault="00BF46C2" w:rsidP="004F39B8">
      <w:pPr>
        <w:rPr>
          <w:lang w:val="en-GB"/>
        </w:rPr>
      </w:pPr>
      <w:r w:rsidRPr="00F3110C">
        <w:rPr>
          <w:lang w:val="en-GB"/>
        </w:rPr>
        <w:t>Lastly</w:t>
      </w:r>
      <w:r w:rsidR="004F39B8" w:rsidRPr="00F3110C">
        <w:rPr>
          <w:lang w:val="en-GB"/>
        </w:rPr>
        <w:t xml:space="preserve">, </w:t>
      </w:r>
      <w:r w:rsidR="004F39B8" w:rsidRPr="00F3110C">
        <w:rPr>
          <w:b/>
          <w:bCs/>
          <w:lang w:val="en-GB"/>
        </w:rPr>
        <w:t xml:space="preserve">Roberto </w:t>
      </w:r>
      <w:proofErr w:type="spellStart"/>
      <w:r w:rsidR="004F39B8" w:rsidRPr="00F3110C">
        <w:rPr>
          <w:b/>
          <w:bCs/>
          <w:lang w:val="en-GB"/>
        </w:rPr>
        <w:t>Zangrandi</w:t>
      </w:r>
      <w:proofErr w:type="spellEnd"/>
      <w:r w:rsidR="004F39B8" w:rsidRPr="00F3110C">
        <w:rPr>
          <w:lang w:val="en-GB"/>
        </w:rPr>
        <w:t xml:space="preserve">, from the Association of European Distribution System Operators for Smart Grids (EDSO), focused on the role and current issues of electricity distributors, highlighting that the </w:t>
      </w:r>
      <w:r w:rsidRPr="00F3110C">
        <w:rPr>
          <w:lang w:val="en-GB"/>
        </w:rPr>
        <w:t xml:space="preserve">progress </w:t>
      </w:r>
      <w:r w:rsidR="004F39B8" w:rsidRPr="00F3110C">
        <w:rPr>
          <w:lang w:val="en-GB"/>
        </w:rPr>
        <w:t xml:space="preserve">of electrification must be thoroughly planned to avoid </w:t>
      </w:r>
      <w:r w:rsidRPr="00F3110C">
        <w:rPr>
          <w:lang w:val="en-GB"/>
        </w:rPr>
        <w:t xml:space="preserve">grid </w:t>
      </w:r>
      <w:r w:rsidR="004F39B8" w:rsidRPr="00F3110C">
        <w:rPr>
          <w:lang w:val="en-GB"/>
        </w:rPr>
        <w:t>collapses.</w:t>
      </w:r>
    </w:p>
    <w:p w:rsidR="00663B8B" w:rsidRPr="00F3110C" w:rsidRDefault="00663B8B" w:rsidP="00CB7612">
      <w:pPr>
        <w:rPr>
          <w:lang w:val="en-GB"/>
        </w:rPr>
      </w:pPr>
    </w:p>
    <w:p w:rsidR="001C5528" w:rsidRPr="00F3110C" w:rsidRDefault="001C5528" w:rsidP="00CB7612">
      <w:pPr>
        <w:rPr>
          <w:lang w:val="en-GB"/>
        </w:rPr>
      </w:pPr>
    </w:p>
    <w:p w:rsidR="001C5528" w:rsidRPr="00F3110C" w:rsidRDefault="001C5528" w:rsidP="001C5528">
      <w:pPr>
        <w:rPr>
          <w:lang w:val="en-GB"/>
        </w:rPr>
      </w:pPr>
    </w:p>
    <w:p w:rsidR="001C5528" w:rsidRPr="00F3110C" w:rsidRDefault="001C5528" w:rsidP="001C5528">
      <w:pPr>
        <w:rPr>
          <w:b/>
          <w:bCs/>
          <w:lang w:val="en-GB"/>
        </w:rPr>
      </w:pPr>
      <w:r w:rsidRPr="00F3110C">
        <w:rPr>
          <w:b/>
          <w:bCs/>
          <w:lang w:val="en-GB"/>
        </w:rPr>
        <w:t>Background</w:t>
      </w:r>
    </w:p>
    <w:p w:rsidR="001C5528" w:rsidRPr="00F3110C" w:rsidRDefault="001C5528" w:rsidP="001C5528">
      <w:pPr>
        <w:rPr>
          <w:lang w:val="en-GB"/>
        </w:rPr>
      </w:pPr>
      <w:r w:rsidRPr="00F3110C">
        <w:rPr>
          <w:lang w:val="en-GB"/>
        </w:rPr>
        <w:t>For further information on the work carried out by the EESC on the energy transition, please consult our website:</w:t>
      </w:r>
    </w:p>
    <w:p w:rsidR="001C5528" w:rsidRPr="00F3110C" w:rsidRDefault="00F3110C" w:rsidP="001C5528">
      <w:pPr>
        <w:pStyle w:val="ListParagraph"/>
        <w:numPr>
          <w:ilvl w:val="0"/>
          <w:numId w:val="3"/>
        </w:numPr>
        <w:ind w:left="284" w:hanging="284"/>
      </w:pPr>
      <w:hyperlink r:id="rId6" w:history="1">
        <w:r w:rsidR="001C5528" w:rsidRPr="00F3110C">
          <w:rPr>
            <w:rStyle w:val="Hyperlink"/>
          </w:rPr>
          <w:t>TEN/660</w:t>
        </w:r>
      </w:hyperlink>
      <w:r w:rsidR="001C5528" w:rsidRPr="00F3110C">
        <w:t xml:space="preserve"> - The effects of a new carbon-free, decentralised and digitalised energy supply structure on jobs and regional economies</w:t>
      </w:r>
    </w:p>
    <w:p w:rsidR="001C5528" w:rsidRPr="00F3110C" w:rsidRDefault="00F3110C" w:rsidP="001C5528">
      <w:pPr>
        <w:pStyle w:val="ListParagraph"/>
        <w:numPr>
          <w:ilvl w:val="0"/>
          <w:numId w:val="3"/>
        </w:numPr>
        <w:ind w:left="284" w:hanging="284"/>
      </w:pPr>
      <w:hyperlink r:id="rId7" w:history="1">
        <w:r w:rsidR="001C5528" w:rsidRPr="00F3110C">
          <w:rPr>
            <w:rStyle w:val="Hyperlink"/>
          </w:rPr>
          <w:t>TEN/583</w:t>
        </w:r>
      </w:hyperlink>
      <w:r w:rsidR="001C5528" w:rsidRPr="00F3110C">
        <w:t xml:space="preserve"> - Prosumer Energy and Prosumer Power Cooperatives: Opportunities and challenges in the EU countries</w:t>
      </w:r>
    </w:p>
    <w:p w:rsidR="001C5528" w:rsidRPr="00F3110C" w:rsidRDefault="00F3110C" w:rsidP="001C5528">
      <w:pPr>
        <w:pStyle w:val="ListParagraph"/>
        <w:numPr>
          <w:ilvl w:val="0"/>
          <w:numId w:val="3"/>
        </w:numPr>
        <w:ind w:left="284" w:hanging="284"/>
      </w:pPr>
      <w:hyperlink r:id="rId8" w:history="1">
        <w:r w:rsidR="001C5528" w:rsidRPr="00F3110C">
          <w:rPr>
            <w:rStyle w:val="Hyperlink"/>
          </w:rPr>
          <w:t>TEN/516</w:t>
        </w:r>
      </w:hyperlink>
      <w:r w:rsidR="001C5528" w:rsidRPr="00F3110C">
        <w:t xml:space="preserve"> - For coordinated European measures to prevent and combat energy poverty</w:t>
      </w:r>
    </w:p>
    <w:p w:rsidR="001C5528" w:rsidRPr="00F3110C" w:rsidRDefault="001C5528" w:rsidP="001C5528">
      <w:pPr>
        <w:rPr>
          <w:lang w:val="en-GB"/>
        </w:rPr>
      </w:pPr>
    </w:p>
    <w:sectPr w:rsidR="001C5528" w:rsidRPr="00F3110C" w:rsidSect="0019593F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F0D226E"/>
    <w:multiLevelType w:val="hybridMultilevel"/>
    <w:tmpl w:val="2B8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5CA"/>
    <w:multiLevelType w:val="hybridMultilevel"/>
    <w:tmpl w:val="DF3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mur">
    <w15:presenceInfo w15:providerId="None" w15:userId="pm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F"/>
    <w:rsid w:val="000165F3"/>
    <w:rsid w:val="000727BF"/>
    <w:rsid w:val="000C45D6"/>
    <w:rsid w:val="000F7961"/>
    <w:rsid w:val="00131AAB"/>
    <w:rsid w:val="0013409B"/>
    <w:rsid w:val="00155754"/>
    <w:rsid w:val="00184DBF"/>
    <w:rsid w:val="0019593F"/>
    <w:rsid w:val="001A66A8"/>
    <w:rsid w:val="001C5528"/>
    <w:rsid w:val="001E2D3C"/>
    <w:rsid w:val="002466D9"/>
    <w:rsid w:val="0032091D"/>
    <w:rsid w:val="0033579E"/>
    <w:rsid w:val="00387F90"/>
    <w:rsid w:val="003907A1"/>
    <w:rsid w:val="00393AEB"/>
    <w:rsid w:val="004F0D24"/>
    <w:rsid w:val="004F39B8"/>
    <w:rsid w:val="006414F1"/>
    <w:rsid w:val="00663B8B"/>
    <w:rsid w:val="00677DE8"/>
    <w:rsid w:val="006810E8"/>
    <w:rsid w:val="006C7CCD"/>
    <w:rsid w:val="006D2EA2"/>
    <w:rsid w:val="00702400"/>
    <w:rsid w:val="0078691E"/>
    <w:rsid w:val="00797EC6"/>
    <w:rsid w:val="007B4952"/>
    <w:rsid w:val="007E4D06"/>
    <w:rsid w:val="007E74F7"/>
    <w:rsid w:val="008062DE"/>
    <w:rsid w:val="00891060"/>
    <w:rsid w:val="00891B68"/>
    <w:rsid w:val="008E45FF"/>
    <w:rsid w:val="00906677"/>
    <w:rsid w:val="00945D92"/>
    <w:rsid w:val="00947DBE"/>
    <w:rsid w:val="00993D55"/>
    <w:rsid w:val="009A5390"/>
    <w:rsid w:val="009E0DCF"/>
    <w:rsid w:val="009E1C2B"/>
    <w:rsid w:val="009E38E9"/>
    <w:rsid w:val="00A3110D"/>
    <w:rsid w:val="00A47142"/>
    <w:rsid w:val="00A9191C"/>
    <w:rsid w:val="00A94889"/>
    <w:rsid w:val="00A949DD"/>
    <w:rsid w:val="00AF70EB"/>
    <w:rsid w:val="00BB55DA"/>
    <w:rsid w:val="00BC154A"/>
    <w:rsid w:val="00BE2E75"/>
    <w:rsid w:val="00BF46C2"/>
    <w:rsid w:val="00C17F81"/>
    <w:rsid w:val="00C26253"/>
    <w:rsid w:val="00C430C9"/>
    <w:rsid w:val="00C4483F"/>
    <w:rsid w:val="00C6200B"/>
    <w:rsid w:val="00C65DB8"/>
    <w:rsid w:val="00CB7612"/>
    <w:rsid w:val="00CC7928"/>
    <w:rsid w:val="00CE3F9C"/>
    <w:rsid w:val="00D2241E"/>
    <w:rsid w:val="00D55E35"/>
    <w:rsid w:val="00D904AD"/>
    <w:rsid w:val="00D944A0"/>
    <w:rsid w:val="00DC1BB9"/>
    <w:rsid w:val="00DD77D5"/>
    <w:rsid w:val="00E24844"/>
    <w:rsid w:val="00E371C7"/>
    <w:rsid w:val="00E73ED2"/>
    <w:rsid w:val="00ED1436"/>
    <w:rsid w:val="00F0600C"/>
    <w:rsid w:val="00F14E8F"/>
    <w:rsid w:val="00F2402E"/>
    <w:rsid w:val="00F3110C"/>
    <w:rsid w:val="00F46701"/>
    <w:rsid w:val="00F95C35"/>
    <w:rsid w:val="00F9792A"/>
    <w:rsid w:val="00FB038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3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9593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9593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9593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9593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9593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9593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9593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9593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9593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93F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19593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9593F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19593F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19593F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19593F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19593F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19593F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1959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19593F"/>
  </w:style>
  <w:style w:type="character" w:customStyle="1" w:styleId="FooterChar">
    <w:name w:val="Footer Char"/>
    <w:basedOn w:val="DefaultParagraphFont"/>
    <w:link w:val="Footer"/>
    <w:rsid w:val="0019593F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19593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9593F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19593F"/>
  </w:style>
  <w:style w:type="character" w:customStyle="1" w:styleId="HeaderChar">
    <w:name w:val="Header Char"/>
    <w:basedOn w:val="DefaultParagraphFont"/>
    <w:link w:val="Header"/>
    <w:rsid w:val="0019593F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19593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9593F"/>
    <w:rPr>
      <w:sz w:val="24"/>
      <w:vertAlign w:val="superscript"/>
    </w:rPr>
  </w:style>
  <w:style w:type="character" w:styleId="Hyperlink">
    <w:name w:val="Hyperlink"/>
    <w:uiPriority w:val="99"/>
    <w:rsid w:val="001C5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5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3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9593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9593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9593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9593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9593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9593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9593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9593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9593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93F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19593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9593F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19593F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19593F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19593F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19593F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19593F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1959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19593F"/>
  </w:style>
  <w:style w:type="character" w:customStyle="1" w:styleId="FooterChar">
    <w:name w:val="Footer Char"/>
    <w:basedOn w:val="DefaultParagraphFont"/>
    <w:link w:val="Footer"/>
    <w:rsid w:val="0019593F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19593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9593F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19593F"/>
  </w:style>
  <w:style w:type="character" w:customStyle="1" w:styleId="HeaderChar">
    <w:name w:val="Header Char"/>
    <w:basedOn w:val="DefaultParagraphFont"/>
    <w:link w:val="Header"/>
    <w:rsid w:val="0019593F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19593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9593F"/>
    <w:rPr>
      <w:sz w:val="24"/>
      <w:vertAlign w:val="superscript"/>
    </w:rPr>
  </w:style>
  <w:style w:type="character" w:styleId="Hyperlink">
    <w:name w:val="Hyperlink"/>
    <w:uiPriority w:val="99"/>
    <w:rsid w:val="001C5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5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en/our-work/opinions-information-reports/opinions/coordinated-european-measures-prevent-and-combat-energy-pover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esc.europa.eu/en/our-work/opinions-information-reports/opinions/prosumer-energy-and-prosumer-power-cooperatives-opportunities-and-challenges-eu-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sc.europa.eu/en/our-work/opinions-information-reports/opinions/effects-new-carbon-free-decentralised-and-digitalised-energy-supply-structure-jobs-and-regional-economies-own-initiativ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Pezzani</dc:creator>
  <cp:lastModifiedBy>Marco Pezzani</cp:lastModifiedBy>
  <cp:revision>4</cp:revision>
  <dcterms:created xsi:type="dcterms:W3CDTF">2019-02-12T13:29:00Z</dcterms:created>
  <dcterms:modified xsi:type="dcterms:W3CDTF">2019-02-12T13:31:00Z</dcterms:modified>
</cp:coreProperties>
</file>