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A6F9E" w14:textId="77777777" w:rsidR="00636556" w:rsidRPr="00F72DBF" w:rsidRDefault="00636556" w:rsidP="00636556">
      <w:pPr>
        <w:pStyle w:val="Header"/>
        <w:spacing w:after="120"/>
        <w:rPr>
          <w:rFonts w:ascii="Segoe UI Light" w:hAnsi="Segoe UI Light" w:cs="Segoe UI Light"/>
          <w:b/>
          <w:sz w:val="28"/>
          <w:szCs w:val="28"/>
          <w:lang w:val="en-GB"/>
        </w:rPr>
      </w:pPr>
      <w:r w:rsidRPr="00F72DBF">
        <w:rPr>
          <w:rFonts w:ascii="Segoe UI Light" w:hAnsi="Segoe UI Light" w:cs="Segoe UI Light"/>
          <w:b/>
          <w:color w:val="5B9BD5" w:themeColor="accent5"/>
          <w:sz w:val="28"/>
          <w:szCs w:val="28"/>
          <w:lang w:val="en-GB"/>
        </w:rPr>
        <w:t>Promoting the recovery of Europe's SMEs with hybrid funding</w:t>
      </w:r>
    </w:p>
    <w:p w14:paraId="40F8E4A7" w14:textId="706B90E0" w:rsidR="00636556" w:rsidRPr="00F72DBF" w:rsidRDefault="00636556" w:rsidP="00636556">
      <w:pPr>
        <w:pStyle w:val="Header"/>
        <w:spacing w:after="120"/>
        <w:rPr>
          <w:rFonts w:ascii="Segoe UI Light" w:hAnsi="Segoe UI Light" w:cs="Segoe UI Light"/>
          <w:b/>
          <w:lang w:val="en-GB"/>
        </w:rPr>
      </w:pPr>
      <w:r w:rsidRPr="00F72DBF">
        <w:rPr>
          <w:rFonts w:ascii="Segoe UI Light" w:hAnsi="Segoe UI Light" w:cs="Segoe UI Light"/>
          <w:b/>
          <w:lang w:val="en-GB"/>
        </w:rPr>
        <w:t xml:space="preserve">In an own-initiative opinion, the European Economic and Social Committee (EESC) recommends promoting the use of hybrid debt to fund SMEs. This would </w:t>
      </w:r>
      <w:r w:rsidR="003E46F5" w:rsidRPr="00F72DBF">
        <w:rPr>
          <w:rFonts w:ascii="Segoe UI Light" w:hAnsi="Segoe UI Light" w:cs="Segoe UI Light"/>
          <w:b/>
          <w:lang w:val="en-GB"/>
        </w:rPr>
        <w:t>diversi</w:t>
      </w:r>
      <w:r w:rsidR="003E46F5">
        <w:rPr>
          <w:rFonts w:ascii="Segoe UI Light" w:hAnsi="Segoe UI Light" w:cs="Segoe UI Light"/>
          <w:b/>
          <w:lang w:val="en-GB"/>
        </w:rPr>
        <w:t>f</w:t>
      </w:r>
      <w:r w:rsidR="003E46F5" w:rsidRPr="00F72DBF">
        <w:rPr>
          <w:rFonts w:ascii="Segoe UI Light" w:hAnsi="Segoe UI Light" w:cs="Segoe UI Light"/>
          <w:b/>
          <w:lang w:val="en-GB"/>
        </w:rPr>
        <w:t xml:space="preserve">y </w:t>
      </w:r>
      <w:r w:rsidRPr="00F72DBF">
        <w:rPr>
          <w:rFonts w:ascii="Segoe UI Light" w:hAnsi="Segoe UI Light" w:cs="Segoe UI Light"/>
          <w:b/>
          <w:lang w:val="en-GB"/>
        </w:rPr>
        <w:t>funding sources and reduce reliance on bank loans, while encouraging investment and supporting the Capital Markets Union.</w:t>
      </w:r>
    </w:p>
    <w:p w14:paraId="2768B602" w14:textId="5999F602" w:rsidR="00636556" w:rsidRPr="00F72DBF" w:rsidRDefault="00636556" w:rsidP="00636556">
      <w:pPr>
        <w:pStyle w:val="Header"/>
        <w:spacing w:after="120"/>
        <w:rPr>
          <w:rFonts w:ascii="Segoe UI Light" w:hAnsi="Segoe UI Light" w:cs="Segoe UI Light"/>
          <w:bCs/>
          <w:lang w:val="en-GB"/>
        </w:rPr>
      </w:pPr>
      <w:r w:rsidRPr="00F72DBF">
        <w:rPr>
          <w:rFonts w:ascii="Segoe UI Light" w:hAnsi="Segoe UI Light" w:cs="Segoe UI Light"/>
          <w:bCs/>
          <w:lang w:val="en-GB"/>
        </w:rPr>
        <w:t>In the opinion</w:t>
      </w:r>
      <w:r w:rsidR="003E46F5">
        <w:rPr>
          <w:rFonts w:ascii="Segoe UI Light" w:hAnsi="Segoe UI Light" w:cs="Segoe UI Light"/>
          <w:bCs/>
          <w:lang w:val="en-GB"/>
        </w:rPr>
        <w:t>,</w:t>
      </w:r>
      <w:r w:rsidRPr="00F72DBF">
        <w:rPr>
          <w:rFonts w:ascii="Segoe UI Light" w:hAnsi="Segoe UI Light" w:cs="Segoe UI Light"/>
          <w:bCs/>
          <w:lang w:val="en-GB"/>
        </w:rPr>
        <w:t xml:space="preserve"> approved </w:t>
      </w:r>
      <w:r w:rsidR="003E46F5">
        <w:rPr>
          <w:rFonts w:ascii="Segoe UI Light" w:hAnsi="Segoe UI Light" w:cs="Segoe UI Light"/>
          <w:bCs/>
          <w:lang w:val="en-GB"/>
        </w:rPr>
        <w:t>at</w:t>
      </w:r>
      <w:r w:rsidR="003E46F5" w:rsidRPr="00F72DBF">
        <w:rPr>
          <w:rFonts w:ascii="Segoe UI Light" w:hAnsi="Segoe UI Light" w:cs="Segoe UI Light"/>
          <w:bCs/>
          <w:lang w:val="en-GB"/>
        </w:rPr>
        <w:t xml:space="preserve"> </w:t>
      </w:r>
      <w:r w:rsidRPr="00F72DBF">
        <w:rPr>
          <w:rFonts w:ascii="Segoe UI Light" w:hAnsi="Segoe UI Light" w:cs="Segoe UI Light"/>
          <w:bCs/>
          <w:lang w:val="en-GB"/>
        </w:rPr>
        <w:t>its October plenary, the EESC noted that the COVID-19 crisis had left many firms over-indebted and at risk of insolvency. Companies face an equity and hybrid capital shortfall estimated at between EUR 450 and 600 billion. This shortfall is being compounded by the energy crisis and economic tensions caused by Russia</w:t>
      </w:r>
      <w:r w:rsidR="003E46F5">
        <w:rPr>
          <w:rFonts w:ascii="Segoe UI Light" w:hAnsi="Segoe UI Light" w:cs="Segoe UI Light"/>
          <w:bCs/>
          <w:lang w:val="en-GB"/>
        </w:rPr>
        <w:t>'s</w:t>
      </w:r>
      <w:r w:rsidRPr="00F72DBF">
        <w:rPr>
          <w:rFonts w:ascii="Segoe UI Light" w:hAnsi="Segoe UI Light" w:cs="Segoe UI Light"/>
          <w:bCs/>
          <w:lang w:val="en-GB"/>
        </w:rPr>
        <w:t xml:space="preserve"> invasion of Ukraine. </w:t>
      </w:r>
    </w:p>
    <w:p w14:paraId="771B2E4F" w14:textId="77777777" w:rsidR="00636556" w:rsidRPr="00F72DBF" w:rsidRDefault="00636556" w:rsidP="00636556">
      <w:pPr>
        <w:spacing w:after="120"/>
        <w:jc w:val="both"/>
        <w:rPr>
          <w:rFonts w:ascii="Segoe UI Light" w:hAnsi="Segoe UI Light" w:cs="Segoe UI Light"/>
          <w:bCs/>
          <w:sz w:val="22"/>
          <w:szCs w:val="22"/>
        </w:rPr>
      </w:pPr>
      <w:r w:rsidRPr="00F72DBF">
        <w:rPr>
          <w:rFonts w:ascii="Segoe UI Light" w:hAnsi="Segoe UI Light" w:cs="Segoe UI Light"/>
          <w:bCs/>
          <w:sz w:val="22"/>
          <w:szCs w:val="22"/>
        </w:rPr>
        <w:t>At the same time, companies still need long-term financing to adapt to the green and digital transitions and remain competitive. SMEs generally find it more difficult than large companies to access this kind of financing.</w:t>
      </w:r>
    </w:p>
    <w:p w14:paraId="68CC86C1" w14:textId="21BB0E23" w:rsidR="00636556" w:rsidRPr="00F72DBF" w:rsidRDefault="00636556" w:rsidP="00636556">
      <w:pPr>
        <w:pStyle w:val="Header"/>
        <w:spacing w:after="120"/>
        <w:rPr>
          <w:rFonts w:ascii="Segoe UI Light" w:hAnsi="Segoe UI Light" w:cs="Segoe UI Light"/>
          <w:bCs/>
          <w:lang w:val="en-GB"/>
        </w:rPr>
      </w:pPr>
      <w:r w:rsidRPr="00F72DBF">
        <w:rPr>
          <w:rFonts w:ascii="Segoe UI Light" w:hAnsi="Segoe UI Light" w:cs="Segoe UI Light"/>
          <w:bCs/>
          <w:i/>
          <w:iCs/>
          <w:lang w:val="en-GB"/>
        </w:rPr>
        <w:t xml:space="preserve">"In short, </w:t>
      </w:r>
      <w:r w:rsidR="00672EC2" w:rsidRPr="00F72DBF">
        <w:rPr>
          <w:rFonts w:ascii="Segoe UI Light" w:hAnsi="Segoe UI Light" w:cs="Segoe UI Light"/>
          <w:bCs/>
          <w:i/>
          <w:iCs/>
          <w:lang w:val="en-GB"/>
        </w:rPr>
        <w:t>th</w:t>
      </w:r>
      <w:r w:rsidR="00C10503">
        <w:rPr>
          <w:rFonts w:ascii="Segoe UI Light" w:hAnsi="Segoe UI Light" w:cs="Segoe UI Light"/>
          <w:bCs/>
          <w:i/>
          <w:iCs/>
          <w:lang w:val="en-GB"/>
        </w:rPr>
        <w:t>e</w:t>
      </w:r>
      <w:r w:rsidR="00672EC2" w:rsidRPr="00F72DBF">
        <w:rPr>
          <w:rFonts w:ascii="Segoe UI Light" w:hAnsi="Segoe UI Light" w:cs="Segoe UI Light"/>
          <w:bCs/>
          <w:i/>
          <w:iCs/>
          <w:lang w:val="en-GB"/>
        </w:rPr>
        <w:t xml:space="preserve"> </w:t>
      </w:r>
      <w:r w:rsidRPr="00F72DBF">
        <w:rPr>
          <w:rFonts w:ascii="Segoe UI Light" w:hAnsi="Segoe UI Light" w:cs="Segoe UI Light"/>
          <w:bCs/>
          <w:i/>
          <w:iCs/>
          <w:lang w:val="en-GB"/>
        </w:rPr>
        <w:t xml:space="preserve">highly subordinated instrument </w:t>
      </w:r>
      <w:r w:rsidR="00C10503">
        <w:rPr>
          <w:rFonts w:ascii="Segoe UI Light" w:hAnsi="Segoe UI Light" w:cs="Segoe UI Light"/>
          <w:bCs/>
          <w:i/>
          <w:iCs/>
          <w:lang w:val="en-GB"/>
        </w:rPr>
        <w:t xml:space="preserve">that is </w:t>
      </w:r>
      <w:r w:rsidRPr="00F72DBF">
        <w:rPr>
          <w:rFonts w:ascii="Segoe UI Light" w:hAnsi="Segoe UI Light" w:cs="Segoe UI Light"/>
          <w:bCs/>
          <w:i/>
          <w:iCs/>
          <w:lang w:val="en-GB"/>
        </w:rPr>
        <w:t xml:space="preserve">proposed comes at the right time and is in line with the objectives of the relief package for SMEs adopted by the European Commission. It is a solution that would make available </w:t>
      </w:r>
      <w:r w:rsidR="00672EC2">
        <w:rPr>
          <w:rFonts w:ascii="Segoe UI Light" w:hAnsi="Segoe UI Light" w:cs="Segoe UI Light"/>
          <w:bCs/>
          <w:i/>
          <w:iCs/>
          <w:lang w:val="en-GB"/>
        </w:rPr>
        <w:t>to</w:t>
      </w:r>
      <w:r w:rsidR="00672EC2" w:rsidRPr="00F72DBF">
        <w:rPr>
          <w:rFonts w:ascii="Segoe UI Light" w:hAnsi="Segoe UI Light" w:cs="Segoe UI Light"/>
          <w:bCs/>
          <w:i/>
          <w:iCs/>
          <w:lang w:val="en-GB"/>
        </w:rPr>
        <w:t xml:space="preserve"> </w:t>
      </w:r>
      <w:r w:rsidRPr="00F72DBF">
        <w:rPr>
          <w:rFonts w:ascii="Segoe UI Light" w:hAnsi="Segoe UI Light" w:cs="Segoe UI Light"/>
          <w:bCs/>
          <w:i/>
          <w:iCs/>
          <w:lang w:val="en-GB"/>
        </w:rPr>
        <w:t xml:space="preserve">the whole EU </w:t>
      </w:r>
      <w:r w:rsidR="00672EC2">
        <w:rPr>
          <w:rFonts w:ascii="Segoe UI Light" w:hAnsi="Segoe UI Light" w:cs="Segoe UI Light"/>
          <w:bCs/>
          <w:i/>
          <w:iCs/>
          <w:lang w:val="en-GB"/>
        </w:rPr>
        <w:t>something that</w:t>
      </w:r>
      <w:r w:rsidR="00672EC2" w:rsidRPr="00F72DBF">
        <w:rPr>
          <w:rFonts w:ascii="Segoe UI Light" w:hAnsi="Segoe UI Light" w:cs="Segoe UI Light"/>
          <w:bCs/>
          <w:i/>
          <w:iCs/>
          <w:lang w:val="en-GB"/>
        </w:rPr>
        <w:t xml:space="preserve"> </w:t>
      </w:r>
      <w:r w:rsidRPr="00F72DBF">
        <w:rPr>
          <w:rFonts w:ascii="Segoe UI Light" w:hAnsi="Segoe UI Light" w:cs="Segoe UI Light"/>
          <w:bCs/>
          <w:i/>
          <w:iCs/>
          <w:lang w:val="en-GB"/>
        </w:rPr>
        <w:t xml:space="preserve">already exists in some countries and would support the </w:t>
      </w:r>
      <w:r w:rsidR="00CC2313" w:rsidRPr="00F72DBF">
        <w:rPr>
          <w:rFonts w:ascii="Segoe UI Light" w:hAnsi="Segoe UI Light" w:cs="Segoe UI Light"/>
          <w:bCs/>
          <w:i/>
          <w:iCs/>
          <w:lang w:val="en-GB"/>
        </w:rPr>
        <w:t>much</w:t>
      </w:r>
      <w:r w:rsidR="00672EC2">
        <w:rPr>
          <w:rFonts w:ascii="Segoe UI Light" w:hAnsi="Segoe UI Light" w:cs="Segoe UI Light"/>
          <w:bCs/>
          <w:i/>
          <w:iCs/>
          <w:lang w:val="en-GB"/>
        </w:rPr>
        <w:t>-</w:t>
      </w:r>
      <w:r w:rsidR="00CC2313" w:rsidRPr="00F72DBF">
        <w:rPr>
          <w:rFonts w:ascii="Segoe UI Light" w:hAnsi="Segoe UI Light" w:cs="Segoe UI Light"/>
          <w:bCs/>
          <w:i/>
          <w:iCs/>
          <w:lang w:val="en-GB"/>
        </w:rPr>
        <w:t xml:space="preserve">needed completion of the </w:t>
      </w:r>
      <w:r w:rsidRPr="00F72DBF">
        <w:rPr>
          <w:rFonts w:ascii="Segoe UI Light" w:hAnsi="Segoe UI Light" w:cs="Segoe UI Light"/>
          <w:bCs/>
          <w:i/>
          <w:iCs/>
          <w:lang w:val="en-GB"/>
        </w:rPr>
        <w:t>capital markets union and the banking union,"</w:t>
      </w:r>
      <w:r w:rsidRPr="00F72DBF">
        <w:rPr>
          <w:rFonts w:ascii="Segoe UI Light" w:hAnsi="Segoe UI Light" w:cs="Segoe UI Light"/>
          <w:bCs/>
          <w:lang w:val="en-GB"/>
        </w:rPr>
        <w:t xml:space="preserve"> </w:t>
      </w:r>
      <w:r w:rsidR="00672EC2" w:rsidRPr="00795FF5">
        <w:rPr>
          <w:rFonts w:ascii="Segoe UI Light" w:hAnsi="Segoe UI Light" w:cs="Segoe UI Light"/>
          <w:bCs/>
          <w:lang w:val="en-GB"/>
        </w:rPr>
        <w:t>said</w:t>
      </w:r>
      <w:r w:rsidR="00672EC2" w:rsidRPr="00200AF5">
        <w:rPr>
          <w:rFonts w:ascii="Segoe UI Light" w:hAnsi="Segoe UI Light" w:cs="Segoe UI Light"/>
          <w:bCs/>
          <w:lang w:val="en-GB"/>
        </w:rPr>
        <w:t xml:space="preserve"> </w:t>
      </w:r>
      <w:r w:rsidRPr="00F72DBF">
        <w:rPr>
          <w:rFonts w:ascii="Segoe UI Light" w:hAnsi="Segoe UI Light" w:cs="Segoe UI Light"/>
          <w:bCs/>
          <w:lang w:val="en-GB"/>
        </w:rPr>
        <w:t>the opinion’s rapporteur</w:t>
      </w:r>
      <w:r w:rsidR="00672EC2">
        <w:rPr>
          <w:rFonts w:ascii="Segoe UI Light" w:hAnsi="Segoe UI Light" w:cs="Segoe UI Light"/>
          <w:bCs/>
          <w:lang w:val="en-GB"/>
        </w:rPr>
        <w:t>,</w:t>
      </w:r>
      <w:r w:rsidRPr="00F72DBF">
        <w:rPr>
          <w:rFonts w:ascii="Segoe UI Light" w:hAnsi="Segoe UI Light" w:cs="Segoe UI Light"/>
          <w:bCs/>
          <w:lang w:val="en-GB"/>
        </w:rPr>
        <w:t xml:space="preserve"> </w:t>
      </w:r>
      <w:r w:rsidR="00672EC2">
        <w:rPr>
          <w:rFonts w:ascii="Segoe UI Light" w:hAnsi="Segoe UI Light" w:cs="Segoe UI Light"/>
          <w:b/>
          <w:lang w:val="en-GB"/>
        </w:rPr>
        <w:t>Antonio García del Riego</w:t>
      </w:r>
      <w:r w:rsidRPr="00F72DBF">
        <w:rPr>
          <w:rFonts w:ascii="Segoe UI Light" w:hAnsi="Segoe UI Light" w:cs="Segoe UI Light"/>
          <w:bCs/>
          <w:lang w:val="en-GB"/>
        </w:rPr>
        <w:t>.</w:t>
      </w:r>
    </w:p>
    <w:p w14:paraId="095A9646" w14:textId="201A274A" w:rsidR="00636556" w:rsidRPr="00F72DBF" w:rsidRDefault="00636556" w:rsidP="00636556">
      <w:pPr>
        <w:pStyle w:val="Header"/>
        <w:spacing w:after="120"/>
        <w:rPr>
          <w:rFonts w:ascii="Segoe UI Light" w:hAnsi="Segoe UI Light" w:cs="Segoe UI Light"/>
          <w:bCs/>
          <w:lang w:val="en-GB"/>
        </w:rPr>
      </w:pPr>
      <w:r w:rsidRPr="00F72DBF">
        <w:rPr>
          <w:rFonts w:ascii="Segoe UI Light" w:hAnsi="Segoe UI Light" w:cs="Segoe UI Light"/>
          <w:bCs/>
          <w:lang w:val="en-GB"/>
        </w:rPr>
        <w:t xml:space="preserve">Hybrid loans are a type of subordinated debt that includes bonds and dual-share schemes. Should a borrower default on their loan, creditors with subordinated debt </w:t>
      </w:r>
      <w:r w:rsidR="006D072E">
        <w:rPr>
          <w:rFonts w:ascii="Segoe UI Light" w:hAnsi="Segoe UI Light" w:cs="Segoe UI Light"/>
          <w:bCs/>
          <w:lang w:val="en-GB"/>
        </w:rPr>
        <w:t>are</w:t>
      </w:r>
      <w:r w:rsidR="006D072E" w:rsidRPr="00F72DBF">
        <w:rPr>
          <w:rFonts w:ascii="Segoe UI Light" w:hAnsi="Segoe UI Light" w:cs="Segoe UI Light"/>
          <w:bCs/>
          <w:lang w:val="en-GB"/>
        </w:rPr>
        <w:t xml:space="preserve"> </w:t>
      </w:r>
      <w:r w:rsidRPr="00F72DBF">
        <w:rPr>
          <w:rFonts w:ascii="Segoe UI Light" w:hAnsi="Segoe UI Light" w:cs="Segoe UI Light"/>
          <w:bCs/>
          <w:lang w:val="en-GB"/>
        </w:rPr>
        <w:t xml:space="preserve">paid out after other so-called </w:t>
      </w:r>
      <w:r w:rsidR="00B266D0">
        <w:rPr>
          <w:rFonts w:ascii="Segoe UI Light" w:hAnsi="Segoe UI Light" w:cs="Segoe UI Light"/>
          <w:bCs/>
          <w:lang w:val="en-GB"/>
        </w:rPr>
        <w:t>'</w:t>
      </w:r>
      <w:r w:rsidRPr="00F72DBF">
        <w:rPr>
          <w:rFonts w:ascii="Segoe UI Light" w:hAnsi="Segoe UI Light" w:cs="Segoe UI Light"/>
          <w:bCs/>
          <w:lang w:val="en-GB"/>
        </w:rPr>
        <w:t>senior</w:t>
      </w:r>
      <w:r w:rsidR="00B266D0">
        <w:rPr>
          <w:rFonts w:ascii="Segoe UI Light" w:hAnsi="Segoe UI Light" w:cs="Segoe UI Light"/>
          <w:bCs/>
          <w:lang w:val="en-GB"/>
        </w:rPr>
        <w:t>'</w:t>
      </w:r>
      <w:r w:rsidRPr="00F72DBF">
        <w:rPr>
          <w:rFonts w:ascii="Segoe UI Light" w:hAnsi="Segoe UI Light" w:cs="Segoe UI Light"/>
          <w:bCs/>
          <w:lang w:val="en-GB"/>
        </w:rPr>
        <w:t xml:space="preserve"> creditors, but before shareholders.</w:t>
      </w:r>
    </w:p>
    <w:p w14:paraId="7343AE14" w14:textId="77777777" w:rsidR="00636556" w:rsidRPr="00F72DBF" w:rsidRDefault="00636556" w:rsidP="00636556">
      <w:pPr>
        <w:pStyle w:val="Header"/>
        <w:spacing w:after="120"/>
        <w:rPr>
          <w:rFonts w:ascii="Segoe UI Light" w:hAnsi="Segoe UI Light" w:cs="Segoe UI Light"/>
          <w:b/>
          <w:lang w:val="en-GB"/>
        </w:rPr>
      </w:pPr>
      <w:r w:rsidRPr="00F72DBF">
        <w:rPr>
          <w:rFonts w:ascii="Segoe UI Light" w:hAnsi="Segoe UI Light" w:cs="Segoe UI Light"/>
          <w:b/>
          <w:lang w:val="en-GB"/>
        </w:rPr>
        <w:t>An easy-to-implement solution</w:t>
      </w:r>
    </w:p>
    <w:p w14:paraId="067A2D61" w14:textId="77777777" w:rsidR="00636556" w:rsidRPr="00F72DBF" w:rsidRDefault="00636556" w:rsidP="001C5CC4">
      <w:pPr>
        <w:pStyle w:val="Header"/>
        <w:spacing w:after="120"/>
        <w:rPr>
          <w:rFonts w:ascii="Segoe UI Light" w:hAnsi="Segoe UI Light" w:cs="Segoe UI Light"/>
          <w:bCs/>
          <w:lang w:val="en-GB"/>
        </w:rPr>
      </w:pPr>
      <w:r w:rsidRPr="00F72DBF">
        <w:rPr>
          <w:rFonts w:ascii="Segoe UI Light" w:hAnsi="Segoe UI Light" w:cs="Segoe UI Light"/>
          <w:bCs/>
          <w:lang w:val="en-GB"/>
        </w:rPr>
        <w:t xml:space="preserve">To make this form of funding available to companies of all sizes, the EESC proposes an EU-wide framework that would benefit from the liquidity and scale of the </w:t>
      </w:r>
      <w:r w:rsidR="006D072E" w:rsidRPr="00200AF5">
        <w:rPr>
          <w:rFonts w:ascii="Segoe UI Light" w:hAnsi="Segoe UI Light" w:cs="Segoe UI Light"/>
          <w:bCs/>
          <w:lang w:val="en-GB"/>
        </w:rPr>
        <w:t>Single Market</w:t>
      </w:r>
      <w:r w:rsidRPr="00F72DBF">
        <w:rPr>
          <w:rFonts w:ascii="Segoe UI Light" w:hAnsi="Segoe UI Light" w:cs="Segoe UI Light"/>
          <w:bCs/>
          <w:lang w:val="en-GB"/>
        </w:rPr>
        <w:t xml:space="preserve">, attract institutional investors and support the Capital Markets Union. </w:t>
      </w:r>
    </w:p>
    <w:p w14:paraId="182B9C4F" w14:textId="77777777" w:rsidR="00636556" w:rsidRPr="00F72DBF" w:rsidRDefault="00636556" w:rsidP="001C5CC4">
      <w:pPr>
        <w:pStyle w:val="Header"/>
        <w:spacing w:after="120"/>
        <w:rPr>
          <w:rFonts w:ascii="Segoe UI Light" w:hAnsi="Segoe UI Light" w:cs="Segoe UI Light"/>
          <w:bCs/>
          <w:lang w:val="en-GB"/>
        </w:rPr>
      </w:pPr>
      <w:r w:rsidRPr="00F72DBF">
        <w:rPr>
          <w:rFonts w:ascii="Segoe UI Light" w:hAnsi="Segoe UI Light" w:cs="Segoe UI Light"/>
          <w:bCs/>
          <w:lang w:val="en-GB"/>
        </w:rPr>
        <w:t>This would require collaboration between private and public institutions, including banks, asset managers, the public sector, and institutional investors.</w:t>
      </w:r>
    </w:p>
    <w:p w14:paraId="5C1853C5" w14:textId="322EB0B5" w:rsidR="00636556" w:rsidRPr="00F72DBF" w:rsidRDefault="00636556" w:rsidP="00636556">
      <w:pPr>
        <w:pStyle w:val="Header"/>
        <w:spacing w:after="120"/>
        <w:rPr>
          <w:rFonts w:ascii="Segoe UI Light" w:hAnsi="Segoe UI Light" w:cs="Segoe UI Light"/>
          <w:bCs/>
          <w:lang w:val="en-GB"/>
        </w:rPr>
      </w:pPr>
      <w:r w:rsidRPr="00F72DBF">
        <w:rPr>
          <w:rFonts w:ascii="Segoe UI Light" w:hAnsi="Segoe UI Light" w:cs="Segoe UI Light"/>
          <w:bCs/>
          <w:lang w:val="en-GB"/>
        </w:rPr>
        <w:t xml:space="preserve">Spain, Germany, France and Portugal already use hybrid loans in the form of participative loans. </w:t>
      </w:r>
      <w:r w:rsidR="006D072E" w:rsidRPr="00F72DBF">
        <w:rPr>
          <w:rFonts w:ascii="Segoe UI Light" w:hAnsi="Segoe UI Light" w:cs="Segoe UI Light"/>
          <w:bCs/>
          <w:lang w:val="en-GB"/>
        </w:rPr>
        <w:t>The</w:t>
      </w:r>
      <w:r w:rsidR="006D072E">
        <w:rPr>
          <w:rFonts w:ascii="Segoe UI Light" w:hAnsi="Segoe UI Light" w:cs="Segoe UI Light"/>
          <w:bCs/>
          <w:lang w:val="en-GB"/>
        </w:rPr>
        <w:t>se</w:t>
      </w:r>
      <w:r w:rsidR="006D072E" w:rsidRPr="00F72DBF">
        <w:rPr>
          <w:rFonts w:ascii="Segoe UI Light" w:hAnsi="Segoe UI Light" w:cs="Segoe UI Light"/>
          <w:bCs/>
          <w:lang w:val="en-GB"/>
        </w:rPr>
        <w:t xml:space="preserve"> </w:t>
      </w:r>
      <w:r w:rsidRPr="00F72DBF">
        <w:rPr>
          <w:rFonts w:ascii="Segoe UI Light" w:hAnsi="Segoe UI Light" w:cs="Segoe UI Light"/>
          <w:bCs/>
          <w:lang w:val="en-GB"/>
        </w:rPr>
        <w:t>are an easy-to-implement, long-term solution that allows families to retain control of their businesses. In addition, they have tax deductibility advantages</w:t>
      </w:r>
      <w:r w:rsidR="006D072E">
        <w:rPr>
          <w:rFonts w:ascii="Segoe UI Light" w:hAnsi="Segoe UI Light" w:cs="Segoe UI Light"/>
          <w:bCs/>
          <w:lang w:val="en-GB"/>
        </w:rPr>
        <w:t xml:space="preserve"> and</w:t>
      </w:r>
      <w:r w:rsidR="006D072E" w:rsidRPr="00F72DBF">
        <w:rPr>
          <w:rFonts w:ascii="Segoe UI Light" w:hAnsi="Segoe UI Light" w:cs="Segoe UI Light"/>
          <w:bCs/>
          <w:lang w:val="en-GB"/>
        </w:rPr>
        <w:t xml:space="preserve"> </w:t>
      </w:r>
      <w:r w:rsidRPr="00F72DBF">
        <w:rPr>
          <w:rFonts w:ascii="Segoe UI Light" w:hAnsi="Segoe UI Light" w:cs="Segoe UI Light"/>
          <w:bCs/>
          <w:lang w:val="en-GB"/>
        </w:rPr>
        <w:t>low issuance costs and offer lenders an attractive return.</w:t>
      </w:r>
    </w:p>
    <w:p w14:paraId="2C529AF0" w14:textId="58DCE5E5" w:rsidR="00636556" w:rsidRPr="00F72DBF" w:rsidRDefault="00636556" w:rsidP="001C5CC4">
      <w:pPr>
        <w:pStyle w:val="Header"/>
        <w:spacing w:after="120"/>
        <w:rPr>
          <w:rFonts w:ascii="Segoe UI Light" w:hAnsi="Segoe UI Light" w:cs="Segoe UI Light"/>
          <w:lang w:val="en-GB"/>
        </w:rPr>
      </w:pPr>
      <w:r w:rsidRPr="00F72DBF">
        <w:rPr>
          <w:rFonts w:ascii="Segoe UI Light" w:hAnsi="Segoe UI Light" w:cs="Segoe UI Light"/>
          <w:bCs/>
          <w:lang w:val="en-GB"/>
        </w:rPr>
        <w:t xml:space="preserve">The EESC recommends that these instruments be considered </w:t>
      </w:r>
      <w:r w:rsidR="00B266D0">
        <w:rPr>
          <w:rFonts w:ascii="Segoe UI Light" w:hAnsi="Segoe UI Light" w:cs="Segoe UI Light"/>
          <w:bCs/>
          <w:lang w:val="en-GB"/>
        </w:rPr>
        <w:t xml:space="preserve">as </w:t>
      </w:r>
      <w:r w:rsidRPr="00F72DBF">
        <w:rPr>
          <w:rFonts w:ascii="Segoe UI Light" w:hAnsi="Segoe UI Light" w:cs="Segoe UI Light"/>
          <w:bCs/>
          <w:lang w:val="en-GB"/>
        </w:rPr>
        <w:t xml:space="preserve">quasi-equity, so that they are not classified as debt on the balance sheet, and rank just before equity in the </w:t>
      </w:r>
      <w:proofErr w:type="gramStart"/>
      <w:r w:rsidRPr="00F72DBF">
        <w:rPr>
          <w:rFonts w:ascii="Segoe UI Light" w:hAnsi="Segoe UI Light" w:cs="Segoe UI Light"/>
          <w:bCs/>
          <w:lang w:val="en-GB"/>
        </w:rPr>
        <w:t>payments</w:t>
      </w:r>
      <w:proofErr w:type="gramEnd"/>
      <w:r w:rsidRPr="00F72DBF">
        <w:rPr>
          <w:rFonts w:ascii="Segoe UI Light" w:hAnsi="Segoe UI Light" w:cs="Segoe UI Light"/>
          <w:bCs/>
          <w:lang w:val="en-GB"/>
        </w:rPr>
        <w:t xml:space="preserve"> hierarchy in </w:t>
      </w:r>
      <w:r w:rsidR="006D072E">
        <w:rPr>
          <w:rFonts w:ascii="Segoe UI Light" w:hAnsi="Segoe UI Light" w:cs="Segoe UI Light"/>
          <w:bCs/>
          <w:lang w:val="en-GB"/>
        </w:rPr>
        <w:t>the event</w:t>
      </w:r>
      <w:r w:rsidR="006D072E" w:rsidRPr="00F72DBF">
        <w:rPr>
          <w:rFonts w:ascii="Segoe UI Light" w:hAnsi="Segoe UI Light" w:cs="Segoe UI Light"/>
          <w:bCs/>
          <w:lang w:val="en-GB"/>
        </w:rPr>
        <w:t xml:space="preserve"> </w:t>
      </w:r>
      <w:r w:rsidRPr="00F72DBF">
        <w:rPr>
          <w:rFonts w:ascii="Segoe UI Light" w:hAnsi="Segoe UI Light" w:cs="Segoe UI Light"/>
          <w:bCs/>
          <w:lang w:val="en-GB"/>
        </w:rPr>
        <w:t xml:space="preserve">of default or insolvency. This will ensure that </w:t>
      </w:r>
      <w:r w:rsidR="00C50E3B" w:rsidRPr="007405DE">
        <w:rPr>
          <w:rFonts w:ascii="Segoe UI Light" w:hAnsi="Segoe UI Light" w:cs="Segoe UI Light"/>
          <w:bCs/>
          <w:lang w:val="en-GB"/>
        </w:rPr>
        <w:t>companies</w:t>
      </w:r>
      <w:r w:rsidR="00C50E3B">
        <w:rPr>
          <w:rFonts w:ascii="Segoe UI Light" w:hAnsi="Segoe UI Light" w:cs="Segoe UI Light"/>
          <w:bCs/>
          <w:lang w:val="en-GB"/>
        </w:rPr>
        <w:t>'</w:t>
      </w:r>
      <w:r w:rsidR="00C50E3B" w:rsidRPr="007405DE">
        <w:rPr>
          <w:rFonts w:ascii="Segoe UI Light" w:hAnsi="Segoe UI Light" w:cs="Segoe UI Light"/>
          <w:bCs/>
          <w:lang w:val="en-GB"/>
        </w:rPr>
        <w:t xml:space="preserve"> </w:t>
      </w:r>
      <w:r w:rsidRPr="00F72DBF">
        <w:rPr>
          <w:rFonts w:ascii="Segoe UI Light" w:hAnsi="Segoe UI Light" w:cs="Segoe UI Light"/>
          <w:bCs/>
          <w:lang w:val="en-GB"/>
        </w:rPr>
        <w:t>debt ratio</w:t>
      </w:r>
      <w:r w:rsidR="00C50E3B">
        <w:rPr>
          <w:rFonts w:ascii="Segoe UI Light" w:hAnsi="Segoe UI Light" w:cs="Segoe UI Light"/>
          <w:bCs/>
          <w:lang w:val="en-GB"/>
        </w:rPr>
        <w:t>s</w:t>
      </w:r>
      <w:r w:rsidRPr="00F72DBF">
        <w:rPr>
          <w:rFonts w:ascii="Segoe UI Light" w:hAnsi="Segoe UI Light" w:cs="Segoe UI Light"/>
          <w:bCs/>
          <w:lang w:val="en-GB"/>
        </w:rPr>
        <w:t xml:space="preserve"> </w:t>
      </w:r>
      <w:r w:rsidR="00C10503">
        <w:rPr>
          <w:rFonts w:ascii="Segoe UI Light" w:hAnsi="Segoe UI Light" w:cs="Segoe UI Light"/>
          <w:bCs/>
          <w:lang w:val="en-GB"/>
        </w:rPr>
        <w:t>and</w:t>
      </w:r>
      <w:r w:rsidRPr="00F72DBF">
        <w:rPr>
          <w:rFonts w:ascii="Segoe UI Light" w:hAnsi="Segoe UI Light" w:cs="Segoe UI Light"/>
          <w:bCs/>
          <w:lang w:val="en-GB"/>
        </w:rPr>
        <w:t xml:space="preserve"> corporate ratings are not affected.</w:t>
      </w:r>
    </w:p>
    <w:p w14:paraId="780EB204" w14:textId="77777777" w:rsidR="00636556" w:rsidRPr="00F72DBF" w:rsidRDefault="00636556" w:rsidP="00636556">
      <w:pPr>
        <w:pStyle w:val="Header"/>
        <w:spacing w:after="120"/>
        <w:rPr>
          <w:rFonts w:ascii="Segoe UI Light" w:hAnsi="Segoe UI Light" w:cs="Segoe UI Light"/>
          <w:b/>
          <w:bCs/>
          <w:lang w:val="en-GB"/>
        </w:rPr>
      </w:pPr>
      <w:r w:rsidRPr="00F72DBF">
        <w:rPr>
          <w:rFonts w:ascii="Segoe UI Light" w:hAnsi="Segoe UI Light" w:cs="Segoe UI Light"/>
          <w:b/>
          <w:lang w:val="en-GB"/>
        </w:rPr>
        <w:t>Protecting against the risks</w:t>
      </w:r>
    </w:p>
    <w:p w14:paraId="66D03292" w14:textId="3497281A" w:rsidR="00636556" w:rsidRPr="00F72DBF" w:rsidRDefault="00636556" w:rsidP="00636556">
      <w:pPr>
        <w:spacing w:after="120"/>
        <w:jc w:val="both"/>
        <w:rPr>
          <w:rFonts w:ascii="Segoe UI Light" w:hAnsi="Segoe UI Light" w:cs="Segoe UI Light"/>
          <w:bCs/>
          <w:sz w:val="22"/>
          <w:szCs w:val="22"/>
        </w:rPr>
      </w:pPr>
      <w:r w:rsidRPr="00F72DBF">
        <w:rPr>
          <w:rFonts w:ascii="Segoe UI Light" w:hAnsi="Segoe UI Light" w:cs="Segoe UI Light"/>
          <w:bCs/>
          <w:sz w:val="22"/>
          <w:szCs w:val="22"/>
        </w:rPr>
        <w:t xml:space="preserve">The perceived risk of banks being crowded out will be avoided because hybrid loans would restore </w:t>
      </w:r>
      <w:r w:rsidR="00C10503" w:rsidRPr="005B1B52">
        <w:rPr>
          <w:rFonts w:ascii="Segoe UI Light" w:hAnsi="Segoe UI Light" w:cs="Segoe UI Light"/>
          <w:bCs/>
          <w:sz w:val="22"/>
          <w:szCs w:val="22"/>
        </w:rPr>
        <w:t>companies</w:t>
      </w:r>
      <w:r w:rsidR="00C10503">
        <w:rPr>
          <w:rFonts w:ascii="Segoe UI Light" w:hAnsi="Segoe UI Light" w:cs="Segoe UI Light"/>
          <w:bCs/>
          <w:sz w:val="22"/>
          <w:szCs w:val="22"/>
        </w:rPr>
        <w:t>'</w:t>
      </w:r>
      <w:r w:rsidRPr="00F72DBF">
        <w:rPr>
          <w:rFonts w:ascii="Segoe UI Light" w:hAnsi="Segoe UI Light" w:cs="Segoe UI Light"/>
          <w:bCs/>
          <w:sz w:val="22"/>
          <w:szCs w:val="22"/>
        </w:rPr>
        <w:t xml:space="preserve"> solvency and ensure banks remain willing to keep lending to them.</w:t>
      </w:r>
    </w:p>
    <w:p w14:paraId="5C30F343" w14:textId="77777777" w:rsidR="00636556" w:rsidRPr="00F72DBF" w:rsidRDefault="00636556" w:rsidP="00636556">
      <w:pPr>
        <w:spacing w:after="120"/>
        <w:jc w:val="both"/>
        <w:rPr>
          <w:rFonts w:ascii="Segoe UI Light" w:hAnsi="Segoe UI Light" w:cs="Segoe UI Light"/>
          <w:bCs/>
          <w:sz w:val="22"/>
          <w:szCs w:val="22"/>
        </w:rPr>
      </w:pPr>
      <w:r w:rsidRPr="00F72DBF">
        <w:rPr>
          <w:rFonts w:ascii="Segoe UI Light" w:hAnsi="Segoe UI Light" w:cs="Segoe UI Light"/>
          <w:bCs/>
          <w:sz w:val="22"/>
          <w:szCs w:val="22"/>
        </w:rPr>
        <w:lastRenderedPageBreak/>
        <w:t xml:space="preserve">Introducing market standards such as credit ratings would prevent non-viable companies from accessing these instruments. </w:t>
      </w:r>
    </w:p>
    <w:p w14:paraId="5CF14494" w14:textId="77777777" w:rsidR="00636556" w:rsidRPr="003E46F5" w:rsidRDefault="00636556" w:rsidP="00636556">
      <w:pPr>
        <w:spacing w:after="120"/>
        <w:jc w:val="both"/>
        <w:rPr>
          <w:rFonts w:ascii="Segoe UI Light" w:hAnsi="Segoe UI Light" w:cs="Segoe UI Light"/>
          <w:sz w:val="22"/>
          <w:szCs w:val="22"/>
        </w:rPr>
      </w:pPr>
      <w:r w:rsidRPr="00F72DBF">
        <w:rPr>
          <w:rFonts w:ascii="Segoe UI Light" w:hAnsi="Segoe UI Light" w:cs="Segoe UI Light"/>
          <w:bCs/>
          <w:sz w:val="22"/>
          <w:szCs w:val="22"/>
        </w:rPr>
        <w:t xml:space="preserve">Existing European initiatives, such as the </w:t>
      </w:r>
      <w:bookmarkStart w:id="0" w:name="_Hlk117505772"/>
      <w:r w:rsidR="001C5CC4" w:rsidRPr="00F72DBF">
        <w:rPr>
          <w:rFonts w:ascii="Segoe UI Light" w:hAnsi="Segoe UI Light" w:cs="Segoe UI Light"/>
          <w:sz w:val="22"/>
          <w:szCs w:val="22"/>
        </w:rPr>
        <w:fldChar w:fldCharType="begin"/>
      </w:r>
      <w:r w:rsidR="001C5CC4" w:rsidRPr="00F72DBF">
        <w:rPr>
          <w:rFonts w:ascii="Segoe UI Light" w:hAnsi="Segoe UI Light" w:cs="Segoe UI Light"/>
          <w:sz w:val="22"/>
          <w:szCs w:val="22"/>
        </w:rPr>
        <w:instrText xml:space="preserve"> HYPERLINK "https://www.eif.org/what_we_do/equity/escalar/index.htm" </w:instrText>
      </w:r>
      <w:r w:rsidR="001C5CC4" w:rsidRPr="00F72DBF">
        <w:rPr>
          <w:rFonts w:ascii="Segoe UI Light" w:hAnsi="Segoe UI Light" w:cs="Segoe UI Light"/>
          <w:sz w:val="22"/>
          <w:szCs w:val="22"/>
        </w:rPr>
        <w:fldChar w:fldCharType="separate"/>
      </w:r>
      <w:r w:rsidRPr="00F72DBF">
        <w:rPr>
          <w:rStyle w:val="Hyperlink"/>
          <w:rFonts w:ascii="Segoe UI Light" w:hAnsi="Segoe UI Light" w:cs="Segoe UI Light"/>
          <w:sz w:val="22"/>
          <w:szCs w:val="22"/>
        </w:rPr>
        <w:t>ESCALAR</w:t>
      </w:r>
      <w:bookmarkEnd w:id="0"/>
      <w:r w:rsidR="001C5CC4" w:rsidRPr="00F72DBF">
        <w:rPr>
          <w:rFonts w:ascii="Segoe UI Light" w:hAnsi="Segoe UI Light" w:cs="Segoe UI Light"/>
          <w:sz w:val="22"/>
          <w:szCs w:val="22"/>
        </w:rPr>
        <w:fldChar w:fldCharType="end"/>
      </w:r>
      <w:r w:rsidRPr="00F72DBF">
        <w:rPr>
          <w:rFonts w:ascii="Segoe UI Light" w:hAnsi="Segoe UI Light" w:cs="Segoe UI Light"/>
          <w:bCs/>
          <w:sz w:val="22"/>
          <w:szCs w:val="22"/>
        </w:rPr>
        <w:t xml:space="preserve"> programme, are aimed at scale-ups or newly established companies financed by venture capital funds. The EESC’s proposal would complement those already in place and focus on established SMEs, which make up the majority of European companies.</w:t>
      </w:r>
    </w:p>
    <w:p w14:paraId="2EE0C98B" w14:textId="77777777" w:rsidR="00636556" w:rsidRPr="00F72DBF" w:rsidRDefault="00636556" w:rsidP="00636556">
      <w:pPr>
        <w:pStyle w:val="Header"/>
        <w:spacing w:after="120"/>
        <w:rPr>
          <w:rFonts w:ascii="Segoe UI Light" w:hAnsi="Segoe UI Light" w:cs="Segoe UI Light"/>
          <w:b/>
          <w:lang w:val="en-GB"/>
        </w:rPr>
      </w:pPr>
      <w:bookmarkStart w:id="1" w:name="_Hlk117839340"/>
      <w:r w:rsidRPr="00F72DBF">
        <w:rPr>
          <w:rFonts w:ascii="Segoe UI Light" w:hAnsi="Segoe UI Light" w:cs="Segoe UI Light"/>
          <w:b/>
          <w:lang w:val="en-GB"/>
        </w:rPr>
        <w:t>The heart of the EU economy</w:t>
      </w:r>
    </w:p>
    <w:p w14:paraId="00A0A2EE" w14:textId="77777777" w:rsidR="00636556" w:rsidRPr="00F72DBF" w:rsidRDefault="00636556" w:rsidP="00636556">
      <w:pPr>
        <w:pStyle w:val="Header"/>
        <w:spacing w:after="120"/>
        <w:rPr>
          <w:rFonts w:ascii="Segoe UI Light" w:hAnsi="Segoe UI Light" w:cs="Segoe UI Light"/>
          <w:bCs/>
          <w:lang w:val="en-GB"/>
        </w:rPr>
      </w:pPr>
      <w:r w:rsidRPr="00F72DBF">
        <w:rPr>
          <w:rFonts w:ascii="Segoe UI Light" w:hAnsi="Segoe UI Light" w:cs="Segoe UI Light"/>
          <w:bCs/>
          <w:lang w:val="en-GB"/>
        </w:rPr>
        <w:t xml:space="preserve">In the EU, SMEs represent 99.8 % of all firms, almost two-thirds of employment and more than half </w:t>
      </w:r>
      <w:r w:rsidR="00C10503">
        <w:rPr>
          <w:rFonts w:ascii="Segoe UI Light" w:hAnsi="Segoe UI Light" w:cs="Segoe UI Light"/>
          <w:bCs/>
          <w:lang w:val="en-GB"/>
        </w:rPr>
        <w:t xml:space="preserve">of </w:t>
      </w:r>
      <w:r w:rsidRPr="00F72DBF">
        <w:rPr>
          <w:rFonts w:ascii="Segoe UI Light" w:hAnsi="Segoe UI Light" w:cs="Segoe UI Light"/>
          <w:bCs/>
          <w:lang w:val="en-GB"/>
        </w:rPr>
        <w:t xml:space="preserve">the value-added generated by the non-financial business sector. </w:t>
      </w:r>
      <w:bookmarkEnd w:id="1"/>
    </w:p>
    <w:p w14:paraId="2D97383D" w14:textId="4272992D" w:rsidR="00E8280B" w:rsidRDefault="00E8280B" w:rsidP="00636556">
      <w:pPr>
        <w:jc w:val="both"/>
        <w:rPr>
          <w:rFonts w:ascii="Segoe UI Light" w:hAnsi="Segoe UI Light" w:cs="Segoe UI Light"/>
        </w:rPr>
      </w:pPr>
    </w:p>
    <w:p w14:paraId="416B3C9F" w14:textId="35F2EF54" w:rsidR="00344CC0" w:rsidRPr="003E46F5" w:rsidRDefault="004053A6" w:rsidP="00636556">
      <w:pPr>
        <w:jc w:val="both"/>
        <w:rPr>
          <w:rFonts w:ascii="Segoe UI Light" w:hAnsi="Segoe UI Light" w:cs="Segoe UI Light"/>
        </w:rPr>
      </w:pPr>
      <w:hyperlink r:id="rId5" w:history="1">
        <w:r w:rsidR="00344CC0" w:rsidRPr="00344CC0">
          <w:rPr>
            <w:rStyle w:val="Hyperlink"/>
            <w:rFonts w:ascii="Segoe UI Light" w:hAnsi="Segoe UI Light" w:cs="Segoe UI Light"/>
          </w:rPr>
          <w:t>Full opinion</w:t>
        </w:r>
      </w:hyperlink>
    </w:p>
    <w:sectPr w:rsidR="00344CC0" w:rsidRPr="003E46F5" w:rsidSect="00636556">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56"/>
    <w:rsid w:val="000520AD"/>
    <w:rsid w:val="00067A52"/>
    <w:rsid w:val="001B6E06"/>
    <w:rsid w:val="001C5CC4"/>
    <w:rsid w:val="00200AF5"/>
    <w:rsid w:val="00344CC0"/>
    <w:rsid w:val="003E46F5"/>
    <w:rsid w:val="004053A6"/>
    <w:rsid w:val="00636556"/>
    <w:rsid w:val="00672EC2"/>
    <w:rsid w:val="006D072E"/>
    <w:rsid w:val="00B266D0"/>
    <w:rsid w:val="00C10503"/>
    <w:rsid w:val="00C50E3B"/>
    <w:rsid w:val="00C90404"/>
    <w:rsid w:val="00CC2313"/>
    <w:rsid w:val="00D02C08"/>
    <w:rsid w:val="00E8280B"/>
    <w:rsid w:val="00F72D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5B60"/>
  <w15:chartTrackingRefBased/>
  <w15:docId w15:val="{DE357CB9-139F-4344-B15F-AB729AD8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56"/>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636556"/>
    <w:pPr>
      <w:numPr>
        <w:numId w:val="1"/>
      </w:numPr>
      <w:spacing w:line="288" w:lineRule="auto"/>
      <w:ind w:left="567" w:hanging="567"/>
      <w:jc w:val="both"/>
      <w:outlineLvl w:val="0"/>
    </w:pPr>
    <w:rPr>
      <w:rFonts w:ascii="Times New Roman" w:hAnsi="Times New Roman"/>
      <w:kern w:val="28"/>
      <w:sz w:val="22"/>
      <w:szCs w:val="22"/>
      <w:lang w:val="en-US"/>
    </w:rPr>
  </w:style>
  <w:style w:type="paragraph" w:styleId="Heading2">
    <w:name w:val="heading 2"/>
    <w:basedOn w:val="Normal"/>
    <w:next w:val="Normal"/>
    <w:link w:val="Heading2Char"/>
    <w:qFormat/>
    <w:rsid w:val="00636556"/>
    <w:pPr>
      <w:numPr>
        <w:ilvl w:val="1"/>
        <w:numId w:val="1"/>
      </w:numPr>
      <w:spacing w:line="288" w:lineRule="auto"/>
      <w:ind w:left="567" w:hanging="567"/>
      <w:jc w:val="both"/>
      <w:outlineLvl w:val="1"/>
    </w:pPr>
    <w:rPr>
      <w:rFonts w:ascii="Times New Roman" w:hAnsi="Times New Roman"/>
      <w:sz w:val="22"/>
      <w:szCs w:val="22"/>
      <w:lang w:val="en-US"/>
    </w:rPr>
  </w:style>
  <w:style w:type="paragraph" w:styleId="Heading3">
    <w:name w:val="heading 3"/>
    <w:basedOn w:val="Normal"/>
    <w:next w:val="Normal"/>
    <w:link w:val="Heading3Char"/>
    <w:qFormat/>
    <w:rsid w:val="00636556"/>
    <w:pPr>
      <w:numPr>
        <w:ilvl w:val="2"/>
        <w:numId w:val="1"/>
      </w:numPr>
      <w:spacing w:line="288" w:lineRule="auto"/>
      <w:ind w:left="567" w:hanging="567"/>
      <w:jc w:val="both"/>
      <w:outlineLvl w:val="2"/>
    </w:pPr>
    <w:rPr>
      <w:rFonts w:ascii="Times New Roman" w:hAnsi="Times New Roman"/>
      <w:sz w:val="22"/>
      <w:szCs w:val="22"/>
      <w:lang w:val="en-US"/>
    </w:rPr>
  </w:style>
  <w:style w:type="paragraph" w:styleId="Heading4">
    <w:name w:val="heading 4"/>
    <w:basedOn w:val="Normal"/>
    <w:next w:val="Normal"/>
    <w:link w:val="Heading4Char"/>
    <w:qFormat/>
    <w:rsid w:val="00636556"/>
    <w:pPr>
      <w:numPr>
        <w:ilvl w:val="3"/>
        <w:numId w:val="1"/>
      </w:numPr>
      <w:spacing w:line="288" w:lineRule="auto"/>
      <w:ind w:left="567" w:hanging="567"/>
      <w:jc w:val="both"/>
      <w:outlineLvl w:val="3"/>
    </w:pPr>
    <w:rPr>
      <w:rFonts w:ascii="Times New Roman" w:hAnsi="Times New Roman"/>
      <w:sz w:val="22"/>
      <w:szCs w:val="22"/>
      <w:lang w:val="en-US"/>
    </w:rPr>
  </w:style>
  <w:style w:type="paragraph" w:styleId="Heading5">
    <w:name w:val="heading 5"/>
    <w:basedOn w:val="Normal"/>
    <w:next w:val="Normal"/>
    <w:link w:val="Heading5Char"/>
    <w:qFormat/>
    <w:rsid w:val="00636556"/>
    <w:pPr>
      <w:numPr>
        <w:ilvl w:val="4"/>
        <w:numId w:val="1"/>
      </w:numPr>
      <w:spacing w:line="288" w:lineRule="auto"/>
      <w:ind w:left="567" w:hanging="567"/>
      <w:jc w:val="both"/>
      <w:outlineLvl w:val="4"/>
    </w:pPr>
    <w:rPr>
      <w:rFonts w:ascii="Times New Roman" w:hAnsi="Times New Roman"/>
      <w:sz w:val="22"/>
      <w:szCs w:val="22"/>
      <w:lang w:val="en-US"/>
    </w:rPr>
  </w:style>
  <w:style w:type="paragraph" w:styleId="Heading6">
    <w:name w:val="heading 6"/>
    <w:basedOn w:val="Normal"/>
    <w:next w:val="Normal"/>
    <w:link w:val="Heading6Char"/>
    <w:qFormat/>
    <w:rsid w:val="00636556"/>
    <w:pPr>
      <w:numPr>
        <w:ilvl w:val="5"/>
        <w:numId w:val="1"/>
      </w:numPr>
      <w:spacing w:line="288" w:lineRule="auto"/>
      <w:ind w:left="567" w:hanging="567"/>
      <w:jc w:val="both"/>
      <w:outlineLvl w:val="5"/>
    </w:pPr>
    <w:rPr>
      <w:rFonts w:ascii="Times New Roman" w:hAnsi="Times New Roman"/>
      <w:sz w:val="22"/>
      <w:szCs w:val="22"/>
      <w:lang w:val="en-US"/>
    </w:rPr>
  </w:style>
  <w:style w:type="paragraph" w:styleId="Heading7">
    <w:name w:val="heading 7"/>
    <w:basedOn w:val="Normal"/>
    <w:next w:val="Normal"/>
    <w:link w:val="Heading7Char"/>
    <w:qFormat/>
    <w:rsid w:val="00636556"/>
    <w:pPr>
      <w:numPr>
        <w:ilvl w:val="6"/>
        <w:numId w:val="1"/>
      </w:numPr>
      <w:spacing w:line="288" w:lineRule="auto"/>
      <w:ind w:left="567" w:hanging="567"/>
      <w:jc w:val="both"/>
      <w:outlineLvl w:val="6"/>
    </w:pPr>
    <w:rPr>
      <w:rFonts w:ascii="Times New Roman" w:hAnsi="Times New Roman"/>
      <w:sz w:val="22"/>
      <w:szCs w:val="22"/>
      <w:lang w:val="en-US"/>
    </w:rPr>
  </w:style>
  <w:style w:type="paragraph" w:styleId="Heading8">
    <w:name w:val="heading 8"/>
    <w:basedOn w:val="Normal"/>
    <w:next w:val="Normal"/>
    <w:link w:val="Heading8Char"/>
    <w:qFormat/>
    <w:rsid w:val="00636556"/>
    <w:pPr>
      <w:numPr>
        <w:ilvl w:val="7"/>
        <w:numId w:val="1"/>
      </w:numPr>
      <w:spacing w:line="288" w:lineRule="auto"/>
      <w:ind w:left="567" w:hanging="567"/>
      <w:jc w:val="both"/>
      <w:outlineLvl w:val="7"/>
    </w:pPr>
    <w:rPr>
      <w:rFonts w:ascii="Times New Roman" w:hAnsi="Times New Roman"/>
      <w:sz w:val="22"/>
      <w:szCs w:val="22"/>
      <w:lang w:val="en-US"/>
    </w:rPr>
  </w:style>
  <w:style w:type="paragraph" w:styleId="Heading9">
    <w:name w:val="heading 9"/>
    <w:basedOn w:val="Normal"/>
    <w:next w:val="Normal"/>
    <w:link w:val="Heading9Char"/>
    <w:qFormat/>
    <w:rsid w:val="00636556"/>
    <w:pPr>
      <w:numPr>
        <w:ilvl w:val="8"/>
        <w:numId w:val="1"/>
      </w:numPr>
      <w:spacing w:line="288" w:lineRule="auto"/>
      <w:ind w:left="567" w:hanging="567"/>
      <w:jc w:val="both"/>
      <w:outlineLvl w:val="8"/>
    </w:pPr>
    <w:rPr>
      <w:rFonts w:ascii="Times New Roman" w:hAnsi="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56"/>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636556"/>
    <w:rPr>
      <w:rFonts w:ascii="Times New Roman" w:eastAsia="Times New Roman" w:hAnsi="Times New Roman" w:cs="Times New Roman"/>
      <w:lang w:val="en-US"/>
    </w:rPr>
  </w:style>
  <w:style w:type="character" w:customStyle="1" w:styleId="Heading3Char">
    <w:name w:val="Heading 3 Char"/>
    <w:basedOn w:val="DefaultParagraphFont"/>
    <w:link w:val="Heading3"/>
    <w:rsid w:val="00636556"/>
    <w:rPr>
      <w:rFonts w:ascii="Times New Roman" w:eastAsia="Times New Roman" w:hAnsi="Times New Roman" w:cs="Times New Roman"/>
      <w:lang w:val="en-US"/>
    </w:rPr>
  </w:style>
  <w:style w:type="character" w:customStyle="1" w:styleId="Heading4Char">
    <w:name w:val="Heading 4 Char"/>
    <w:basedOn w:val="DefaultParagraphFont"/>
    <w:link w:val="Heading4"/>
    <w:rsid w:val="00636556"/>
    <w:rPr>
      <w:rFonts w:ascii="Times New Roman" w:eastAsia="Times New Roman" w:hAnsi="Times New Roman" w:cs="Times New Roman"/>
      <w:lang w:val="en-US"/>
    </w:rPr>
  </w:style>
  <w:style w:type="character" w:customStyle="1" w:styleId="Heading5Char">
    <w:name w:val="Heading 5 Char"/>
    <w:basedOn w:val="DefaultParagraphFont"/>
    <w:link w:val="Heading5"/>
    <w:rsid w:val="00636556"/>
    <w:rPr>
      <w:rFonts w:ascii="Times New Roman" w:eastAsia="Times New Roman" w:hAnsi="Times New Roman" w:cs="Times New Roman"/>
      <w:lang w:val="en-US"/>
    </w:rPr>
  </w:style>
  <w:style w:type="character" w:customStyle="1" w:styleId="Heading6Char">
    <w:name w:val="Heading 6 Char"/>
    <w:basedOn w:val="DefaultParagraphFont"/>
    <w:link w:val="Heading6"/>
    <w:rsid w:val="00636556"/>
    <w:rPr>
      <w:rFonts w:ascii="Times New Roman" w:eastAsia="Times New Roman" w:hAnsi="Times New Roman" w:cs="Times New Roman"/>
      <w:lang w:val="en-US"/>
    </w:rPr>
  </w:style>
  <w:style w:type="character" w:customStyle="1" w:styleId="Heading7Char">
    <w:name w:val="Heading 7 Char"/>
    <w:basedOn w:val="DefaultParagraphFont"/>
    <w:link w:val="Heading7"/>
    <w:rsid w:val="00636556"/>
    <w:rPr>
      <w:rFonts w:ascii="Times New Roman" w:eastAsia="Times New Roman" w:hAnsi="Times New Roman" w:cs="Times New Roman"/>
      <w:lang w:val="en-US"/>
    </w:rPr>
  </w:style>
  <w:style w:type="character" w:customStyle="1" w:styleId="Heading8Char">
    <w:name w:val="Heading 8 Char"/>
    <w:basedOn w:val="DefaultParagraphFont"/>
    <w:link w:val="Heading8"/>
    <w:rsid w:val="00636556"/>
    <w:rPr>
      <w:rFonts w:ascii="Times New Roman" w:eastAsia="Times New Roman" w:hAnsi="Times New Roman" w:cs="Times New Roman"/>
      <w:lang w:val="en-US"/>
    </w:rPr>
  </w:style>
  <w:style w:type="character" w:customStyle="1" w:styleId="Heading9Char">
    <w:name w:val="Heading 9 Char"/>
    <w:basedOn w:val="DefaultParagraphFont"/>
    <w:link w:val="Heading9"/>
    <w:rsid w:val="00636556"/>
    <w:rPr>
      <w:rFonts w:ascii="Times New Roman" w:eastAsia="Times New Roman" w:hAnsi="Times New Roman" w:cs="Times New Roman"/>
      <w:lang w:val="en-US"/>
    </w:rPr>
  </w:style>
  <w:style w:type="paragraph" w:styleId="Footer">
    <w:name w:val="footer"/>
    <w:basedOn w:val="Normal"/>
    <w:link w:val="FooterChar"/>
    <w:qFormat/>
    <w:rsid w:val="00636556"/>
    <w:pPr>
      <w:spacing w:line="288" w:lineRule="auto"/>
      <w:jc w:val="both"/>
    </w:pPr>
    <w:rPr>
      <w:rFonts w:ascii="Times New Roman" w:hAnsi="Times New Roman"/>
      <w:sz w:val="22"/>
      <w:szCs w:val="22"/>
      <w:lang w:val="en-US"/>
    </w:rPr>
  </w:style>
  <w:style w:type="character" w:customStyle="1" w:styleId="FooterChar">
    <w:name w:val="Footer Char"/>
    <w:basedOn w:val="DefaultParagraphFont"/>
    <w:link w:val="Footer"/>
    <w:rsid w:val="00636556"/>
    <w:rPr>
      <w:rFonts w:ascii="Times New Roman" w:eastAsia="Times New Roman" w:hAnsi="Times New Roman" w:cs="Times New Roman"/>
      <w:lang w:val="en-US"/>
    </w:rPr>
  </w:style>
  <w:style w:type="paragraph" w:styleId="FootnoteText">
    <w:name w:val="footnote text"/>
    <w:basedOn w:val="Normal"/>
    <w:link w:val="FootnoteTextChar"/>
    <w:qFormat/>
    <w:rsid w:val="00636556"/>
    <w:pPr>
      <w:keepLines/>
      <w:spacing w:after="60"/>
      <w:ind w:left="567" w:hanging="567"/>
      <w:jc w:val="both"/>
    </w:pPr>
    <w:rPr>
      <w:rFonts w:ascii="Times New Roman" w:hAnsi="Times New Roman"/>
      <w:sz w:val="16"/>
      <w:szCs w:val="22"/>
      <w:lang w:val="en-US"/>
    </w:rPr>
  </w:style>
  <w:style w:type="character" w:customStyle="1" w:styleId="FootnoteTextChar">
    <w:name w:val="Footnote Text Char"/>
    <w:basedOn w:val="DefaultParagraphFont"/>
    <w:link w:val="FootnoteText"/>
    <w:rsid w:val="00636556"/>
    <w:rPr>
      <w:rFonts w:ascii="Times New Roman" w:eastAsia="Times New Roman" w:hAnsi="Times New Roman" w:cs="Times New Roman"/>
      <w:sz w:val="16"/>
      <w:lang w:val="en-US"/>
    </w:rPr>
  </w:style>
  <w:style w:type="paragraph" w:styleId="Header">
    <w:name w:val="header"/>
    <w:basedOn w:val="Normal"/>
    <w:link w:val="HeaderChar"/>
    <w:qFormat/>
    <w:rsid w:val="00636556"/>
    <w:pPr>
      <w:spacing w:line="288" w:lineRule="auto"/>
      <w:jc w:val="both"/>
    </w:pPr>
    <w:rPr>
      <w:rFonts w:ascii="Times New Roman" w:hAnsi="Times New Roman"/>
      <w:sz w:val="22"/>
      <w:szCs w:val="22"/>
      <w:lang w:val="en-US"/>
    </w:rPr>
  </w:style>
  <w:style w:type="character" w:customStyle="1" w:styleId="HeaderChar">
    <w:name w:val="Header Char"/>
    <w:basedOn w:val="DefaultParagraphFont"/>
    <w:link w:val="Header"/>
    <w:rsid w:val="00636556"/>
    <w:rPr>
      <w:rFonts w:ascii="Times New Roman" w:eastAsia="Times New Roman" w:hAnsi="Times New Roman" w:cs="Times New Roman"/>
      <w:lang w:val="en-US"/>
    </w:rPr>
  </w:style>
  <w:style w:type="paragraph" w:customStyle="1" w:styleId="quotes">
    <w:name w:val="quotes"/>
    <w:basedOn w:val="Normal"/>
    <w:next w:val="Normal"/>
    <w:rsid w:val="00636556"/>
    <w:pPr>
      <w:ind w:left="720"/>
    </w:pPr>
    <w:rPr>
      <w:i/>
    </w:rPr>
  </w:style>
  <w:style w:type="character" w:styleId="FootnoteReference">
    <w:name w:val="footnote reference"/>
    <w:basedOn w:val="DefaultParagraphFont"/>
    <w:unhideWhenUsed/>
    <w:qFormat/>
    <w:rsid w:val="00636556"/>
    <w:rPr>
      <w:sz w:val="24"/>
      <w:vertAlign w:val="superscript"/>
    </w:rPr>
  </w:style>
  <w:style w:type="character" w:styleId="Hyperlink">
    <w:name w:val="Hyperlink"/>
    <w:semiHidden/>
    <w:rsid w:val="00636556"/>
    <w:rPr>
      <w:color w:val="0000FF"/>
      <w:u w:val="single"/>
    </w:rPr>
  </w:style>
  <w:style w:type="character" w:customStyle="1" w:styleId="UnresolvedMention1">
    <w:name w:val="Unresolved Mention1"/>
    <w:basedOn w:val="DefaultParagraphFont"/>
    <w:uiPriority w:val="99"/>
    <w:semiHidden/>
    <w:unhideWhenUsed/>
    <w:rsid w:val="001C5CC4"/>
    <w:rPr>
      <w:color w:val="605E5C"/>
      <w:shd w:val="clear" w:color="auto" w:fill="E1DFDD"/>
    </w:rPr>
  </w:style>
  <w:style w:type="paragraph" w:styleId="BalloonText">
    <w:name w:val="Balloon Text"/>
    <w:basedOn w:val="Normal"/>
    <w:link w:val="BalloonTextChar"/>
    <w:uiPriority w:val="99"/>
    <w:semiHidden/>
    <w:unhideWhenUsed/>
    <w:rsid w:val="003E4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6F5"/>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C10503"/>
    <w:rPr>
      <w:color w:val="954F72" w:themeColor="followedHyperlink"/>
      <w:u w:val="single"/>
    </w:rPr>
  </w:style>
  <w:style w:type="character" w:styleId="UnresolvedMention">
    <w:name w:val="Unresolved Mention"/>
    <w:basedOn w:val="DefaultParagraphFont"/>
    <w:uiPriority w:val="99"/>
    <w:semiHidden/>
    <w:unhideWhenUsed/>
    <w:rsid w:val="0034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esc.europa.eu/en/our-work/opinions-information-reports/opinions/recapitalising-eu-companies-innovative-way-towards-sustained-and-inclusive-recov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Thomas</dc:creator>
  <cp:keywords/>
  <dc:description/>
  <cp:lastModifiedBy>Tsoumani Amalia</cp:lastModifiedBy>
  <cp:revision>2</cp:revision>
  <dcterms:created xsi:type="dcterms:W3CDTF">2022-11-04T09:52:00Z</dcterms:created>
  <dcterms:modified xsi:type="dcterms:W3CDTF">2022-11-04T09:52:00Z</dcterms:modified>
</cp:coreProperties>
</file>