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F3" w:rsidRDefault="00680DF3" w:rsidP="00A425E4">
      <w:pPr>
        <w:overflowPunct/>
        <w:adjustRightInd/>
        <w:spacing w:after="120" w:line="264" w:lineRule="auto"/>
        <w:jc w:val="right"/>
        <w:textAlignment w:val="auto"/>
        <w:rPr>
          <w:rFonts w:ascii="Calibri" w:eastAsia="Calibri" w:hAnsi="Calibri" w:cs="Calibri"/>
          <w:color w:val="000000" w:themeColor="text1"/>
        </w:rPr>
      </w:pPr>
      <w:bookmarkStart w:id="0" w:name="_gjdgxs"/>
      <w:bookmarkEnd w:id="0"/>
      <w:r>
        <w:rPr>
          <w:rFonts w:ascii="Calibri" w:hAnsi="Calibri"/>
          <w:color w:val="000000" w:themeColor="text1"/>
        </w:rPr>
        <w:t>Bryssel den 20 mars 2019</w:t>
      </w:r>
    </w:p>
    <w:p w:rsidR="005307F3" w:rsidRPr="00A425E4" w:rsidRDefault="00765E1A" w:rsidP="00A425E4">
      <w:pPr>
        <w:overflowPunct/>
        <w:adjustRightInd/>
        <w:spacing w:after="120" w:line="264" w:lineRule="auto"/>
        <w:jc w:val="right"/>
        <w:textAlignment w:val="auto"/>
        <w:rPr>
          <w:rFonts w:ascii="Calibri" w:eastAsia="Calibri" w:hAnsi="Calibri" w:cs="Calibri"/>
          <w:color w:val="000000" w:themeColor="text1"/>
        </w:rPr>
      </w:pPr>
      <w:r>
        <w:rPr>
          <w:rFonts w:ascii="Calibri" w:hAnsi="Calibri"/>
          <w:b/>
          <w:i/>
          <w:noProof/>
          <w:color w:val="000000"/>
          <w:sz w:val="26"/>
          <w:lang w:val="en-GB" w:eastAsia="en-GB"/>
        </w:rPr>
        <mc:AlternateContent>
          <mc:Choice Requires="wps">
            <w:drawing>
              <wp:anchor distT="0" distB="0" distL="114300" distR="114300" simplePos="0" relativeHeight="251659264" behindDoc="1" locked="0" layoutInCell="0" allowOverlap="1" wp14:anchorId="07A2E3D7" wp14:editId="0F0B7431">
                <wp:simplePos x="0" y="0"/>
                <wp:positionH relativeFrom="page">
                  <wp:posOffset>6766560</wp:posOffset>
                </wp:positionH>
                <wp:positionV relativeFrom="page">
                  <wp:posOffset>10026595</wp:posOffset>
                </wp:positionV>
                <wp:extent cx="647700" cy="4514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7F3" w:rsidRPr="00A8456C" w:rsidRDefault="005307F3" w:rsidP="00A8456C">
                            <w:pPr>
                              <w:jc w:val="center"/>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E3D7" id="_x0000_t202" coordsize="21600,21600" o:spt="202" path="m,l,21600r21600,l21600,xe">
                <v:stroke joinstyle="miter"/>
                <v:path gradientshapeok="t" o:connecttype="rect"/>
              </v:shapetype>
              <v:shape id="Text Box 1" o:spid="_x0000_s1026" type="#_x0000_t202" style="position:absolute;left:0;text-align:left;margin-left:532.8pt;margin-top:789.5pt;width:51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4sQIAALg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" o:allowincell="f" filled="f" stroked="f">
                <v:textbox>
                  <w:txbxContent>
                    <w:p w:rsidR="005307F3" w:rsidRPr="00A8456C" w:rsidRDefault="005307F3" w:rsidP="00A8456C">
                      <w:pPr>
                        <w:jc w:val="center"/>
                        <w:rPr>
                          <w:rFonts w:ascii="Arial" w:hAnsi="Arial" w:cs="Arial"/>
                          <w:b/>
                          <w:sz w:val="48"/>
                        </w:rPr>
                      </w:pPr>
                      <w:r>
                        <w:rPr>
                          <w:rFonts w:ascii="Arial" w:hAnsi="Arial"/>
                          <w:b/>
                          <w:sz w:val="48"/>
                        </w:rPr>
                        <w:t>SV</w:t>
                      </w:r>
                    </w:p>
                  </w:txbxContent>
                </v:textbox>
                <w10:wrap anchorx="page" anchory="page"/>
              </v:shape>
            </w:pict>
          </mc:Fallback>
        </mc:AlternateContent>
      </w:r>
    </w:p>
    <w:p w:rsidR="00DD7FBF" w:rsidRPr="00A425E4" w:rsidRDefault="003F788E" w:rsidP="00A425E4">
      <w:pPr>
        <w:overflowPunct/>
        <w:adjustRightInd/>
        <w:spacing w:after="240" w:line="264" w:lineRule="auto"/>
        <w:jc w:val="center"/>
        <w:textAlignment w:val="auto"/>
        <w:rPr>
          <w:rFonts w:ascii="Calibri" w:eastAsia="Calibri" w:hAnsi="Calibri" w:cs="Calibri"/>
          <w:b/>
          <w:color w:val="2F5496"/>
          <w:sz w:val="28"/>
          <w:u w:val="single"/>
        </w:rPr>
      </w:pPr>
      <w:r>
        <w:rPr>
          <w:rFonts w:ascii="Calibri" w:hAnsi="Calibri"/>
          <w:b/>
          <w:color w:val="2F5496"/>
          <w:sz w:val="32"/>
          <w:u w:val="single"/>
        </w:rPr>
        <w:t xml:space="preserve">EESK:s ARBETSGIVARGRUPP EFTERLYSER </w:t>
      </w:r>
      <w:r w:rsidR="000B4D2D">
        <w:rPr>
          <w:rFonts w:ascii="Calibri" w:hAnsi="Calibri"/>
          <w:b/>
          <w:color w:val="2F5496"/>
          <w:sz w:val="32"/>
          <w:u w:val="single"/>
        </w:rPr>
        <w:br/>
      </w:r>
      <w:r>
        <w:rPr>
          <w:rFonts w:ascii="Calibri" w:hAnsi="Calibri"/>
          <w:b/>
          <w:color w:val="2F5496"/>
          <w:sz w:val="32"/>
          <w:u w:val="single"/>
        </w:rPr>
        <w:t>ETT ÖPPET, ENAT OCH STARKT EU</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b/>
          <w:i/>
          <w:color w:val="000000"/>
          <w:sz w:val="26"/>
        </w:rPr>
      </w:pPr>
      <w:r>
        <w:rPr>
          <w:rFonts w:ascii="Calibri" w:hAnsi="Calibri"/>
          <w:b/>
          <w:i/>
          <w:color w:val="000000"/>
          <w:sz w:val="26"/>
        </w:rPr>
        <w:t>Vi, som europeiska företrädare för arbetsgivare och företagare, står upp för Europeiska unionen och dess värden demokrati, frihet, grundläggande rättigheter och rättsstatsprincipen.</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är fast beslutna att verka för ett starkt EU.</w:t>
      </w:r>
      <w:r>
        <w:rPr>
          <w:rFonts w:ascii="Calibri" w:hAnsi="Calibri"/>
          <w:color w:val="000000"/>
        </w:rPr>
        <w:t xml:space="preserve"> Enbart ett starkt EU kan bli framgångsrikt mot bakgrund av global konkurrens, osäkerhet och splittring och ge EU-medborgarna säkerhet och välfärd. Ett starkt EU är ekonomiskt, socialt och miljömässigt hållbart och motståndskraftigt.</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anser att EU blir starkare ju mer enat det är</w:t>
      </w:r>
      <w:r>
        <w:rPr>
          <w:rFonts w:ascii="Calibri" w:hAnsi="Calibri"/>
        </w:rPr>
        <w:t xml:space="preserve"> – i dess mångfald.</w:t>
      </w:r>
      <w:r>
        <w:rPr>
          <w:rFonts w:ascii="Calibri" w:hAnsi="Calibri"/>
          <w:color w:val="000000"/>
        </w:rPr>
        <w:t xml:space="preserve"> Enheten medför intern effektivitet och externt inflytande. Det handlar om gemensamma mål, beslut och åtgärder för att ta itu med frågor som inte kan hanteras enbart genom nationella åtgärder.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är övertygade om att EU:s styrka ligger i dess attraktionskraft</w:t>
      </w:r>
      <w:r>
        <w:rPr>
          <w:rFonts w:ascii="Calibri" w:hAnsi="Calibri"/>
        </w:rPr>
        <w:t>: dess förmåga att se till att medborgarna kan åtnjuta det europeiska levnadssättet.</w:t>
      </w:r>
      <w:r>
        <w:rPr>
          <w:rFonts w:ascii="Calibri" w:hAnsi="Calibri"/>
          <w:color w:val="000000"/>
        </w:rPr>
        <w:t xml:space="preserve"> För att detta ska vara möjligt måste EU vara ett bra ställe att bedriva affärsverksamhet.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efterlyser ett konkurrenskraftigt företagsklimat</w:t>
      </w:r>
      <w:r>
        <w:rPr>
          <w:rFonts w:ascii="Calibri" w:hAnsi="Calibri"/>
        </w:rPr>
        <w:t xml:space="preserve"> där företagen uppmuntras att innovera, investera och göra affärer.</w:t>
      </w:r>
      <w:r>
        <w:rPr>
          <w:rFonts w:ascii="Calibri" w:hAnsi="Calibri"/>
          <w:color w:val="000000"/>
        </w:rPr>
        <w:t xml:space="preserve"> På så sätt kan företagen blomstra och ge människor arbete, varor och tjänster. Detta ger också upphov till offentliga intäkter för utbildning, hälso- och sjukvård och sociala system samt för inre och yttre säkerhet. Ekonomiska och sociala framsteg går således hand i hand.</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tror starkt på en öppen ekonomi – med öppna marknader och sund konkurrens.</w:t>
      </w:r>
      <w:r>
        <w:rPr>
          <w:rFonts w:ascii="Calibri" w:hAnsi="Calibri"/>
          <w:color w:val="000000"/>
        </w:rPr>
        <w:t xml:space="preserve"> Samtidigt som det ger företagen större marknader och bättre tillgång till resurser, gynnar det medborgarna genom ett bredare urval av varor och tjänster och möjligheten att resa, studera och arbeta utomlands. Vi efterlyser därför en fullt fungerande inre marknad och en regelbaserad utrikeshandel.</w:t>
      </w:r>
    </w:p>
    <w:p w:rsidR="00DD7FBF" w:rsidRPr="00A425E4" w:rsidRDefault="003F788E" w:rsidP="00A425E4">
      <w:pPr>
        <w:overflowPunct/>
        <w:adjustRightInd/>
        <w:spacing w:after="240" w:line="264" w:lineRule="auto"/>
        <w:textAlignment w:val="auto"/>
        <w:rPr>
          <w:rFonts w:ascii="Calibri" w:eastAsia="Calibri" w:hAnsi="Calibri" w:cs="Calibri"/>
        </w:rPr>
      </w:pPr>
      <w:r>
        <w:rPr>
          <w:rFonts w:ascii="Calibri" w:hAnsi="Calibri"/>
          <w:b/>
          <w:color w:val="2F5496"/>
        </w:rPr>
        <w:t>Vi anser att en öppen ekonomi måste åtföljas av ett öppet samhälle.</w:t>
      </w:r>
      <w:r>
        <w:rPr>
          <w:rFonts w:ascii="Calibri" w:hAnsi="Calibri"/>
        </w:rPr>
        <w:t xml:space="preserve"> Vi är bekymrade över populistiska, auktoritära och främlingsfientliga rörelser som motarbetar principerna för ett öppet samhälle som bygger på EU:s gemensamma centrala värden.</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står bakom ett samhälle som bygger på dialog och gott styre.</w:t>
      </w:r>
      <w:r>
        <w:rPr>
          <w:rFonts w:ascii="Calibri" w:hAnsi="Calibri"/>
          <w:color w:val="000000"/>
        </w:rPr>
        <w:t xml:space="preserve"> Det innebär att beslutsfattandet bygger på demokrati, full efterlevnad av rättsstatsprincipen, subsidiaritetsprincipen, insyn och medverkan av det civila samhället. Ett dynamiskt civilsamhälle och dialog mellan arbetsmarknadens parter är avgörande garantier för ett progressivt och sammanhållet samhälle.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efterlyser möjliggörande och uppmuntrande politiska åtgärder</w:t>
      </w:r>
      <w:r>
        <w:rPr>
          <w:rFonts w:ascii="Calibri" w:hAnsi="Calibri"/>
        </w:rPr>
        <w:t xml:space="preserve"> som stimulerar kreativitet, innovation, fortbildning, flexibilitet och företagaranda i hela samhället.</w:t>
      </w:r>
      <w:r>
        <w:rPr>
          <w:rFonts w:ascii="Calibri" w:hAnsi="Calibri"/>
          <w:color w:val="000000"/>
        </w:rPr>
        <w:t xml:space="preserve"> Ett öppet samhälle bygger på frihet och ansvar, inte ledning och kontroll. </w:t>
      </w:r>
    </w:p>
    <w:p w:rsidR="00B02BD2" w:rsidRPr="00A425E4" w:rsidRDefault="003F788E" w:rsidP="000B4D2D">
      <w:pPr>
        <w:keepNext/>
        <w:keepLines/>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lastRenderedPageBreak/>
        <w:t>Vi respekterar mångfalden och anser att den utgör en stor tillgång</w:t>
      </w:r>
      <w:r>
        <w:rPr>
          <w:rFonts w:ascii="Calibri" w:hAnsi="Calibri"/>
        </w:rPr>
        <w:t xml:space="preserve"> för EU.</w:t>
      </w:r>
      <w:r>
        <w:rPr>
          <w:rFonts w:ascii="Calibri" w:hAnsi="Calibri"/>
          <w:color w:val="000000"/>
        </w:rPr>
        <w:t xml:space="preserve"> Detta gäller för rikedomen på kulturer och naturliga särdrag i de olika länderna. De</w:t>
      </w:r>
      <w:r w:rsidR="000B4D2D">
        <w:rPr>
          <w:rFonts w:ascii="Calibri" w:hAnsi="Calibri"/>
          <w:color w:val="000000"/>
        </w:rPr>
        <w:t>t gäller också för mångfalden i </w:t>
      </w:r>
      <w:bookmarkStart w:id="1" w:name="_GoBack"/>
      <w:bookmarkEnd w:id="1"/>
      <w:r>
        <w:rPr>
          <w:rFonts w:ascii="Calibri" w:hAnsi="Calibri"/>
          <w:color w:val="000000"/>
        </w:rPr>
        <w:t xml:space="preserve">fråga om kön, funktionsnedsättning, ras, sexuell läggning, ålder, religion och övertygelser samt alla andra former av personliga egenskaper.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 är övertygade om att öppenhet ökar stabiliteten och tryggheten</w:t>
      </w:r>
      <w:r>
        <w:rPr>
          <w:rFonts w:ascii="Calibri" w:hAnsi="Calibri"/>
        </w:rPr>
        <w:t xml:space="preserve"> – inom både ekonomin och samhället, tack vare starkare ömsesidigt beroende och samverkan.</w:t>
      </w:r>
      <w:r>
        <w:rPr>
          <w:rFonts w:ascii="Calibri" w:hAnsi="Calibri"/>
          <w:color w:val="000000"/>
        </w:rPr>
        <w:t xml:space="preserve"> I stället för stängsel behöver EU därför förbindande broar. </w:t>
      </w:r>
    </w:p>
    <w:p w:rsidR="00DD7FBF"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Sammanfattningsvis anser vi att en öppen ekonomi och ett öppet samhälle gynnar alla</w:t>
      </w:r>
      <w:r>
        <w:rPr>
          <w:rFonts w:ascii="Calibri" w:hAnsi="Calibri"/>
        </w:rPr>
        <w:t xml:space="preserve"> och skulle skapa nytt förtroende för EU.</w:t>
      </w:r>
      <w:r>
        <w:rPr>
          <w:rFonts w:ascii="Calibri" w:hAnsi="Calibri"/>
          <w:color w:val="000000"/>
        </w:rPr>
        <w:t xml:space="preserve"> Det är hur den positiva spiralen med ett öppet, enat och starkt EU kan och bör fortsätta.</w:t>
      </w:r>
    </w:p>
    <w:p w:rsidR="005307F3" w:rsidRDefault="005307F3">
      <w:pPr>
        <w:jc w:val="center"/>
      </w:pPr>
      <w:r>
        <w:t>_____________</w:t>
      </w:r>
    </w:p>
    <w:p w:rsidR="005307F3" w:rsidRPr="00A425E4" w:rsidRDefault="005307F3"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p>
    <w:sectPr w:rsidR="005307F3" w:rsidRPr="00A425E4" w:rsidSect="004752D5">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99" w:rsidRDefault="00641799">
      <w:r>
        <w:separator/>
      </w:r>
    </w:p>
  </w:endnote>
  <w:endnote w:type="continuationSeparator" w:id="0">
    <w:p w:rsidR="00641799" w:rsidRDefault="006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BF" w:rsidRPr="004752D5" w:rsidRDefault="00DD7FBF" w:rsidP="004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BF" w:rsidRPr="004752D5" w:rsidRDefault="004752D5" w:rsidP="004752D5">
    <w:pPr>
      <w:pStyle w:val="Footer"/>
    </w:pPr>
    <w:r>
      <w:t xml:space="preserve">EESC-2019-01564-00-01-INFO-TRA (EN) </w:t>
    </w:r>
    <w:r>
      <w:fldChar w:fldCharType="begin"/>
    </w:r>
    <w:r>
      <w:instrText xml:space="preserve"> PAGE  \* Arabic  \* MERGEFORMAT </w:instrText>
    </w:r>
    <w:r>
      <w:fldChar w:fldCharType="separate"/>
    </w:r>
    <w:r w:rsidR="000B4D2D">
      <w:rPr>
        <w:noProof/>
      </w:rPr>
      <w:t>1</w:t>
    </w:r>
    <w:r>
      <w:fldChar w:fldCharType="end"/>
    </w:r>
    <w:r>
      <w:t>/</w:t>
    </w:r>
    <w:r>
      <w:fldChar w:fldCharType="begin"/>
    </w:r>
    <w:r>
      <w:instrText xml:space="preserve"> = </w:instrText>
    </w:r>
    <w:r w:rsidR="000B4D2D">
      <w:fldChar w:fldCharType="begin"/>
    </w:r>
    <w:r w:rsidR="000B4D2D">
      <w:instrText xml:space="preserve"> NUMPAGES </w:instrText>
    </w:r>
    <w:r w:rsidR="000B4D2D">
      <w:fldChar w:fldCharType="separate"/>
    </w:r>
    <w:r w:rsidR="000B4D2D">
      <w:rPr>
        <w:noProof/>
      </w:rPr>
      <w:instrText>2</w:instrText>
    </w:r>
    <w:r w:rsidR="000B4D2D">
      <w:fldChar w:fldCharType="end"/>
    </w:r>
    <w:r>
      <w:instrText xml:space="preserve"> </w:instrText>
    </w:r>
    <w:r>
      <w:fldChar w:fldCharType="separate"/>
    </w:r>
    <w:r w:rsidR="000B4D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BF" w:rsidRPr="004752D5" w:rsidRDefault="00DD7FBF" w:rsidP="004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99" w:rsidRDefault="00641799">
      <w:r>
        <w:separator/>
      </w:r>
    </w:p>
  </w:footnote>
  <w:footnote w:type="continuationSeparator" w:id="0">
    <w:p w:rsidR="00641799" w:rsidRDefault="0064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BF" w:rsidRPr="004752D5" w:rsidRDefault="00DD7FBF" w:rsidP="004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BF" w:rsidRPr="004752D5" w:rsidRDefault="00DD7FBF" w:rsidP="00475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BF" w:rsidRPr="004752D5" w:rsidRDefault="00DD7FBF" w:rsidP="004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7FBF"/>
    <w:rsid w:val="000326ED"/>
    <w:rsid w:val="000427EC"/>
    <w:rsid w:val="000B4D2D"/>
    <w:rsid w:val="00114D47"/>
    <w:rsid w:val="001525FC"/>
    <w:rsid w:val="002A4CE2"/>
    <w:rsid w:val="003F788E"/>
    <w:rsid w:val="00472C6D"/>
    <w:rsid w:val="00473FBA"/>
    <w:rsid w:val="004752D5"/>
    <w:rsid w:val="005307F3"/>
    <w:rsid w:val="0053571F"/>
    <w:rsid w:val="00641799"/>
    <w:rsid w:val="00680DF3"/>
    <w:rsid w:val="006D3E92"/>
    <w:rsid w:val="006F34E2"/>
    <w:rsid w:val="00703579"/>
    <w:rsid w:val="00765E1A"/>
    <w:rsid w:val="007F764A"/>
    <w:rsid w:val="0080403A"/>
    <w:rsid w:val="009649E8"/>
    <w:rsid w:val="00A425E4"/>
    <w:rsid w:val="00AE26EC"/>
    <w:rsid w:val="00AF5C1A"/>
    <w:rsid w:val="00B02BD2"/>
    <w:rsid w:val="00B032F9"/>
    <w:rsid w:val="00BE6744"/>
    <w:rsid w:val="00C90861"/>
    <w:rsid w:val="00CB4F6C"/>
    <w:rsid w:val="00D94799"/>
    <w:rsid w:val="00D97E51"/>
    <w:rsid w:val="00DD7FBF"/>
    <w:rsid w:val="00E55221"/>
    <w:rsid w:val="00E966CF"/>
    <w:rsid w:val="00EA4669"/>
    <w:rsid w:val="00EF2655"/>
    <w:rsid w:val="00FC4F2C"/>
    <w:rsid w:val="00FD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1C7C"/>
  <w15:docId w15:val="{E31071DF-5441-4C2B-AB60-C87419ED3B3B}"/>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4A"/>
    <w:pPr>
      <w:overflowPunct w:val="0"/>
      <w:autoSpaceDE w:val="0"/>
      <w:autoSpaceDN w:val="0"/>
      <w:adjustRightInd w:val="0"/>
      <w:spacing w:line="288" w:lineRule="auto"/>
      <w:jc w:val="both"/>
      <w:textAlignment w:val="baseline"/>
    </w:pPr>
    <w:rPr>
      <w:sz w:val="22"/>
      <w:szCs w:val="20"/>
      <w:lang w:eastAsia="en-US"/>
    </w:rPr>
  </w:style>
  <w:style w:type="paragraph" w:styleId="Heading1">
    <w:name w:val="heading 1"/>
    <w:basedOn w:val="Normal"/>
    <w:next w:val="Normal"/>
    <w:qFormat/>
    <w:rsid w:val="007F764A"/>
    <w:pPr>
      <w:numPr>
        <w:numId w:val="1"/>
      </w:numPr>
      <w:ind w:left="720" w:hanging="720"/>
      <w:outlineLvl w:val="0"/>
    </w:pPr>
    <w:rPr>
      <w:kern w:val="28"/>
    </w:rPr>
  </w:style>
  <w:style w:type="paragraph" w:styleId="Heading2">
    <w:name w:val="heading 2"/>
    <w:basedOn w:val="Normal"/>
    <w:next w:val="Normal"/>
    <w:qFormat/>
    <w:rsid w:val="007F764A"/>
    <w:pPr>
      <w:numPr>
        <w:ilvl w:val="1"/>
        <w:numId w:val="1"/>
      </w:numPr>
      <w:ind w:left="720" w:hanging="720"/>
      <w:outlineLvl w:val="1"/>
    </w:pPr>
  </w:style>
  <w:style w:type="paragraph" w:styleId="Heading3">
    <w:name w:val="heading 3"/>
    <w:basedOn w:val="Normal"/>
    <w:next w:val="Normal"/>
    <w:qFormat/>
    <w:rsid w:val="007F764A"/>
    <w:pPr>
      <w:numPr>
        <w:ilvl w:val="2"/>
        <w:numId w:val="1"/>
      </w:numPr>
      <w:ind w:left="720" w:hanging="720"/>
      <w:outlineLvl w:val="2"/>
    </w:pPr>
  </w:style>
  <w:style w:type="paragraph" w:styleId="Heading4">
    <w:name w:val="heading 4"/>
    <w:basedOn w:val="Normal"/>
    <w:next w:val="Normal"/>
    <w:qFormat/>
    <w:rsid w:val="007F764A"/>
    <w:pPr>
      <w:numPr>
        <w:ilvl w:val="3"/>
        <w:numId w:val="1"/>
      </w:numPr>
      <w:ind w:left="720" w:hanging="720"/>
      <w:outlineLvl w:val="3"/>
    </w:pPr>
  </w:style>
  <w:style w:type="paragraph" w:styleId="Heading5">
    <w:name w:val="heading 5"/>
    <w:basedOn w:val="Normal"/>
    <w:next w:val="Normal"/>
    <w:qFormat/>
    <w:rsid w:val="007F764A"/>
    <w:pPr>
      <w:numPr>
        <w:ilvl w:val="4"/>
        <w:numId w:val="1"/>
      </w:numPr>
      <w:ind w:left="720" w:hanging="720"/>
      <w:outlineLvl w:val="4"/>
    </w:pPr>
  </w:style>
  <w:style w:type="paragraph" w:styleId="Heading6">
    <w:name w:val="heading 6"/>
    <w:basedOn w:val="Normal"/>
    <w:next w:val="Normal"/>
    <w:qFormat/>
    <w:rsid w:val="007F764A"/>
    <w:pPr>
      <w:numPr>
        <w:ilvl w:val="5"/>
        <w:numId w:val="1"/>
      </w:numPr>
      <w:ind w:left="720" w:hanging="720"/>
      <w:outlineLvl w:val="5"/>
    </w:pPr>
  </w:style>
  <w:style w:type="paragraph" w:styleId="Heading7">
    <w:name w:val="heading 7"/>
    <w:basedOn w:val="Normal"/>
    <w:next w:val="Normal"/>
    <w:link w:val="Heading7Char"/>
    <w:qFormat/>
    <w:rsid w:val="007F764A"/>
    <w:pPr>
      <w:numPr>
        <w:ilvl w:val="6"/>
        <w:numId w:val="1"/>
      </w:numPr>
      <w:ind w:left="720" w:hanging="720"/>
      <w:outlineLvl w:val="6"/>
    </w:pPr>
  </w:style>
  <w:style w:type="paragraph" w:styleId="Heading8">
    <w:name w:val="heading 8"/>
    <w:basedOn w:val="Normal"/>
    <w:next w:val="Normal"/>
    <w:link w:val="Heading8Char"/>
    <w:qFormat/>
    <w:rsid w:val="007F764A"/>
    <w:pPr>
      <w:numPr>
        <w:ilvl w:val="7"/>
        <w:numId w:val="1"/>
      </w:numPr>
      <w:ind w:left="720" w:hanging="720"/>
      <w:outlineLvl w:val="7"/>
    </w:pPr>
  </w:style>
  <w:style w:type="paragraph" w:styleId="Heading9">
    <w:name w:val="heading 9"/>
    <w:basedOn w:val="Normal"/>
    <w:next w:val="Normal"/>
    <w:link w:val="Heading9Char"/>
    <w:qFormat/>
    <w:rsid w:val="007F764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F764A"/>
    <w:rPr>
      <w:sz w:val="22"/>
      <w:szCs w:val="20"/>
      <w:lang w:eastAsia="en-US"/>
    </w:rPr>
  </w:style>
  <w:style w:type="character" w:customStyle="1" w:styleId="Heading8Char">
    <w:name w:val="Heading 8 Char"/>
    <w:basedOn w:val="DefaultParagraphFont"/>
    <w:link w:val="Heading8"/>
    <w:rsid w:val="007F764A"/>
    <w:rPr>
      <w:sz w:val="22"/>
      <w:szCs w:val="20"/>
      <w:lang w:eastAsia="en-US"/>
    </w:rPr>
  </w:style>
  <w:style w:type="character" w:customStyle="1" w:styleId="Heading9Char">
    <w:name w:val="Heading 9 Char"/>
    <w:basedOn w:val="DefaultParagraphFont"/>
    <w:link w:val="Heading9"/>
    <w:rsid w:val="007F764A"/>
    <w:rPr>
      <w:sz w:val="22"/>
      <w:szCs w:val="20"/>
      <w:lang w:eastAsia="en-US"/>
    </w:rPr>
  </w:style>
  <w:style w:type="paragraph" w:styleId="Footer">
    <w:name w:val="footer"/>
    <w:basedOn w:val="Normal"/>
    <w:link w:val="FooterChar"/>
    <w:rsid w:val="007F764A"/>
  </w:style>
  <w:style w:type="character" w:customStyle="1" w:styleId="FooterChar">
    <w:name w:val="Footer Char"/>
    <w:basedOn w:val="DefaultParagraphFont"/>
    <w:link w:val="Footer"/>
    <w:rsid w:val="007F764A"/>
    <w:rPr>
      <w:sz w:val="22"/>
      <w:szCs w:val="20"/>
      <w:lang w:eastAsia="en-US"/>
    </w:rPr>
  </w:style>
  <w:style w:type="paragraph" w:styleId="FootnoteText">
    <w:name w:val="footnote text"/>
    <w:basedOn w:val="Normal"/>
    <w:link w:val="FootnoteTextChar"/>
    <w:rsid w:val="007F764A"/>
    <w:pPr>
      <w:keepLines/>
      <w:spacing w:after="60" w:line="240" w:lineRule="auto"/>
      <w:ind w:left="720" w:hanging="720"/>
    </w:pPr>
    <w:rPr>
      <w:sz w:val="16"/>
    </w:rPr>
  </w:style>
  <w:style w:type="character" w:customStyle="1" w:styleId="FootnoteTextChar">
    <w:name w:val="Footnote Text Char"/>
    <w:basedOn w:val="DefaultParagraphFont"/>
    <w:link w:val="FootnoteText"/>
    <w:rsid w:val="007F764A"/>
    <w:rPr>
      <w:sz w:val="16"/>
      <w:szCs w:val="20"/>
      <w:lang w:eastAsia="en-US"/>
    </w:rPr>
  </w:style>
  <w:style w:type="paragraph" w:styleId="Header">
    <w:name w:val="header"/>
    <w:basedOn w:val="Normal"/>
    <w:link w:val="HeaderChar"/>
    <w:rsid w:val="007F764A"/>
  </w:style>
  <w:style w:type="character" w:customStyle="1" w:styleId="HeaderChar">
    <w:name w:val="Header Char"/>
    <w:basedOn w:val="DefaultParagraphFont"/>
    <w:link w:val="Header"/>
    <w:rsid w:val="007F764A"/>
    <w:rPr>
      <w:sz w:val="22"/>
      <w:szCs w:val="20"/>
      <w:lang w:eastAsia="en-US"/>
    </w:rPr>
  </w:style>
  <w:style w:type="character" w:styleId="FootnoteReference">
    <w:name w:val="footnote reference"/>
    <w:basedOn w:val="DefaultParagraphFont"/>
    <w:semiHidden/>
    <w:rsid w:val="007F764A"/>
    <w:rPr>
      <w:sz w:val="24"/>
      <w:vertAlign w:val="superscript"/>
    </w:rPr>
  </w:style>
  <w:style w:type="paragraph" w:styleId="BalloonText">
    <w:name w:val="Balloon Text"/>
    <w:basedOn w:val="Normal"/>
    <w:link w:val="BalloonTextChar"/>
    <w:uiPriority w:val="99"/>
    <w:semiHidden/>
    <w:unhideWhenUsed/>
    <w:rsid w:val="00AE2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CTJJHAUHWN5E-1741767729-2295</_dlc_DocId>
    <_dlc_DocIdUrl xmlns="bfc960a6-20da-4c94-8684-71380fca093b">
      <Url>http://dm2016/eesc/2019/_layouts/15/DocIdRedir.aspx?ID=CTJJHAUHWN5E-1741767729-2295</Url>
      <Description>CTJJHAUHWN5E-1741767729-2295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2019-04-02T12:00:00+00:00</ProductionDate>
    <FicheYear xmlns="bfc960a6-20da-4c94-8684-71380fca093b">2019</FicheYear>
    <DocumentNumber xmlns="6cbcf4cf-e730-47de-961e-b7987213c417">1564</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3779</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AEBE2-7288-4854-B84E-8FFEBDB0FD21}"/>
</file>

<file path=customXml/itemProps2.xml><?xml version="1.0" encoding="utf-8"?>
<ds:datastoreItem xmlns:ds="http://schemas.openxmlformats.org/officeDocument/2006/customXml" ds:itemID="{05354CA0-7B69-48FB-88C5-10FAAE239BBC}"/>
</file>

<file path=customXml/itemProps3.xml><?xml version="1.0" encoding="utf-8"?>
<ds:datastoreItem xmlns:ds="http://schemas.openxmlformats.org/officeDocument/2006/customXml" ds:itemID="{83E65A81-778B-429B-A613-702D2F7B28F5}"/>
</file>

<file path=customXml/itemProps4.xml><?xml version="1.0" encoding="utf-8"?>
<ds:datastoreItem xmlns:ds="http://schemas.openxmlformats.org/officeDocument/2006/customXml" ds:itemID="{76315D5C-BA15-4ABC-B1E2-8ECA8C7FA0E4}"/>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Employers' Group Declaration - for printing</vt:lpstr>
    </vt:vector>
  </TitlesOfParts>
  <Company>EESC-ECOR</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Arbetsgivargruppens förklaring - för tryck</dc:title>
  <dc:subject>Informationsdokument</dc:subject>
  <dc:creator>Jarosz Leszek</dc:creator>
  <cp:keywords>EESC-2019-01564-00-01-INFO-TRA-EN</cp:keywords>
  <dc:description>Rapporteur:  - Original language: EN - Date of document: 02/04/2019 - Date of meeting:  - External documents:  - Administrator: M. Jarosz Leszek</dc:description>
  <cp:lastModifiedBy>mtuom</cp:lastModifiedBy>
  <cp:revision>5</cp:revision>
  <dcterms:created xsi:type="dcterms:W3CDTF">2019-04-01T14:48:00Z</dcterms:created>
  <dcterms:modified xsi:type="dcterms:W3CDTF">2019-04-02T06:48:00Z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26/03/2019, 26/03/2019</vt:lpwstr>
  </property>
  <property fmtid="{D5CDD505-2E9C-101B-9397-08002B2CF9AE}" pid="4" name="Pref_Time">
    <vt:lpwstr>10:18:06, 10:05:06</vt:lpwstr>
  </property>
  <property fmtid="{D5CDD505-2E9C-101B-9397-08002B2CF9AE}" pid="5" name="Pref_User">
    <vt:lpwstr>mkop, htoo</vt:lpwstr>
  </property>
  <property fmtid="{D5CDD505-2E9C-101B-9397-08002B2CF9AE}" pid="6" name="Pref_FileName">
    <vt:lpwstr>EESC-2019-01564-00-00-INFO-TRA-EN-CRR.docx, EESC-2019-01564-00-00-INFO-CRR-EN.docx</vt:lpwstr>
  </property>
  <property fmtid="{D5CDD505-2E9C-101B-9397-08002B2CF9AE}" pid="7" name="ContentTypeId">
    <vt:lpwstr>0x010100EA97B91038054C99906057A708A1480A007BD53362FFBC664E91C0C82BDF70E843</vt:lpwstr>
  </property>
  <property fmtid="{D5CDD505-2E9C-101B-9397-08002B2CF9AE}" pid="8" name="_dlc_DocIdItemGuid">
    <vt:lpwstr>94608c21-6992-41e4-9fda-982de374e030</vt:lpwstr>
  </property>
  <property fmtid="{D5CDD505-2E9C-101B-9397-08002B2CF9AE}" pid="9" name="AvailableTranslations">
    <vt:lpwstr>60;#HU|6b229040-c589-4408-b4c1-4285663d20a8;#21;#IT|0774613c-01ed-4e5d-a25d-11d2388de825;#59;#HR|2f555653-ed1a-4fe6-8362-9082d95989e5;#46;#CS|72f9705b-0217-4fd3-bea2-cbc7ed80e26e;#48;#LT|a7ff5ce7-6123-4f68-865a-a57c31810414;#52;#DA|5d49c027-8956-412b-aa16-e85a0f96ad0e;#14;#DE|f6b31e5a-26fa-4935-b661-318e46daf27e;#56;#SL|98a412ae-eb01-49e9-ae3d-585a81724cfc;#16;#PL|1e03da61-4678-4e07-b136-b5024ca9197b;#38;#SV|c2ed69e7-a339-43d7-8f22-d93680a92aa0;#58;#LV|46f7e311-5d9f-4663-b433-18aeccb7ace7;#25;#SK|46d9fce0-ef79-4f71-b89b-cd6aa82426b8;#10;#FR|d2afafd3-4c81-4f60-8f52-ee33f2f54ff3;#4;#EN|f2175f21-25d7-44a3-96da-d6a61b075e1b;#62;#FI|87606a43-d45f-42d6-b8c9-e1a3457db5b7;#57;#RO|feb747a2-64cd-4299-af12-4833ddc30497;#45;#NL|55c6556c-b4f4-441d-9acf-c498d4f838bd;#65;#ET|ff6c3f4c-b02c-4c3c-ab07-2c37995a7a0a;#63;#MT|7df99101-6854-4a26-b53a-b88c0da02c26;#64;#PT|50ccc04a-eadd-42ae-a0cb-acaf45f812ba;#17;#ES|e7a6b05b-ae16-40c8-add9-68b64b03aeba;#49;#EL|6d4f4d51-af9b-4650-94b4-4276bee85c91;#55;#BG|1a1b3951-7821-4e6a-85f5-5673fc08bd2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1564</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IT|0774613c-01ed-4e5d-a25d-11d2388de825;HR|2f555653-ed1a-4fe6-8362-9082d95989e5;CS|72f9705b-0217-4fd3-bea2-cbc7ed80e26e;DE|f6b31e5a-26fa-4935-b661-318e46daf27e;EN|f2175f21-25d7-44a3-96da-d6a61b075e1b;FI|87606a43-d45f-42d6-b8c9-e1a3457db5b7;RO|feb747a2-64cd-4299-af12-4833ddc30497;NL|55c6556c-b4f4-441d-9acf-c498d4f838bd;MT|7df99101-6854-4a26-b53a-b88c0da02c26;PT|50ccc04a-eadd-42ae-a0cb-acaf45f812ba;ES|e7a6b05b-ae16-40c8-add9-68b64b03aeba;BG|1a1b3951-7821-4e6a-85f5-5673fc08bd2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64;#PT|50ccc04a-eadd-42ae-a0cb-acaf45f812ba;#63;#MT|7df99101-6854-4a26-b53a-b88c0da02c26;#62;#FI|87606a43-d45f-42d6-b8c9-e1a3457db5b7;#59;#HR|2f555653-ed1a-4fe6-8362-9082d95989e5;#21;#IT|0774613c-01ed-4e5d-a25d-11d2388de825;#57;#RO|feb747a2-64cd-4299-af12-4833ddc30497;#55;#BG|1a1b3951-7821-4e6a-85f5-5673fc08bd2c;#17;#ES|e7a6b05b-ae16-40c8-add9-68b64b03aeba;#14;#DE|f6b31e5a-26fa-4935-b661-318e46daf27e;#11;#INFO|d9136e7c-93a9-4c42-9d28-92b61e85f80c;#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3779</vt:i4>
  </property>
  <property fmtid="{D5CDD505-2E9C-101B-9397-08002B2CF9AE}" pid="37" name="DocumentLanguage">
    <vt:lpwstr>38;#SV|c2ed69e7-a339-43d7-8f22-d93680a92aa0</vt:lpwstr>
  </property>
</Properties>
</file>