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BD7" w:rsidRPr="004A2420" w:rsidRDefault="004A2420" w:rsidP="00A50B8D">
      <w:pPr>
        <w:spacing w:after="100" w:line="240" w:lineRule="auto"/>
        <w:jc w:val="center"/>
        <w:rPr>
          <w:rFonts w:eastAsia="Arial" w:cs="Arial"/>
          <w:b/>
          <w:color w:val="000000"/>
          <w:sz w:val="28"/>
          <w:szCs w:val="28"/>
        </w:rPr>
      </w:pPr>
      <w:r>
        <w:rPr>
          <w:noProof/>
          <w:lang w:val="en-US" w:eastAsia="en-US" w:bidi="ar-SA"/>
        </w:rPr>
        <w:drawing>
          <wp:anchor distT="0" distB="0" distL="114300" distR="114300" simplePos="0" relativeHeight="251658240" behindDoc="0" locked="0" layoutInCell="1" allowOverlap="1" wp14:anchorId="11FA2882" wp14:editId="44F0D0DA">
            <wp:simplePos x="0" y="0"/>
            <wp:positionH relativeFrom="column">
              <wp:posOffset>580390</wp:posOffset>
            </wp:positionH>
            <wp:positionV relativeFrom="paragraph">
              <wp:posOffset>-64135</wp:posOffset>
            </wp:positionV>
            <wp:extent cx="4572635" cy="2743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14:sizeRelH relativeFrom="page">
              <wp14:pctWidth>0</wp14:pctWidth>
            </wp14:sizeRelH>
            <wp14:sizeRelV relativeFrom="page">
              <wp14:pctHeight>0</wp14:pctHeight>
            </wp14:sizeRelV>
          </wp:anchor>
        </w:drawing>
      </w:r>
      <w:r>
        <w:rPr>
          <w:b/>
          <w:color w:val="000000"/>
          <w:sz w:val="28"/>
        </w:rPr>
        <w:t>Atelier nº 6</w:t>
      </w:r>
    </w:p>
    <w:p w:rsidR="00C54BD7" w:rsidRDefault="00A10917" w:rsidP="00A50B8D">
      <w:pPr>
        <w:pBdr>
          <w:top w:val="nil"/>
          <w:left w:val="nil"/>
          <w:bottom w:val="nil"/>
          <w:right w:val="nil"/>
          <w:between w:val="nil"/>
        </w:pBdr>
        <w:spacing w:after="100" w:line="240" w:lineRule="auto"/>
        <w:jc w:val="center"/>
        <w:rPr>
          <w:rFonts w:ascii="Arial" w:eastAsia="Arial" w:hAnsi="Arial" w:cs="Arial"/>
          <w:b/>
          <w:color w:val="000000"/>
        </w:rPr>
      </w:pPr>
      <w:r>
        <w:rPr>
          <w:b/>
          <w:color w:val="000000"/>
          <w:sz w:val="28"/>
        </w:rPr>
        <w:t>L’intelligence artificielle en tant que bien commun</w:t>
      </w:r>
    </w:p>
    <w:p w:rsidR="004A2420" w:rsidRPr="004A2420" w:rsidRDefault="004A2420" w:rsidP="00A50B8D">
      <w:pPr>
        <w:pBdr>
          <w:top w:val="nil"/>
          <w:left w:val="nil"/>
          <w:bottom w:val="nil"/>
          <w:right w:val="nil"/>
          <w:between w:val="nil"/>
        </w:pBdr>
        <w:spacing w:after="100" w:line="240" w:lineRule="auto"/>
        <w:jc w:val="center"/>
        <w:rPr>
          <w:rFonts w:eastAsia="Arial" w:cs="Arial"/>
          <w:b/>
          <w:color w:val="000000"/>
          <w:sz w:val="28"/>
          <w:szCs w:val="28"/>
        </w:rPr>
      </w:pPr>
      <w:r>
        <w:rPr>
          <w:b/>
          <w:color w:val="000000"/>
          <w:sz w:val="28"/>
        </w:rPr>
        <w:t>JDE 63</w:t>
      </w:r>
    </w:p>
    <w:p w:rsidR="00A10917" w:rsidRPr="004A2420" w:rsidRDefault="004A2420" w:rsidP="00A50B8D">
      <w:pPr>
        <w:pBdr>
          <w:top w:val="nil"/>
          <w:left w:val="nil"/>
          <w:bottom w:val="nil"/>
          <w:right w:val="nil"/>
          <w:between w:val="nil"/>
        </w:pBdr>
        <w:spacing w:after="100" w:line="240" w:lineRule="auto"/>
        <w:jc w:val="center"/>
        <w:rPr>
          <w:rFonts w:eastAsia="Arial" w:cs="Arial"/>
          <w:b/>
          <w:color w:val="000000"/>
          <w:sz w:val="28"/>
          <w:szCs w:val="28"/>
        </w:rPr>
      </w:pPr>
      <w:r>
        <w:rPr>
          <w:b/>
          <w:color w:val="000000"/>
          <w:sz w:val="28"/>
        </w:rPr>
        <w:t>Vendredi 25 mai 2018, 9 h 30 – 1</w:t>
      </w:r>
      <w:r w:rsidR="00DD303C">
        <w:rPr>
          <w:b/>
          <w:color w:val="000000"/>
          <w:sz w:val="28"/>
        </w:rPr>
        <w:t>1</w:t>
      </w:r>
      <w:r>
        <w:rPr>
          <w:b/>
          <w:color w:val="000000"/>
          <w:sz w:val="28"/>
        </w:rPr>
        <w:t> h </w:t>
      </w:r>
      <w:r w:rsidR="00DD303C">
        <w:rPr>
          <w:b/>
          <w:color w:val="000000"/>
          <w:sz w:val="28"/>
        </w:rPr>
        <w:t>30</w:t>
      </w:r>
    </w:p>
    <w:p w:rsidR="004A2420" w:rsidRPr="00A50B8D" w:rsidRDefault="001C4E65" w:rsidP="00C54BD7">
      <w:pPr>
        <w:pBdr>
          <w:top w:val="nil"/>
          <w:left w:val="nil"/>
          <w:bottom w:val="nil"/>
          <w:right w:val="nil"/>
          <w:between w:val="nil"/>
        </w:pBdr>
        <w:spacing w:after="0"/>
        <w:jc w:val="center"/>
        <w:rPr>
          <w:rFonts w:ascii="Arial" w:eastAsia="Arial" w:hAnsi="Arial" w:cs="Arial"/>
          <w:color w:val="000000"/>
          <w:sz w:val="16"/>
          <w:szCs w:val="16"/>
        </w:rPr>
      </w:pPr>
      <w:r w:rsidRPr="00A50B8D">
        <w:rPr>
          <w:rFonts w:ascii="Arial" w:eastAsia="Arial" w:hAnsi="Arial" w:cs="Arial"/>
          <w:noProof/>
          <w:color w:val="000000"/>
          <w:sz w:val="16"/>
          <w:szCs w:val="16"/>
          <w:lang w:val="en-US" w:eastAsia="en-US" w:bidi="ar-SA"/>
        </w:rPr>
        <mc:AlternateContent>
          <mc:Choice Requires="wps">
            <w:drawing>
              <wp:anchor distT="0" distB="0" distL="114300" distR="114300" simplePos="0" relativeHeight="251660288" behindDoc="1" locked="0" layoutInCell="0" allowOverlap="1" wp14:anchorId="7F514981" wp14:editId="6C7DDA96">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E65" w:rsidRPr="00260E65" w:rsidRDefault="001C4E65">
                            <w:pPr>
                              <w:jc w:val="center"/>
                              <w:rPr>
                                <w:rFonts w:ascii="Arial" w:hAnsi="Arial" w:cs="Arial"/>
                                <w:b/>
                                <w:bCs/>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17" style="position:absolute;left:0;text-align:left;margin-left:533pt;margin-top:793.8pt;width:51pt;height:3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1C4E65" w:rsidRDefault="001C4E65">
                      <w:pPr>
                        <w:jc w:val="center"/>
                        <w:rPr>
                          <w:rFonts w:ascii="Arial" w:hAnsi="Arial" w:cs="Arial"/>
                          <w:b/>
                          <w:bCs/>
                          <w:sz w:val="48"/>
                        </w:rPr>
                      </w:pPr>
                      <w:r>
                        <w:rPr>
                          <w:rFonts w:ascii="Arial" w:hAnsi="Arial"/>
                          <w:b/>
                          <w:sz w:val="48"/>
                        </w:rPr>
                        <w:t>FR</w:t>
                      </w:r>
                    </w:p>
                  </w:txbxContent>
                </v:textbox>
                <w10:wrap xmlns:w10="urn:schemas-microsoft-com:office:word" anchorx="page" anchory="page"/>
              </v:shape>
            </w:pict>
          </mc:Fallback>
        </mc:AlternateContent>
      </w:r>
    </w:p>
    <w:p w:rsidR="004311F6" w:rsidRDefault="00C54BD7" w:rsidP="00A50B8D">
      <w:pPr>
        <w:pBdr>
          <w:top w:val="nil"/>
          <w:left w:val="nil"/>
          <w:bottom w:val="nil"/>
          <w:right w:val="nil"/>
          <w:between w:val="nil"/>
        </w:pBdr>
        <w:spacing w:after="0" w:line="240" w:lineRule="auto"/>
        <w:jc w:val="center"/>
        <w:rPr>
          <w:rFonts w:eastAsia="Arial" w:cs="Arial"/>
          <w:color w:val="000000"/>
        </w:rPr>
      </w:pPr>
      <w:r>
        <w:rPr>
          <w:color w:val="000000"/>
        </w:rPr>
        <w:t xml:space="preserve">Organisé par </w:t>
      </w:r>
      <w:proofErr w:type="spellStart"/>
      <w:r>
        <w:rPr>
          <w:color w:val="000000"/>
        </w:rPr>
        <w:t>Solidar</w:t>
      </w:r>
      <w:proofErr w:type="spellEnd"/>
      <w:r>
        <w:rPr>
          <w:color w:val="000000"/>
        </w:rPr>
        <w:t xml:space="preserve"> </w:t>
      </w:r>
      <w:r w:rsidR="00A50B8D">
        <w:rPr>
          <w:color w:val="000000"/>
        </w:rPr>
        <w:br/>
      </w:r>
      <w:r>
        <w:rPr>
          <w:color w:val="000000"/>
        </w:rPr>
        <w:t xml:space="preserve">et la section spécialisée «Marché unique, production et consommation» du CESE </w:t>
      </w:r>
    </w:p>
    <w:p w:rsidR="00665CDF" w:rsidRPr="00A50B8D" w:rsidRDefault="00665CDF" w:rsidP="00A50B8D">
      <w:pPr>
        <w:pBdr>
          <w:top w:val="nil"/>
          <w:left w:val="nil"/>
          <w:bottom w:val="nil"/>
          <w:right w:val="nil"/>
          <w:between w:val="nil"/>
        </w:pBdr>
        <w:spacing w:after="0"/>
        <w:jc w:val="both"/>
        <w:rPr>
          <w:rFonts w:eastAsia="Arial" w:cs="Arial"/>
          <w:color w:val="000000"/>
          <w:sz w:val="16"/>
          <w:szCs w:val="16"/>
        </w:rPr>
      </w:pPr>
    </w:p>
    <w:p w:rsidR="001C4E65" w:rsidRPr="00A50B8D" w:rsidRDefault="001C4E65" w:rsidP="00A50B8D">
      <w:pPr>
        <w:pBdr>
          <w:top w:val="nil"/>
          <w:left w:val="nil"/>
          <w:bottom w:val="nil"/>
          <w:right w:val="nil"/>
          <w:between w:val="nil"/>
        </w:pBdr>
        <w:spacing w:after="0"/>
        <w:jc w:val="both"/>
        <w:rPr>
          <w:rFonts w:eastAsia="Arial" w:cs="Arial"/>
          <w:color w:val="000000"/>
          <w:sz w:val="16"/>
          <w:szCs w:val="16"/>
        </w:rPr>
      </w:pPr>
    </w:p>
    <w:p w:rsidR="00884118" w:rsidRPr="004311F6" w:rsidRDefault="00884118" w:rsidP="00884118">
      <w:pPr>
        <w:tabs>
          <w:tab w:val="left" w:pos="1560"/>
        </w:tabs>
        <w:spacing w:after="0"/>
        <w:jc w:val="both"/>
        <w:rPr>
          <w:b/>
          <w:sz w:val="32"/>
          <w:szCs w:val="32"/>
        </w:rPr>
      </w:pPr>
      <w:r>
        <w:rPr>
          <w:b/>
          <w:color w:val="17365D" w:themeColor="text2" w:themeShade="BF"/>
          <w:sz w:val="32"/>
        </w:rPr>
        <w:t>Programme</w:t>
      </w:r>
    </w:p>
    <w:p w:rsidR="00814B42" w:rsidRPr="00814B42" w:rsidRDefault="00814B42" w:rsidP="00814B42">
      <w:pPr>
        <w:tabs>
          <w:tab w:val="left" w:pos="1560"/>
        </w:tabs>
        <w:spacing w:after="0"/>
        <w:contextualSpacing/>
        <w:jc w:val="both"/>
        <w:rPr>
          <w:b/>
          <w:lang w:val="fr-BE" w:eastAsia="en-US"/>
        </w:rPr>
      </w:pPr>
      <w:r w:rsidRPr="00814B42">
        <w:rPr>
          <w:b/>
          <w:lang w:val="fr-BE" w:eastAsia="en-US"/>
        </w:rPr>
        <w:t>9h30 – 9h35</w:t>
      </w:r>
      <w:r w:rsidRPr="00814B42">
        <w:rPr>
          <w:b/>
          <w:lang w:val="fr-BE" w:eastAsia="en-US"/>
        </w:rPr>
        <w:tab/>
        <w:t xml:space="preserve"> Allocution de bienvenue et explication du déroulement de l'atelier</w:t>
      </w:r>
    </w:p>
    <w:p w:rsidR="00814B42" w:rsidRPr="00814B42" w:rsidRDefault="00814B42" w:rsidP="00814B42">
      <w:pPr>
        <w:tabs>
          <w:tab w:val="left" w:pos="1560"/>
        </w:tabs>
        <w:spacing w:after="0"/>
        <w:contextualSpacing/>
        <w:jc w:val="both"/>
        <w:rPr>
          <w:lang w:val="fr-BE" w:eastAsia="en-US"/>
        </w:rPr>
      </w:pPr>
      <w:r w:rsidRPr="00814B42">
        <w:rPr>
          <w:lang w:val="fr-BE" w:eastAsia="en-US"/>
        </w:rPr>
        <w:tab/>
      </w:r>
      <w:proofErr w:type="spellStart"/>
      <w:r w:rsidRPr="00814B42">
        <w:rPr>
          <w:b/>
          <w:lang w:val="fr-BE" w:eastAsia="en-US"/>
        </w:rPr>
        <w:t>Lenneke</w:t>
      </w:r>
      <w:proofErr w:type="spellEnd"/>
      <w:r w:rsidRPr="00814B42">
        <w:rPr>
          <w:b/>
          <w:lang w:val="fr-BE" w:eastAsia="en-US"/>
        </w:rPr>
        <w:t xml:space="preserve"> </w:t>
      </w:r>
      <w:proofErr w:type="spellStart"/>
      <w:r w:rsidRPr="00814B42">
        <w:rPr>
          <w:b/>
          <w:lang w:val="fr-BE" w:eastAsia="en-US"/>
        </w:rPr>
        <w:t>Hoedemaker</w:t>
      </w:r>
      <w:proofErr w:type="spellEnd"/>
      <w:r w:rsidRPr="00814B42">
        <w:rPr>
          <w:lang w:val="fr-BE" w:eastAsia="en-US"/>
        </w:rPr>
        <w:t>, modératrice</w:t>
      </w:r>
    </w:p>
    <w:p w:rsidR="00814B42" w:rsidRPr="00814B42" w:rsidRDefault="00814B42" w:rsidP="00814B42">
      <w:pPr>
        <w:tabs>
          <w:tab w:val="left" w:pos="1560"/>
        </w:tabs>
        <w:spacing w:after="0"/>
        <w:contextualSpacing/>
        <w:jc w:val="both"/>
        <w:rPr>
          <w:lang w:val="fr-BE" w:eastAsia="en-US"/>
        </w:rPr>
      </w:pPr>
    </w:p>
    <w:p w:rsidR="00814B42" w:rsidRPr="00814B42" w:rsidRDefault="00814B42" w:rsidP="00814B42">
      <w:pPr>
        <w:tabs>
          <w:tab w:val="left" w:pos="1560"/>
        </w:tabs>
        <w:spacing w:after="0"/>
        <w:contextualSpacing/>
        <w:jc w:val="both"/>
        <w:rPr>
          <w:b/>
          <w:lang w:val="fr-BE" w:eastAsia="en-US"/>
        </w:rPr>
      </w:pPr>
      <w:r w:rsidRPr="00814B42">
        <w:rPr>
          <w:b/>
          <w:lang w:val="fr-BE" w:eastAsia="en-US"/>
        </w:rPr>
        <w:t>9h35 – 9h50</w:t>
      </w:r>
      <w:r w:rsidRPr="00814B42">
        <w:rPr>
          <w:b/>
          <w:lang w:val="fr-BE" w:eastAsia="en-US"/>
        </w:rPr>
        <w:tab/>
        <w:t xml:space="preserve"> Vue d'ensemble - domaines d'impact sociétal de l'IA</w:t>
      </w:r>
    </w:p>
    <w:p w:rsidR="00814B42" w:rsidRPr="00814B42" w:rsidRDefault="00814B42" w:rsidP="00814B42">
      <w:pPr>
        <w:tabs>
          <w:tab w:val="left" w:pos="1560"/>
        </w:tabs>
        <w:spacing w:after="0"/>
        <w:contextualSpacing/>
        <w:jc w:val="both"/>
        <w:rPr>
          <w:lang w:val="fr-BE" w:eastAsia="en-US"/>
        </w:rPr>
      </w:pPr>
      <w:r w:rsidRPr="00814B42">
        <w:rPr>
          <w:b/>
          <w:lang w:val="fr-BE" w:eastAsia="en-US"/>
        </w:rPr>
        <w:tab/>
      </w:r>
      <w:proofErr w:type="spellStart"/>
      <w:r w:rsidRPr="00814B42">
        <w:rPr>
          <w:b/>
          <w:lang w:val="fr-BE" w:eastAsia="en-US"/>
        </w:rPr>
        <w:t>Catelijne</w:t>
      </w:r>
      <w:proofErr w:type="spellEnd"/>
      <w:r w:rsidRPr="00814B42">
        <w:rPr>
          <w:b/>
          <w:lang w:val="fr-BE" w:eastAsia="en-US"/>
        </w:rPr>
        <w:t xml:space="preserve"> Muller</w:t>
      </w:r>
      <w:r w:rsidRPr="00814B42">
        <w:rPr>
          <w:lang w:val="fr-BE" w:eastAsia="en-US"/>
        </w:rPr>
        <w:t>, rapporteuse de l’avis sur l’intelligence artificielle, CESE</w:t>
      </w:r>
    </w:p>
    <w:p w:rsidR="00814B42" w:rsidRPr="00814B42" w:rsidRDefault="00814B42" w:rsidP="00814B42">
      <w:pPr>
        <w:tabs>
          <w:tab w:val="left" w:pos="1560"/>
        </w:tabs>
        <w:spacing w:after="0"/>
        <w:contextualSpacing/>
        <w:jc w:val="both"/>
        <w:rPr>
          <w:lang w:val="fr-BE" w:eastAsia="en-US"/>
        </w:rPr>
      </w:pPr>
    </w:p>
    <w:p w:rsidR="00814B42" w:rsidRPr="00814B42" w:rsidRDefault="00814B42" w:rsidP="00814B42">
      <w:pPr>
        <w:tabs>
          <w:tab w:val="left" w:pos="1560"/>
        </w:tabs>
        <w:spacing w:after="0"/>
        <w:contextualSpacing/>
        <w:jc w:val="both"/>
        <w:rPr>
          <w:b/>
          <w:lang w:val="fr-BE" w:eastAsia="en-US"/>
        </w:rPr>
      </w:pPr>
      <w:r w:rsidRPr="00814B42">
        <w:rPr>
          <w:b/>
          <w:lang w:val="fr-BE" w:eastAsia="en-US"/>
        </w:rPr>
        <w:t>9h50 – 11h20</w:t>
      </w:r>
      <w:r w:rsidRPr="00814B42">
        <w:rPr>
          <w:b/>
          <w:lang w:val="fr-BE" w:eastAsia="en-US"/>
        </w:rPr>
        <w:tab/>
        <w:t xml:space="preserve"> Table ronde et échange avec le public</w:t>
      </w:r>
    </w:p>
    <w:p w:rsidR="00814B42" w:rsidRPr="00814B42" w:rsidRDefault="00814B42" w:rsidP="00814B42">
      <w:pPr>
        <w:tabs>
          <w:tab w:val="left" w:pos="1560"/>
        </w:tabs>
        <w:spacing w:after="0"/>
        <w:contextualSpacing/>
        <w:jc w:val="both"/>
        <w:rPr>
          <w:b/>
          <w:lang w:val="fr-BE" w:eastAsia="en-US"/>
        </w:rPr>
      </w:pPr>
    </w:p>
    <w:p w:rsidR="00814B42" w:rsidRPr="00814B42" w:rsidRDefault="00814B42" w:rsidP="00814B42">
      <w:pPr>
        <w:tabs>
          <w:tab w:val="left" w:pos="1560"/>
        </w:tabs>
        <w:spacing w:after="0"/>
        <w:contextualSpacing/>
        <w:jc w:val="both"/>
        <w:rPr>
          <w:b/>
          <w:lang w:val="fr-BE" w:eastAsia="en-US"/>
        </w:rPr>
      </w:pPr>
      <w:r w:rsidRPr="00814B42">
        <w:rPr>
          <w:b/>
          <w:lang w:val="fr-BE" w:eastAsia="en-US"/>
        </w:rPr>
        <w:tab/>
        <w:t>Comment s'assurer que l'IA améliore la société dans son ensemble?</w:t>
      </w:r>
    </w:p>
    <w:p w:rsidR="00814B42" w:rsidRPr="00814B42" w:rsidRDefault="00814B42" w:rsidP="00814B42">
      <w:pPr>
        <w:tabs>
          <w:tab w:val="left" w:pos="1560"/>
        </w:tabs>
        <w:spacing w:after="0"/>
        <w:contextualSpacing/>
        <w:jc w:val="both"/>
        <w:rPr>
          <w:lang w:val="fr-BE" w:eastAsia="en-US"/>
        </w:rPr>
      </w:pPr>
      <w:r w:rsidRPr="00814B42">
        <w:rPr>
          <w:b/>
          <w:lang w:val="fr-BE" w:eastAsia="en-US"/>
        </w:rPr>
        <w:tab/>
        <w:t xml:space="preserve">Paul </w:t>
      </w:r>
      <w:proofErr w:type="spellStart"/>
      <w:r w:rsidRPr="00814B42">
        <w:rPr>
          <w:b/>
          <w:lang w:val="fr-BE" w:eastAsia="en-US"/>
        </w:rPr>
        <w:t>Lukowicz</w:t>
      </w:r>
      <w:proofErr w:type="spellEnd"/>
      <w:r w:rsidRPr="00814B42">
        <w:rPr>
          <w:lang w:val="fr-BE" w:eastAsia="en-US"/>
        </w:rPr>
        <w:t xml:space="preserve">, département «Intelligence embarquée», Centre allemand de </w:t>
      </w:r>
      <w:r w:rsidRPr="00814B42">
        <w:rPr>
          <w:lang w:val="fr-BE" w:eastAsia="en-US"/>
        </w:rPr>
        <w:tab/>
        <w:t>recherche sur l’intelligence artificielle (DFKI)</w:t>
      </w:r>
    </w:p>
    <w:p w:rsidR="00814B42" w:rsidRPr="00814B42" w:rsidRDefault="00814B42" w:rsidP="00814B42">
      <w:pPr>
        <w:tabs>
          <w:tab w:val="left" w:pos="1560"/>
        </w:tabs>
        <w:spacing w:after="0"/>
        <w:contextualSpacing/>
        <w:jc w:val="both"/>
        <w:rPr>
          <w:i/>
          <w:lang w:val="fr-BE" w:eastAsia="en-US"/>
        </w:rPr>
      </w:pPr>
    </w:p>
    <w:p w:rsidR="00814B42" w:rsidRPr="00814B42" w:rsidRDefault="00814B42" w:rsidP="00814B42">
      <w:pPr>
        <w:tabs>
          <w:tab w:val="left" w:pos="1560"/>
        </w:tabs>
        <w:spacing w:after="0"/>
        <w:contextualSpacing/>
        <w:jc w:val="both"/>
        <w:rPr>
          <w:b/>
          <w:lang w:val="fr-BE" w:eastAsia="en-US"/>
        </w:rPr>
      </w:pPr>
      <w:r w:rsidRPr="00814B42">
        <w:rPr>
          <w:b/>
          <w:lang w:val="fr-BE" w:eastAsia="en-US"/>
        </w:rPr>
        <w:tab/>
        <w:t xml:space="preserve">L'IA en tant que bien commun: les opportunités d'utiliser l'IA pour </w:t>
      </w:r>
      <w:r w:rsidRPr="00814B42">
        <w:rPr>
          <w:b/>
          <w:lang w:val="fr-BE" w:eastAsia="en-US"/>
        </w:rPr>
        <w:tab/>
        <w:t xml:space="preserve">résoudre les </w:t>
      </w:r>
      <w:r>
        <w:rPr>
          <w:b/>
          <w:lang w:val="fr-BE" w:eastAsia="en-US"/>
        </w:rPr>
        <w:tab/>
      </w:r>
      <w:r w:rsidRPr="00814B42">
        <w:rPr>
          <w:b/>
          <w:lang w:val="fr-BE" w:eastAsia="en-US"/>
        </w:rPr>
        <w:t xml:space="preserve">grands défis sociétaux </w:t>
      </w:r>
    </w:p>
    <w:p w:rsidR="00814B42" w:rsidRPr="00814B42" w:rsidRDefault="00814B42" w:rsidP="00814B42">
      <w:pPr>
        <w:tabs>
          <w:tab w:val="left" w:pos="1560"/>
        </w:tabs>
        <w:spacing w:after="0"/>
        <w:contextualSpacing/>
        <w:jc w:val="both"/>
        <w:rPr>
          <w:lang w:val="fr-BE" w:eastAsia="en-US"/>
        </w:rPr>
      </w:pPr>
      <w:r w:rsidRPr="00814B42">
        <w:rPr>
          <w:b/>
          <w:lang w:val="fr-BE" w:eastAsia="en-US"/>
        </w:rPr>
        <w:tab/>
      </w:r>
      <w:proofErr w:type="spellStart"/>
      <w:r w:rsidRPr="00814B42">
        <w:rPr>
          <w:b/>
          <w:lang w:val="fr-BE" w:eastAsia="en-US"/>
        </w:rPr>
        <w:t>Chiara</w:t>
      </w:r>
      <w:proofErr w:type="spellEnd"/>
      <w:r w:rsidRPr="00814B42">
        <w:rPr>
          <w:b/>
          <w:lang w:val="fr-BE" w:eastAsia="en-US"/>
        </w:rPr>
        <w:t xml:space="preserve"> </w:t>
      </w:r>
      <w:proofErr w:type="spellStart"/>
      <w:r w:rsidRPr="00814B42">
        <w:rPr>
          <w:b/>
          <w:lang w:val="fr-BE" w:eastAsia="en-US"/>
        </w:rPr>
        <w:t>Tomasi</w:t>
      </w:r>
      <w:proofErr w:type="spellEnd"/>
      <w:r w:rsidRPr="00814B42">
        <w:rPr>
          <w:lang w:val="fr-BE" w:eastAsia="en-US"/>
        </w:rPr>
        <w:t>, Analyste des politi</w:t>
      </w:r>
      <w:r>
        <w:rPr>
          <w:lang w:val="fr-BE" w:eastAsia="en-US"/>
        </w:rPr>
        <w:t xml:space="preserve">ques publiques et des relations </w:t>
      </w:r>
      <w:r>
        <w:rPr>
          <w:lang w:val="fr-BE" w:eastAsia="en-US"/>
        </w:rPr>
        <w:tab/>
      </w:r>
      <w:r w:rsidRPr="00814B42">
        <w:rPr>
          <w:lang w:val="fr-BE" w:eastAsia="en-US"/>
        </w:rPr>
        <w:t>gouvernementales, Google</w:t>
      </w:r>
    </w:p>
    <w:p w:rsidR="00814B42" w:rsidRPr="00814B42" w:rsidRDefault="00814B42" w:rsidP="00814B42">
      <w:pPr>
        <w:tabs>
          <w:tab w:val="left" w:pos="1560"/>
        </w:tabs>
        <w:spacing w:after="0"/>
        <w:contextualSpacing/>
        <w:jc w:val="both"/>
        <w:rPr>
          <w:i/>
          <w:lang w:val="fr-BE" w:eastAsia="en-US"/>
        </w:rPr>
      </w:pPr>
    </w:p>
    <w:p w:rsidR="00814B42" w:rsidRPr="00814B42" w:rsidRDefault="00814B42" w:rsidP="00814B42">
      <w:pPr>
        <w:tabs>
          <w:tab w:val="left" w:pos="1560"/>
        </w:tabs>
        <w:spacing w:after="0"/>
        <w:contextualSpacing/>
        <w:jc w:val="both"/>
        <w:rPr>
          <w:b/>
          <w:lang w:val="fr-BE" w:eastAsia="en-US"/>
        </w:rPr>
      </w:pPr>
      <w:r w:rsidRPr="00814B42">
        <w:rPr>
          <w:b/>
          <w:lang w:val="fr-BE" w:eastAsia="en-US"/>
        </w:rPr>
        <w:lastRenderedPageBreak/>
        <w:tab/>
        <w:t xml:space="preserve">Caractéristiques et effets des processus de prise de décision </w:t>
      </w:r>
      <w:r>
        <w:rPr>
          <w:b/>
          <w:lang w:val="fr-BE" w:eastAsia="en-US"/>
        </w:rPr>
        <w:tab/>
      </w:r>
      <w:r w:rsidRPr="00814B42">
        <w:rPr>
          <w:b/>
          <w:lang w:val="fr-BE" w:eastAsia="en-US"/>
        </w:rPr>
        <w:t>algorithmique</w:t>
      </w:r>
    </w:p>
    <w:p w:rsidR="00814B42" w:rsidRPr="00814B42" w:rsidRDefault="00814B42" w:rsidP="00814B42">
      <w:pPr>
        <w:tabs>
          <w:tab w:val="left" w:pos="1560"/>
        </w:tabs>
        <w:spacing w:after="0"/>
        <w:contextualSpacing/>
        <w:jc w:val="both"/>
        <w:rPr>
          <w:lang w:val="fr-BE" w:eastAsia="en-US"/>
        </w:rPr>
      </w:pPr>
      <w:r w:rsidRPr="00814B42">
        <w:rPr>
          <w:lang w:val="fr-BE" w:eastAsia="en-US"/>
        </w:rPr>
        <w:tab/>
      </w:r>
      <w:r w:rsidRPr="00814B42">
        <w:rPr>
          <w:b/>
          <w:lang w:val="fr-BE" w:eastAsia="en-US"/>
        </w:rPr>
        <w:t xml:space="preserve">Virginia </w:t>
      </w:r>
      <w:proofErr w:type="spellStart"/>
      <w:r w:rsidRPr="00814B42">
        <w:rPr>
          <w:b/>
          <w:lang w:val="fr-BE" w:eastAsia="en-US"/>
        </w:rPr>
        <w:t>Dignum</w:t>
      </w:r>
      <w:proofErr w:type="spellEnd"/>
      <w:r w:rsidRPr="00814B42">
        <w:rPr>
          <w:lang w:val="fr-BE" w:eastAsia="en-US"/>
        </w:rPr>
        <w:t>, Professeur associé, Université de technologie de Delft</w:t>
      </w:r>
    </w:p>
    <w:p w:rsidR="00814B42" w:rsidRPr="00814B42" w:rsidRDefault="00814B42" w:rsidP="00814B42">
      <w:pPr>
        <w:tabs>
          <w:tab w:val="left" w:pos="1560"/>
        </w:tabs>
        <w:spacing w:after="0"/>
        <w:contextualSpacing/>
        <w:jc w:val="both"/>
        <w:rPr>
          <w:i/>
          <w:lang w:val="fr-BE" w:eastAsia="en-US"/>
        </w:rPr>
      </w:pPr>
    </w:p>
    <w:p w:rsidR="00814B42" w:rsidRPr="00814B42" w:rsidRDefault="00814B42" w:rsidP="00814B42">
      <w:pPr>
        <w:tabs>
          <w:tab w:val="left" w:pos="1560"/>
        </w:tabs>
        <w:spacing w:after="0"/>
        <w:contextualSpacing/>
        <w:jc w:val="both"/>
        <w:rPr>
          <w:b/>
          <w:lang w:val="fr-BE" w:eastAsia="en-US"/>
        </w:rPr>
      </w:pPr>
      <w:r w:rsidRPr="00814B42">
        <w:rPr>
          <w:b/>
          <w:lang w:val="fr-BE" w:eastAsia="en-US"/>
        </w:rPr>
        <w:tab/>
        <w:t>Vers un cadre éthique et juridique pour l'IA – les attentes de la société civile</w:t>
      </w:r>
    </w:p>
    <w:p w:rsidR="00814B42" w:rsidRPr="00814B42" w:rsidRDefault="00814B42" w:rsidP="00814B42">
      <w:pPr>
        <w:tabs>
          <w:tab w:val="left" w:pos="1560"/>
        </w:tabs>
        <w:spacing w:after="0"/>
        <w:contextualSpacing/>
        <w:jc w:val="both"/>
        <w:rPr>
          <w:lang w:val="fr-BE" w:eastAsia="en-US"/>
        </w:rPr>
      </w:pPr>
      <w:r w:rsidRPr="00814B42">
        <w:rPr>
          <w:lang w:val="fr-BE" w:eastAsia="en-US"/>
        </w:rPr>
        <w:tab/>
      </w:r>
      <w:r w:rsidRPr="00814B42">
        <w:rPr>
          <w:b/>
          <w:lang w:val="fr-BE" w:eastAsia="en-US"/>
        </w:rPr>
        <w:t xml:space="preserve">Jim </w:t>
      </w:r>
      <w:proofErr w:type="spellStart"/>
      <w:r w:rsidRPr="00814B42">
        <w:rPr>
          <w:b/>
          <w:lang w:val="fr-BE" w:eastAsia="en-US"/>
        </w:rPr>
        <w:t>Dratwa</w:t>
      </w:r>
      <w:proofErr w:type="spellEnd"/>
      <w:r w:rsidRPr="00814B42">
        <w:rPr>
          <w:lang w:val="fr-BE" w:eastAsia="en-US"/>
        </w:rPr>
        <w:t xml:space="preserve">, chef du groupe européen d’éthique des sciences et des </w:t>
      </w:r>
      <w:r w:rsidRPr="00814B42">
        <w:rPr>
          <w:lang w:val="fr-BE" w:eastAsia="en-US"/>
        </w:rPr>
        <w:tab/>
        <w:t xml:space="preserve">nouvelles </w:t>
      </w:r>
      <w:r>
        <w:rPr>
          <w:lang w:val="fr-BE" w:eastAsia="en-US"/>
        </w:rPr>
        <w:tab/>
      </w:r>
      <w:r w:rsidRPr="00814B42">
        <w:rPr>
          <w:lang w:val="fr-BE" w:eastAsia="en-US"/>
        </w:rPr>
        <w:t>technologies, Commission européenne</w:t>
      </w:r>
    </w:p>
    <w:p w:rsidR="00814B42" w:rsidRPr="00814B42" w:rsidRDefault="00814B42" w:rsidP="00814B42">
      <w:pPr>
        <w:tabs>
          <w:tab w:val="left" w:pos="1560"/>
        </w:tabs>
        <w:spacing w:after="0"/>
        <w:contextualSpacing/>
        <w:jc w:val="both"/>
        <w:rPr>
          <w:i/>
          <w:lang w:val="fr-BE" w:eastAsia="en-US"/>
        </w:rPr>
      </w:pPr>
    </w:p>
    <w:p w:rsidR="00814B42" w:rsidRPr="00814B42" w:rsidRDefault="00814B42" w:rsidP="00814B42">
      <w:pPr>
        <w:tabs>
          <w:tab w:val="left" w:pos="1560"/>
        </w:tabs>
        <w:spacing w:after="0"/>
        <w:contextualSpacing/>
        <w:jc w:val="both"/>
        <w:rPr>
          <w:b/>
          <w:lang w:val="fr-BE" w:eastAsia="en-US"/>
        </w:rPr>
      </w:pPr>
      <w:r w:rsidRPr="00814B42">
        <w:rPr>
          <w:b/>
          <w:lang w:val="fr-BE" w:eastAsia="en-US"/>
        </w:rPr>
        <w:tab/>
        <w:t xml:space="preserve">Une AI sûre, durable et responsable pour des emplois meilleurs et </w:t>
      </w:r>
      <w:r>
        <w:rPr>
          <w:b/>
          <w:lang w:val="fr-BE" w:eastAsia="en-US"/>
        </w:rPr>
        <w:tab/>
        <w:t xml:space="preserve">plus </w:t>
      </w:r>
      <w:r>
        <w:rPr>
          <w:b/>
          <w:lang w:val="fr-BE" w:eastAsia="en-US"/>
        </w:rPr>
        <w:tab/>
      </w:r>
      <w:r w:rsidRPr="00814B42">
        <w:rPr>
          <w:b/>
          <w:lang w:val="fr-BE" w:eastAsia="en-US"/>
        </w:rPr>
        <w:t>efficaces?</w:t>
      </w:r>
    </w:p>
    <w:p w:rsidR="00814B42" w:rsidRPr="00814B42" w:rsidRDefault="00814B42" w:rsidP="00814B42">
      <w:pPr>
        <w:tabs>
          <w:tab w:val="left" w:pos="1560"/>
        </w:tabs>
        <w:spacing w:after="0"/>
        <w:contextualSpacing/>
        <w:jc w:val="both"/>
        <w:rPr>
          <w:lang w:val="fr-BE" w:eastAsia="en-US"/>
        </w:rPr>
      </w:pPr>
      <w:r w:rsidRPr="00814B42">
        <w:rPr>
          <w:lang w:val="fr-BE" w:eastAsia="en-US"/>
        </w:rPr>
        <w:tab/>
      </w:r>
      <w:r w:rsidRPr="00814B42">
        <w:rPr>
          <w:b/>
          <w:lang w:val="fr-BE" w:eastAsia="en-US"/>
        </w:rPr>
        <w:t xml:space="preserve">Anna </w:t>
      </w:r>
      <w:proofErr w:type="spellStart"/>
      <w:r w:rsidRPr="00814B42">
        <w:rPr>
          <w:b/>
          <w:lang w:val="fr-BE" w:eastAsia="en-US"/>
        </w:rPr>
        <w:t>Byhovskaya</w:t>
      </w:r>
      <w:proofErr w:type="spellEnd"/>
      <w:r w:rsidRPr="00814B42">
        <w:rPr>
          <w:lang w:val="fr-BE" w:eastAsia="en-US"/>
        </w:rPr>
        <w:t xml:space="preserve">, Commission syndicale consultative auprès de l’OCDE </w:t>
      </w:r>
    </w:p>
    <w:p w:rsidR="00814B42" w:rsidRPr="00814B42" w:rsidRDefault="00814B42" w:rsidP="00814B42">
      <w:pPr>
        <w:tabs>
          <w:tab w:val="left" w:pos="1560"/>
        </w:tabs>
        <w:spacing w:after="0"/>
        <w:contextualSpacing/>
        <w:jc w:val="both"/>
        <w:rPr>
          <w:lang w:val="fr-BE" w:eastAsia="en-US"/>
        </w:rPr>
      </w:pPr>
    </w:p>
    <w:p w:rsidR="00814B42" w:rsidRPr="00814B42" w:rsidRDefault="00814B42" w:rsidP="00814B42">
      <w:pPr>
        <w:tabs>
          <w:tab w:val="left" w:pos="1560"/>
        </w:tabs>
        <w:spacing w:after="0"/>
        <w:contextualSpacing/>
        <w:jc w:val="both"/>
        <w:rPr>
          <w:b/>
          <w:lang w:val="fr-BE" w:eastAsia="en-US"/>
        </w:rPr>
      </w:pPr>
      <w:r w:rsidRPr="00814B42">
        <w:rPr>
          <w:b/>
          <w:lang w:val="fr-BE" w:eastAsia="en-US"/>
        </w:rPr>
        <w:t>11h20 – 11h30  Discours de clôture</w:t>
      </w:r>
    </w:p>
    <w:p w:rsidR="00A50B8D" w:rsidRDefault="00814B42" w:rsidP="00814B42">
      <w:pPr>
        <w:tabs>
          <w:tab w:val="left" w:pos="1560"/>
        </w:tabs>
        <w:spacing w:after="0"/>
        <w:jc w:val="both"/>
        <w:rPr>
          <w:lang w:val="fr-BE" w:eastAsia="en-US"/>
        </w:rPr>
      </w:pPr>
      <w:r w:rsidRPr="00814B42">
        <w:rPr>
          <w:lang w:val="fr-BE" w:eastAsia="en-US"/>
        </w:rPr>
        <w:tab/>
      </w:r>
      <w:proofErr w:type="spellStart"/>
      <w:r w:rsidRPr="00814B42">
        <w:rPr>
          <w:b/>
          <w:lang w:val="fr-BE" w:eastAsia="en-US"/>
        </w:rPr>
        <w:t>Conny</w:t>
      </w:r>
      <w:proofErr w:type="spellEnd"/>
      <w:r w:rsidRPr="00814B42">
        <w:rPr>
          <w:b/>
          <w:lang w:val="fr-BE" w:eastAsia="en-US"/>
        </w:rPr>
        <w:t xml:space="preserve"> Reuter</w:t>
      </w:r>
      <w:r w:rsidRPr="00814B42">
        <w:rPr>
          <w:lang w:val="fr-BE" w:eastAsia="en-US"/>
        </w:rPr>
        <w:t xml:space="preserve">, </w:t>
      </w:r>
      <w:proofErr w:type="spellStart"/>
      <w:r w:rsidRPr="00814B42">
        <w:rPr>
          <w:lang w:val="fr-BE" w:eastAsia="en-US"/>
        </w:rPr>
        <w:t>Solidar</w:t>
      </w:r>
      <w:proofErr w:type="spellEnd"/>
      <w:r w:rsidRPr="00814B42">
        <w:rPr>
          <w:lang w:val="fr-BE" w:eastAsia="en-US"/>
        </w:rPr>
        <w:t>, CESE, Groupe de liaison</w:t>
      </w:r>
    </w:p>
    <w:p w:rsidR="00ED0BC2" w:rsidRDefault="00ED0BC2" w:rsidP="00814B42">
      <w:pPr>
        <w:tabs>
          <w:tab w:val="left" w:pos="1560"/>
        </w:tabs>
        <w:spacing w:after="0"/>
        <w:jc w:val="both"/>
        <w:rPr>
          <w:lang w:val="fr-BE" w:eastAsia="en-US"/>
        </w:rPr>
      </w:pPr>
    </w:p>
    <w:p w:rsidR="00ED0BC2" w:rsidRPr="00ED0BC2" w:rsidRDefault="00ED0BC2" w:rsidP="00ED0BC2">
      <w:pPr>
        <w:tabs>
          <w:tab w:val="left" w:pos="1560"/>
        </w:tabs>
        <w:spacing w:after="0"/>
        <w:jc w:val="both"/>
        <w:rPr>
          <w:lang w:val="fr-BE" w:eastAsia="en-US"/>
        </w:rPr>
      </w:pPr>
      <w:r w:rsidRPr="00ED0BC2">
        <w:rPr>
          <w:lang w:val="fr-BE" w:eastAsia="en-US"/>
        </w:rPr>
        <w:t>Interprétation: EN/FR/DE/ vers EN/FR/DE</w:t>
      </w:r>
    </w:p>
    <w:p w:rsidR="00ED0BC2" w:rsidRDefault="00ED0BC2" w:rsidP="00814B42">
      <w:pPr>
        <w:tabs>
          <w:tab w:val="left" w:pos="1560"/>
        </w:tabs>
        <w:spacing w:after="0"/>
        <w:jc w:val="both"/>
        <w:rPr>
          <w:sz w:val="24"/>
          <w:szCs w:val="24"/>
          <w:lang w:val="fr-BE" w:eastAsia="en-US"/>
        </w:rPr>
      </w:pPr>
      <w:bookmarkStart w:id="0" w:name="_GoBack"/>
      <w:bookmarkEnd w:id="0"/>
    </w:p>
    <w:p w:rsidR="00814B42" w:rsidRPr="00A50B8D" w:rsidRDefault="00814B42" w:rsidP="00814B42">
      <w:pPr>
        <w:tabs>
          <w:tab w:val="left" w:pos="1560"/>
        </w:tabs>
        <w:spacing w:after="0"/>
        <w:jc w:val="both"/>
        <w:rPr>
          <w:sz w:val="16"/>
          <w:szCs w:val="16"/>
        </w:rPr>
      </w:pPr>
    </w:p>
    <w:p w:rsidR="00A50B8D" w:rsidRDefault="00A50B8D" w:rsidP="00A50B8D">
      <w:pPr>
        <w:tabs>
          <w:tab w:val="left" w:pos="1560"/>
        </w:tabs>
        <w:spacing w:after="0"/>
        <w:jc w:val="center"/>
        <w:rPr>
          <w:i/>
        </w:rPr>
      </w:pPr>
      <w:r>
        <w:rPr>
          <w:i/>
        </w:rPr>
        <w:t>Informations générales sur la page suivante</w:t>
      </w:r>
      <w:r>
        <w:br w:type="page"/>
      </w:r>
    </w:p>
    <w:p w:rsidR="004311F6" w:rsidRPr="00665CDF" w:rsidRDefault="004311F6" w:rsidP="004C6450">
      <w:pPr>
        <w:keepNext/>
        <w:tabs>
          <w:tab w:val="left" w:pos="1560"/>
        </w:tabs>
        <w:spacing w:after="0"/>
        <w:jc w:val="both"/>
      </w:pPr>
      <w:r>
        <w:rPr>
          <w:b/>
          <w:color w:val="17365D" w:themeColor="text2" w:themeShade="BF"/>
          <w:sz w:val="32"/>
        </w:rPr>
        <w:lastRenderedPageBreak/>
        <w:t>Concept</w:t>
      </w:r>
    </w:p>
    <w:p w:rsidR="006B66B7" w:rsidRPr="004311F6" w:rsidRDefault="00A50B8D" w:rsidP="004C6450">
      <w:pPr>
        <w:keepNext/>
        <w:pBdr>
          <w:top w:val="nil"/>
          <w:left w:val="nil"/>
          <w:bottom w:val="nil"/>
          <w:right w:val="nil"/>
          <w:between w:val="nil"/>
        </w:pBdr>
        <w:spacing w:after="0"/>
        <w:rPr>
          <w:rFonts w:eastAsia="Arial" w:cs="Arial"/>
          <w:b/>
          <w:color w:val="000000"/>
        </w:rPr>
      </w:pPr>
      <w:r>
        <w:rPr>
          <w:b/>
          <w:color w:val="000000"/>
        </w:rPr>
        <w:t>Projet de note conceptuelle</w:t>
      </w:r>
    </w:p>
    <w:p w:rsidR="007245AE" w:rsidRDefault="00AF2FEC" w:rsidP="007245AE">
      <w:pPr>
        <w:spacing w:after="0"/>
        <w:jc w:val="both"/>
      </w:pPr>
      <w:r>
        <w:t xml:space="preserve">L’intelligence artificielle (IA) connaît actuellement un certain nombre d’évolutions majeures et trouve à un rythme soutenu des applications dans la société et dans la vie de tous les jours. Aussi importantes soient-elles, les discussions relatives à la </w:t>
      </w:r>
      <w:proofErr w:type="spellStart"/>
      <w:r>
        <w:t>superintelligence</w:t>
      </w:r>
      <w:proofErr w:type="spellEnd"/>
      <w:r>
        <w:t xml:space="preserve"> sont actuellement dominantes et éclipsent le débat sur l’incidence des </w:t>
      </w:r>
      <w:r w:rsidR="00A50B8D">
        <w:t>applications actuelles de l’IA.</w:t>
      </w:r>
    </w:p>
    <w:p w:rsidR="007245AE" w:rsidRDefault="007245AE" w:rsidP="007245AE">
      <w:pPr>
        <w:spacing w:after="0"/>
        <w:jc w:val="both"/>
      </w:pPr>
    </w:p>
    <w:p w:rsidR="00061E77" w:rsidRDefault="007245AE" w:rsidP="00061E77">
      <w:pPr>
        <w:spacing w:after="0"/>
        <w:jc w:val="both"/>
      </w:pPr>
      <w:r>
        <w:t xml:space="preserve">L’IA peut présenter des </w:t>
      </w:r>
      <w:r>
        <w:rPr>
          <w:b/>
        </w:rPr>
        <w:t>avantages considérables pour la société</w:t>
      </w:r>
      <w:r>
        <w:t>. Parmi ses utilisations positives, nous pouvons citer les applications qui favorisent une agriculture plus durable, une plus grande sécurité sur les routes, un système financier plus stable, des processus de production moins polluants, des avancées médicales, davantage de sécurité sur le lieu de travail, un enseignement plus personnalisé, une meilleure justice et une société plus sûre.</w:t>
      </w:r>
    </w:p>
    <w:p w:rsidR="002F472C" w:rsidRDefault="002F472C" w:rsidP="007245AE">
      <w:pPr>
        <w:spacing w:after="0"/>
        <w:jc w:val="both"/>
      </w:pPr>
    </w:p>
    <w:p w:rsidR="00A23BF8" w:rsidRDefault="002F472C" w:rsidP="007245AE">
      <w:pPr>
        <w:spacing w:after="0"/>
        <w:jc w:val="both"/>
      </w:pPr>
      <w:r>
        <w:t xml:space="preserve">Toutefois, comme pour toutes les technologies de rupture, c’est </w:t>
      </w:r>
      <w:r>
        <w:rPr>
          <w:b/>
        </w:rPr>
        <w:t>un certain nombre d’inquiétudes</w:t>
      </w:r>
      <w:r>
        <w:t xml:space="preserve"> concernant l’impact sociétal à long terme de l’IA qui ont accaparé l’attention du public: la possibilité de créer une </w:t>
      </w:r>
      <w:proofErr w:type="spellStart"/>
      <w:r>
        <w:t>superintelligence</w:t>
      </w:r>
      <w:proofErr w:type="spellEnd"/>
      <w:r>
        <w:t>, l’incidence de l’IA sur l’emploi, et les problèmes posés par les systèmes d’armes létaux autonomes. L’IA apporte son lot de risques et de défis stratégiques complexes en matière de sécurité et de surveillance, d’aspects socioéconomiques, d’éthique et de protection de la</w:t>
      </w:r>
      <w:r w:rsidR="00A50B8D">
        <w:t xml:space="preserve"> vie privée, de fiabilité, etc.</w:t>
      </w:r>
    </w:p>
    <w:p w:rsidR="00A23BF8" w:rsidRDefault="00A23BF8" w:rsidP="007245AE">
      <w:pPr>
        <w:spacing w:after="0"/>
        <w:jc w:val="both"/>
      </w:pPr>
    </w:p>
    <w:p w:rsidR="00812844" w:rsidRDefault="00541DB4" w:rsidP="00A0365C">
      <w:pPr>
        <w:spacing w:after="0"/>
        <w:jc w:val="both"/>
      </w:pPr>
      <w:r>
        <w:t xml:space="preserve">Il est dès lors essentiel de </w:t>
      </w:r>
      <w:r>
        <w:rPr>
          <w:b/>
        </w:rPr>
        <w:t>gérer les évolutions dans le domaine de l’IA</w:t>
      </w:r>
      <w:r>
        <w:t>, non seulement d’un point de vue technique, mais aussi sur le plan éthique, sociétal et de la sécurité. Les organisations de la société civile pourraient, à travers une approche associant plusieurs parties prenantes, contribuer à garantir une IA sûre, responsable, solide, fiable, éthique, en évitant et en maîtrisant les risques qu’elle comporte, en atténuant ses effets négatifs sur la société, tout en exploitant les possibilités (cachées) qu’elle recèle.</w:t>
      </w:r>
    </w:p>
    <w:p w:rsidR="00F17A42" w:rsidRDefault="00F17A42" w:rsidP="00A0365C">
      <w:pPr>
        <w:spacing w:after="0"/>
        <w:jc w:val="both"/>
      </w:pPr>
    </w:p>
    <w:p w:rsidR="00F17A42" w:rsidRDefault="00F17A42" w:rsidP="00A0365C">
      <w:pPr>
        <w:spacing w:after="0"/>
        <w:jc w:val="both"/>
      </w:pPr>
      <w:r>
        <w:rPr>
          <w:u w:val="single"/>
        </w:rPr>
        <w:t>Cet atelier abordera, entre autres sujets, les questions/thèmes suivants:</w:t>
      </w:r>
    </w:p>
    <w:p w:rsidR="00284446" w:rsidRDefault="0086270C" w:rsidP="004C6450">
      <w:pPr>
        <w:pStyle w:val="ListParagraph"/>
        <w:numPr>
          <w:ilvl w:val="0"/>
          <w:numId w:val="3"/>
        </w:numPr>
        <w:spacing w:after="0"/>
        <w:ind w:left="284" w:hanging="284"/>
        <w:jc w:val="both"/>
      </w:pPr>
      <w:r>
        <w:t xml:space="preserve">Comment parvenir à une </w:t>
      </w:r>
      <w:r>
        <w:rPr>
          <w:b/>
        </w:rPr>
        <w:t>stratégie commune</w:t>
      </w:r>
      <w:r>
        <w:t xml:space="preserve"> pour poursuivre un développement et un déploiement de l’IA qui soient responsables et éthiques?</w:t>
      </w:r>
    </w:p>
    <w:p w:rsidR="0020513C" w:rsidRDefault="0020513C" w:rsidP="004C6450">
      <w:pPr>
        <w:pStyle w:val="ListParagraph"/>
        <w:numPr>
          <w:ilvl w:val="0"/>
          <w:numId w:val="3"/>
        </w:numPr>
        <w:spacing w:after="0"/>
        <w:ind w:left="284" w:hanging="284"/>
        <w:jc w:val="both"/>
      </w:pPr>
      <w:r>
        <w:t>Comment créer un écosystème pour favoriser un débat sur l’intelligence artificielle centralisé, informé, équilibré et axé sur les solutions, en y associant l’ensemble des parties prenantes: les décideurs politiques, le secteur, les partenaires sociaux, les consommateurs, les ONG, les organisations (semi-) publiques, des universitaires de diverses disciplines, etc.?</w:t>
      </w:r>
    </w:p>
    <w:p w:rsidR="00D5097F" w:rsidRDefault="00E12DF6" w:rsidP="004C6450">
      <w:pPr>
        <w:pStyle w:val="ListParagraph"/>
        <w:numPr>
          <w:ilvl w:val="0"/>
          <w:numId w:val="3"/>
        </w:numPr>
        <w:spacing w:after="0"/>
        <w:ind w:left="284" w:hanging="284"/>
        <w:jc w:val="both"/>
      </w:pPr>
      <w:r>
        <w:rPr>
          <w:b/>
        </w:rPr>
        <w:t>Code commun de déontologie</w:t>
      </w:r>
      <w:r>
        <w:t xml:space="preserve"> pour le développement, le déploiement et l’utilisation de l’IA, afin que les systèmes d’IA demeurent, tout au long de leur processus d’exploitation, compatibles avec les principes de dignité humaine, d’intégrité, de liberté, de respect de la vie privée, de diversité culturelle et d’égalité entre hommes et femmes, ainsi qu’avec les droits fondamentaux.</w:t>
      </w:r>
    </w:p>
    <w:p w:rsidR="00E54F03" w:rsidRDefault="00E54F03" w:rsidP="004C6450">
      <w:pPr>
        <w:pStyle w:val="ListParagraph"/>
        <w:numPr>
          <w:ilvl w:val="0"/>
          <w:numId w:val="3"/>
        </w:numPr>
        <w:spacing w:after="0"/>
        <w:ind w:left="284" w:hanging="284"/>
        <w:jc w:val="both"/>
      </w:pPr>
      <w:r>
        <w:t xml:space="preserve">Comment accroître le </w:t>
      </w:r>
      <w:r>
        <w:rPr>
          <w:b/>
        </w:rPr>
        <w:t>niveau de connaissance des citoyens</w:t>
      </w:r>
      <w:r>
        <w:t xml:space="preserve"> sur l’IA et les y sensibiliser pour gagner leur confiance dans les avantages potentiels qu’elle revêt et éviter ou dissiper les craintes irrationnelles à son sujet?</w:t>
      </w:r>
    </w:p>
    <w:p w:rsidR="00590437" w:rsidRDefault="00590437" w:rsidP="004C6450">
      <w:pPr>
        <w:pStyle w:val="ListParagraph"/>
        <w:numPr>
          <w:ilvl w:val="0"/>
          <w:numId w:val="3"/>
        </w:numPr>
        <w:spacing w:after="0"/>
        <w:ind w:left="284" w:hanging="284"/>
        <w:jc w:val="both"/>
      </w:pPr>
      <w:r>
        <w:lastRenderedPageBreak/>
        <w:t xml:space="preserve">Système de </w:t>
      </w:r>
      <w:r>
        <w:rPr>
          <w:b/>
        </w:rPr>
        <w:t>normalisation</w:t>
      </w:r>
      <w:r>
        <w:t xml:space="preserve"> pour la vérification, la validation et le contrôle des systèmes d’IA, fondé sur un large éventail de normes en matière de sécurité, de transparence, d’intelligibilité, d’obligation de rendre des comptes et de valeurs éthiques.</w:t>
      </w:r>
    </w:p>
    <w:p w:rsidR="00A0365C" w:rsidRDefault="00BA22CB" w:rsidP="004C6450">
      <w:pPr>
        <w:pStyle w:val="ListParagraph"/>
        <w:numPr>
          <w:ilvl w:val="0"/>
          <w:numId w:val="3"/>
        </w:numPr>
        <w:spacing w:after="0"/>
        <w:ind w:left="284" w:hanging="284"/>
        <w:jc w:val="both"/>
      </w:pPr>
      <w:r>
        <w:t xml:space="preserve">Quels </w:t>
      </w:r>
      <w:r>
        <w:rPr>
          <w:b/>
        </w:rPr>
        <w:t>secteurs d’emploi</w:t>
      </w:r>
      <w:r>
        <w:t xml:space="preserve"> seront les plus touchés par l’IA, dans quelle mesure et sur quelle pér</w:t>
      </w:r>
      <w:r w:rsidR="00A50B8D">
        <w:t>iode?</w:t>
      </w:r>
    </w:p>
    <w:p w:rsidR="00D101B4" w:rsidRPr="003B613F" w:rsidRDefault="00BA22CB" w:rsidP="004C6450">
      <w:pPr>
        <w:pStyle w:val="ListParagraph"/>
        <w:numPr>
          <w:ilvl w:val="0"/>
          <w:numId w:val="3"/>
        </w:numPr>
        <w:spacing w:after="0"/>
        <w:ind w:left="284" w:hanging="284"/>
        <w:jc w:val="both"/>
      </w:pPr>
      <w:r>
        <w:t>Doit-on opter pour une approche où l’homme reste aux commandes, ou plutôt pour la création d’une personnalité juridique spécifique aux robots?</w:t>
      </w:r>
    </w:p>
    <w:sectPr w:rsidR="00D101B4" w:rsidRPr="003B613F" w:rsidSect="004C6450">
      <w:headerReference w:type="default" r:id="rId14"/>
      <w:footerReference w:type="default" r:id="rId15"/>
      <w:pgSz w:w="11906" w:h="16838" w:code="9"/>
      <w:pgMar w:top="1985" w:right="1440" w:bottom="1701" w:left="1440" w:header="425"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F07" w:rsidRDefault="00750F07" w:rsidP="006B66B7">
      <w:pPr>
        <w:spacing w:after="0" w:line="240" w:lineRule="auto"/>
      </w:pPr>
      <w:r>
        <w:separator/>
      </w:r>
    </w:p>
  </w:endnote>
  <w:endnote w:type="continuationSeparator" w:id="0">
    <w:p w:rsidR="00750F07" w:rsidRDefault="00750F07" w:rsidP="006B6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DF" w:rsidRDefault="00665CDF" w:rsidP="00665CDF">
    <w:pPr>
      <w:pStyle w:val="Footer"/>
      <w:jc w:val="center"/>
    </w:pPr>
    <w:r>
      <w:rPr>
        <w:noProof/>
        <w:lang w:val="en-US" w:eastAsia="en-US" w:bidi="ar-SA"/>
      </w:rPr>
      <w:drawing>
        <wp:inline distT="0" distB="0" distL="0" distR="0" wp14:anchorId="28776D1A" wp14:editId="08A1409C">
          <wp:extent cx="1876508" cy="582892"/>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815" cy="584851"/>
                  </a:xfrm>
                  <a:prstGeom prst="rect">
                    <a:avLst/>
                  </a:prstGeom>
                  <a:noFill/>
                </pic:spPr>
              </pic:pic>
            </a:graphicData>
          </a:graphic>
        </wp:inline>
      </w:drawing>
    </w:r>
  </w:p>
  <w:p w:rsidR="001C4E65" w:rsidRPr="004C6450" w:rsidRDefault="001C4E65" w:rsidP="004C6450">
    <w:pPr>
      <w:spacing w:after="0" w:line="288" w:lineRule="auto"/>
      <w:jc w:val="both"/>
      <w:rPr>
        <w:rFonts w:eastAsia="Times New Roman" w:cs="Times New Roman"/>
        <w:sz w:val="20"/>
        <w:szCs w:val="20"/>
      </w:rPr>
    </w:pPr>
    <w:r>
      <w:rPr>
        <w:sz w:val="20"/>
      </w:rPr>
      <w:t xml:space="preserve">EESC-2018-01488-05-00-TCD-TRA (EN) </w:t>
    </w:r>
    <w:r w:rsidRPr="004C6450">
      <w:rPr>
        <w:rFonts w:eastAsia="Times New Roman" w:cs="Times New Roman"/>
        <w:sz w:val="20"/>
        <w:szCs w:val="20"/>
      </w:rPr>
      <w:fldChar w:fldCharType="begin"/>
    </w:r>
    <w:r w:rsidRPr="004C6450">
      <w:rPr>
        <w:rFonts w:eastAsia="Times New Roman" w:cs="Times New Roman"/>
        <w:sz w:val="20"/>
        <w:szCs w:val="20"/>
      </w:rPr>
      <w:instrText xml:space="preserve"> PAGE  \* Arabic  \* MERGEFORMAT </w:instrText>
    </w:r>
    <w:r w:rsidRPr="004C6450">
      <w:rPr>
        <w:rFonts w:eastAsia="Times New Roman" w:cs="Times New Roman"/>
        <w:sz w:val="20"/>
        <w:szCs w:val="20"/>
      </w:rPr>
      <w:fldChar w:fldCharType="separate"/>
    </w:r>
    <w:r w:rsidR="00ED0BC2">
      <w:rPr>
        <w:rFonts w:eastAsia="Times New Roman" w:cs="Times New Roman"/>
        <w:noProof/>
        <w:sz w:val="20"/>
        <w:szCs w:val="20"/>
      </w:rPr>
      <w:t>2</w:t>
    </w:r>
    <w:r w:rsidRPr="004C6450">
      <w:rPr>
        <w:rFonts w:eastAsia="Times New Roman" w:cs="Times New Roman"/>
        <w:sz w:val="20"/>
        <w:szCs w:val="20"/>
      </w:rPr>
      <w:fldChar w:fldCharType="end"/>
    </w:r>
    <w:r>
      <w:rPr>
        <w:sz w:val="20"/>
      </w:rPr>
      <w:t>/</w:t>
    </w:r>
    <w:r w:rsidRPr="004C6450">
      <w:rPr>
        <w:rFonts w:eastAsia="Times New Roman" w:cs="Times New Roman"/>
        <w:sz w:val="20"/>
        <w:szCs w:val="20"/>
      </w:rPr>
      <w:fldChar w:fldCharType="begin"/>
    </w:r>
    <w:r w:rsidRPr="004C6450">
      <w:rPr>
        <w:rFonts w:eastAsia="Times New Roman" w:cs="Times New Roman"/>
        <w:sz w:val="20"/>
        <w:szCs w:val="20"/>
      </w:rPr>
      <w:instrText xml:space="preserve"> = </w:instrText>
    </w:r>
    <w:r w:rsidRPr="004C6450">
      <w:rPr>
        <w:rFonts w:eastAsia="Times New Roman" w:cs="Times New Roman"/>
        <w:sz w:val="20"/>
        <w:szCs w:val="20"/>
      </w:rPr>
      <w:fldChar w:fldCharType="begin"/>
    </w:r>
    <w:r w:rsidRPr="004C6450">
      <w:rPr>
        <w:rFonts w:eastAsia="Times New Roman" w:cs="Times New Roman"/>
        <w:sz w:val="20"/>
        <w:szCs w:val="20"/>
      </w:rPr>
      <w:instrText xml:space="preserve"> NUMPAGES </w:instrText>
    </w:r>
    <w:r w:rsidRPr="004C6450">
      <w:rPr>
        <w:rFonts w:eastAsia="Times New Roman" w:cs="Times New Roman"/>
        <w:sz w:val="20"/>
        <w:szCs w:val="20"/>
      </w:rPr>
      <w:fldChar w:fldCharType="separate"/>
    </w:r>
    <w:r w:rsidR="00ED0BC2">
      <w:rPr>
        <w:rFonts w:eastAsia="Times New Roman" w:cs="Times New Roman"/>
        <w:noProof/>
        <w:sz w:val="20"/>
        <w:szCs w:val="20"/>
      </w:rPr>
      <w:instrText>4</w:instrText>
    </w:r>
    <w:r w:rsidRPr="004C6450">
      <w:rPr>
        <w:rFonts w:eastAsia="Times New Roman" w:cs="Times New Roman"/>
        <w:sz w:val="20"/>
        <w:szCs w:val="20"/>
      </w:rPr>
      <w:fldChar w:fldCharType="end"/>
    </w:r>
    <w:r w:rsidRPr="004C6450">
      <w:rPr>
        <w:rFonts w:eastAsia="Times New Roman" w:cs="Times New Roman"/>
        <w:sz w:val="20"/>
        <w:szCs w:val="20"/>
      </w:rPr>
      <w:instrText xml:space="preserve"> -0 </w:instrText>
    </w:r>
    <w:r w:rsidRPr="004C6450">
      <w:rPr>
        <w:rFonts w:eastAsia="Times New Roman" w:cs="Times New Roman"/>
        <w:sz w:val="20"/>
        <w:szCs w:val="20"/>
      </w:rPr>
      <w:fldChar w:fldCharType="separate"/>
    </w:r>
    <w:r w:rsidR="00ED0BC2">
      <w:rPr>
        <w:rFonts w:eastAsia="Times New Roman" w:cs="Times New Roman"/>
        <w:noProof/>
        <w:sz w:val="20"/>
        <w:szCs w:val="20"/>
      </w:rPr>
      <w:t>4</w:t>
    </w:r>
    <w:r w:rsidRPr="004C6450">
      <w:rPr>
        <w:rFonts w:eastAsia="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F07" w:rsidRDefault="00750F07" w:rsidP="006B66B7">
      <w:pPr>
        <w:spacing w:after="0" w:line="240" w:lineRule="auto"/>
      </w:pPr>
      <w:r>
        <w:separator/>
      </w:r>
    </w:p>
  </w:footnote>
  <w:footnote w:type="continuationSeparator" w:id="0">
    <w:p w:rsidR="00750F07" w:rsidRDefault="00750F07" w:rsidP="006B66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DF" w:rsidRDefault="00665CDF" w:rsidP="00665CDF">
    <w:pPr>
      <w:pStyle w:val="Header"/>
      <w:jc w:val="right"/>
    </w:pPr>
    <w:r>
      <w:rPr>
        <w:noProof/>
        <w:lang w:val="en-US" w:eastAsia="en-US" w:bidi="ar-SA"/>
      </w:rPr>
      <w:drawing>
        <wp:inline distT="0" distB="0" distL="0" distR="0" wp14:anchorId="1E0D3226" wp14:editId="7B498DC7">
          <wp:extent cx="2310765" cy="920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0765" cy="9207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07D89"/>
    <w:multiLevelType w:val="hybridMultilevel"/>
    <w:tmpl w:val="AEC446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678B071B"/>
    <w:multiLevelType w:val="hybridMultilevel"/>
    <w:tmpl w:val="81D67B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7F302AF2"/>
    <w:multiLevelType w:val="hybridMultilevel"/>
    <w:tmpl w:val="9E2694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1E6"/>
    <w:rsid w:val="00061E77"/>
    <w:rsid w:val="0006356B"/>
    <w:rsid w:val="000D7DD7"/>
    <w:rsid w:val="000F23DC"/>
    <w:rsid w:val="000F3570"/>
    <w:rsid w:val="001457FF"/>
    <w:rsid w:val="001611E6"/>
    <w:rsid w:val="00181930"/>
    <w:rsid w:val="00192037"/>
    <w:rsid w:val="00194B90"/>
    <w:rsid w:val="001A7303"/>
    <w:rsid w:val="001B2DBE"/>
    <w:rsid w:val="001C4E65"/>
    <w:rsid w:val="001E6AED"/>
    <w:rsid w:val="0020513C"/>
    <w:rsid w:val="0023327D"/>
    <w:rsid w:val="002446C9"/>
    <w:rsid w:val="00261236"/>
    <w:rsid w:val="00263034"/>
    <w:rsid w:val="00264E2E"/>
    <w:rsid w:val="00284446"/>
    <w:rsid w:val="002C7E19"/>
    <w:rsid w:val="002F3719"/>
    <w:rsid w:val="002F472C"/>
    <w:rsid w:val="00302691"/>
    <w:rsid w:val="00310BA2"/>
    <w:rsid w:val="003712F0"/>
    <w:rsid w:val="003B613F"/>
    <w:rsid w:val="003F7D46"/>
    <w:rsid w:val="00425797"/>
    <w:rsid w:val="004311F6"/>
    <w:rsid w:val="004A2420"/>
    <w:rsid w:val="004C6450"/>
    <w:rsid w:val="004F6E91"/>
    <w:rsid w:val="00541DB4"/>
    <w:rsid w:val="0054660E"/>
    <w:rsid w:val="00572F01"/>
    <w:rsid w:val="00582526"/>
    <w:rsid w:val="00590437"/>
    <w:rsid w:val="005E5ADA"/>
    <w:rsid w:val="006102BF"/>
    <w:rsid w:val="00665CDF"/>
    <w:rsid w:val="0066652A"/>
    <w:rsid w:val="00681D06"/>
    <w:rsid w:val="006B66B7"/>
    <w:rsid w:val="00712DC5"/>
    <w:rsid w:val="007245AE"/>
    <w:rsid w:val="007362B4"/>
    <w:rsid w:val="00744549"/>
    <w:rsid w:val="00750F07"/>
    <w:rsid w:val="007600A1"/>
    <w:rsid w:val="007669CC"/>
    <w:rsid w:val="007A33FF"/>
    <w:rsid w:val="007C066D"/>
    <w:rsid w:val="007F50DC"/>
    <w:rsid w:val="00812844"/>
    <w:rsid w:val="00814B42"/>
    <w:rsid w:val="0086270C"/>
    <w:rsid w:val="00872668"/>
    <w:rsid w:val="00884118"/>
    <w:rsid w:val="008C0899"/>
    <w:rsid w:val="008D1D95"/>
    <w:rsid w:val="008D74AA"/>
    <w:rsid w:val="00937FF7"/>
    <w:rsid w:val="00963776"/>
    <w:rsid w:val="009826F8"/>
    <w:rsid w:val="00991955"/>
    <w:rsid w:val="00994641"/>
    <w:rsid w:val="009A67C9"/>
    <w:rsid w:val="009E2324"/>
    <w:rsid w:val="009E3FE8"/>
    <w:rsid w:val="00A0318C"/>
    <w:rsid w:val="00A0365C"/>
    <w:rsid w:val="00A10917"/>
    <w:rsid w:val="00A23BF8"/>
    <w:rsid w:val="00A46C4F"/>
    <w:rsid w:val="00A50B8D"/>
    <w:rsid w:val="00AE32C9"/>
    <w:rsid w:val="00AE6E88"/>
    <w:rsid w:val="00AF2343"/>
    <w:rsid w:val="00AF2FEC"/>
    <w:rsid w:val="00B3689D"/>
    <w:rsid w:val="00B536B9"/>
    <w:rsid w:val="00B60E1C"/>
    <w:rsid w:val="00B844DE"/>
    <w:rsid w:val="00BA22CB"/>
    <w:rsid w:val="00BE1D1A"/>
    <w:rsid w:val="00C21CC9"/>
    <w:rsid w:val="00C54BD7"/>
    <w:rsid w:val="00C55C54"/>
    <w:rsid w:val="00C932A9"/>
    <w:rsid w:val="00C94F50"/>
    <w:rsid w:val="00CB0798"/>
    <w:rsid w:val="00CB54A9"/>
    <w:rsid w:val="00CD7829"/>
    <w:rsid w:val="00CF2A18"/>
    <w:rsid w:val="00CF585A"/>
    <w:rsid w:val="00D101B4"/>
    <w:rsid w:val="00D12570"/>
    <w:rsid w:val="00D16C0D"/>
    <w:rsid w:val="00D5097F"/>
    <w:rsid w:val="00D72EC6"/>
    <w:rsid w:val="00DA19F3"/>
    <w:rsid w:val="00DA25C8"/>
    <w:rsid w:val="00DA60CE"/>
    <w:rsid w:val="00DC1DC8"/>
    <w:rsid w:val="00DC7D50"/>
    <w:rsid w:val="00DD303C"/>
    <w:rsid w:val="00DF67DB"/>
    <w:rsid w:val="00E12DF6"/>
    <w:rsid w:val="00E2279B"/>
    <w:rsid w:val="00E54F03"/>
    <w:rsid w:val="00E83A76"/>
    <w:rsid w:val="00EB537B"/>
    <w:rsid w:val="00ED0BC2"/>
    <w:rsid w:val="00ED51F2"/>
    <w:rsid w:val="00F04F80"/>
    <w:rsid w:val="00F10379"/>
    <w:rsid w:val="00F17A42"/>
    <w:rsid w:val="00F3585A"/>
    <w:rsid w:val="00F70E89"/>
    <w:rsid w:val="00F94131"/>
    <w:rsid w:val="00FC3B3B"/>
    <w:rsid w:val="00FE4DF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6B7"/>
    <w:rPr>
      <w:rFonts w:ascii="Tahoma" w:hAnsi="Tahoma" w:cs="Tahoma"/>
      <w:sz w:val="16"/>
      <w:szCs w:val="16"/>
    </w:rPr>
  </w:style>
  <w:style w:type="paragraph" w:styleId="Header">
    <w:name w:val="header"/>
    <w:basedOn w:val="Normal"/>
    <w:link w:val="HeaderChar"/>
    <w:uiPriority w:val="99"/>
    <w:unhideWhenUsed/>
    <w:rsid w:val="006B66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6B7"/>
  </w:style>
  <w:style w:type="paragraph" w:styleId="Footer">
    <w:name w:val="footer"/>
    <w:basedOn w:val="Normal"/>
    <w:link w:val="FooterChar"/>
    <w:uiPriority w:val="99"/>
    <w:unhideWhenUsed/>
    <w:rsid w:val="006B66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6B7"/>
  </w:style>
  <w:style w:type="paragraph" w:styleId="ListParagraph">
    <w:name w:val="List Paragraph"/>
    <w:basedOn w:val="Normal"/>
    <w:uiPriority w:val="34"/>
    <w:qFormat/>
    <w:rsid w:val="009A67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6B7"/>
    <w:rPr>
      <w:rFonts w:ascii="Tahoma" w:hAnsi="Tahoma" w:cs="Tahoma"/>
      <w:sz w:val="16"/>
      <w:szCs w:val="16"/>
    </w:rPr>
  </w:style>
  <w:style w:type="paragraph" w:styleId="Header">
    <w:name w:val="header"/>
    <w:basedOn w:val="Normal"/>
    <w:link w:val="HeaderChar"/>
    <w:uiPriority w:val="99"/>
    <w:unhideWhenUsed/>
    <w:rsid w:val="006B66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6B7"/>
  </w:style>
  <w:style w:type="paragraph" w:styleId="Footer">
    <w:name w:val="footer"/>
    <w:basedOn w:val="Normal"/>
    <w:link w:val="FooterChar"/>
    <w:uiPriority w:val="99"/>
    <w:unhideWhenUsed/>
    <w:rsid w:val="006B66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6B7"/>
  </w:style>
  <w:style w:type="paragraph" w:styleId="ListParagraph">
    <w:name w:val="List Paragraph"/>
    <w:basedOn w:val="Normal"/>
    <w:uiPriority w:val="34"/>
    <w:qFormat/>
    <w:rsid w:val="009A6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RCSZ5D2JPTA3-4-5289</_dlc_DocId>
    <_dlc_DocIdUrl xmlns="8975caae-a2e4-4a1b-856a-87d8a7cad937">
      <Url>http://dm/EESC/2018/_layouts/DocIdRedir.aspx?ID=RCSZ5D2JPTA3-4-5289</Url>
      <Description>RCSZ5D2JPTA3-4-5289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72fbe377-228b-440d-9c80-c8fc7584a534"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2018-04-27T12:00:00+00:00</ProductionDate>
    <DocumentNumber xmlns="72fbe377-228b-440d-9c80-c8fc7584a534">1488</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8</Value>
      <Value>7</Value>
      <Value>6</Value>
      <Value>5</Value>
      <Value>4</Value>
      <Value>25</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4995</FicheNumber>
    <DocumentYear xmlns="8975caae-a2e4-4a1b-856a-87d8a7cad937">2018</DocumentYear>
    <AdoptionDate xmlns="8975caae-a2e4-4a1b-856a-87d8a7cad937" xsi:nil="true"/>
    <DocumentPart xmlns="8975caae-a2e4-4a1b-856a-87d8a7cad937">5</DocumentPart>
    <MeetingName_0 xmlns="http://schemas.microsoft.com/sharepoint/v3/fields">
      <Terms xmlns="http://schemas.microsoft.com/office/infopath/2007/PartnerControls"/>
    </MeetingName_0>
    <RequestingService xmlns="8975caae-a2e4-4a1b-856a-87d8a7cad937">Relations avec la société civile organisée et prospective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92FE83957503754A807F34E13F30ACA4" ma:contentTypeVersion="4" ma:contentTypeDescription="Defines the documents for Document Manager V2" ma:contentTypeScope="" ma:versionID="ec41dd584a0d3b8949fe76330a9efc12">
  <xsd:schema xmlns:xsd="http://www.w3.org/2001/XMLSchema" xmlns:xs="http://www.w3.org/2001/XMLSchema" xmlns:p="http://schemas.microsoft.com/office/2006/metadata/properties" xmlns:ns2="8975caae-a2e4-4a1b-856a-87d8a7cad937" xmlns:ns3="http://schemas.microsoft.com/sharepoint/v3/fields" xmlns:ns4="72fbe377-228b-440d-9c80-c8fc7584a534" targetNamespace="http://schemas.microsoft.com/office/2006/metadata/properties" ma:root="true" ma:fieldsID="50c2113f0d3225ae9631067608f85749" ns2:_="" ns3:_="" ns4:_="">
    <xsd:import namespace="8975caae-a2e4-4a1b-856a-87d8a7cad937"/>
    <xsd:import namespace="http://schemas.microsoft.com/sharepoint/v3/fields"/>
    <xsd:import namespace="72fbe377-228b-440d-9c80-c8fc7584a534"/>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be377-228b-440d-9c80-c8fc7584a534"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28476-8FE8-473D-B390-4DE85D6EE7D0}">
  <ds:schemaRefs>
    <ds:schemaRef ds:uri="http://schemas.microsoft.com/sharepoint/v3/contenttype/forms"/>
  </ds:schemaRefs>
</ds:datastoreItem>
</file>

<file path=customXml/itemProps2.xml><?xml version="1.0" encoding="utf-8"?>
<ds:datastoreItem xmlns:ds="http://schemas.openxmlformats.org/officeDocument/2006/customXml" ds:itemID="{C5F5525C-C81F-44E8-86E2-9287B16C4039}">
  <ds:schemaRefs>
    <ds:schemaRef ds:uri="http://schemas.microsoft.com/sharepoint/events"/>
  </ds:schemaRefs>
</ds:datastoreItem>
</file>

<file path=customXml/itemProps3.xml><?xml version="1.0" encoding="utf-8"?>
<ds:datastoreItem xmlns:ds="http://schemas.openxmlformats.org/officeDocument/2006/customXml" ds:itemID="{15E7B08C-04D3-47B1-A7B5-EC320A8D1BEE}">
  <ds:schemaRefs>
    <ds:schemaRef ds:uri="http://purl.org/dc/dcmitype/"/>
    <ds:schemaRef ds:uri="http://schemas.microsoft.com/office/2006/metadata/properties"/>
    <ds:schemaRef ds:uri="http://schemas.microsoft.com/office/2006/documentManagement/types"/>
    <ds:schemaRef ds:uri="http://www.w3.org/XML/1998/namespace"/>
    <ds:schemaRef ds:uri="http://purl.org/dc/terms/"/>
    <ds:schemaRef ds:uri="http://purl.org/dc/elements/1.1/"/>
    <ds:schemaRef ds:uri="8975caae-a2e4-4a1b-856a-87d8a7cad937"/>
    <ds:schemaRef ds:uri="http://schemas.microsoft.com/office/infopath/2007/PartnerControls"/>
    <ds:schemaRef ds:uri="http://schemas.openxmlformats.org/package/2006/metadata/core-properties"/>
    <ds:schemaRef ds:uri="72fbe377-228b-440d-9c80-c8fc7584a534"/>
    <ds:schemaRef ds:uri="http://schemas.microsoft.com/sharepoint/v3/fields"/>
  </ds:schemaRefs>
</ds:datastoreItem>
</file>

<file path=customXml/itemProps4.xml><?xml version="1.0" encoding="utf-8"?>
<ds:datastoreItem xmlns:ds="http://schemas.openxmlformats.org/officeDocument/2006/customXml" ds:itemID="{D74AFFE1-AE24-4351-B617-F8C8A465E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72fbe377-228b-440d-9c80-c8fc7584a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1E5B1C-C512-4802-BE56-CF504E03D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CivSocDays 2018 - atelier n° 6</vt:lpstr>
    </vt:vector>
  </TitlesOfParts>
  <Company>CESE-CdR</Company>
  <LinksUpToDate>false</LinksUpToDate>
  <CharactersWithSpaces>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CivSocDays 2018 - atelier n° 6</dc:title>
  <dc:subject>Travaux consultatifs, divers</dc:subject>
  <dc:creator>Alice Tétu</dc:creator>
  <cp:keywords>EESC-2018-01488-05-00-TCD-TRA-EN</cp:keywords>
  <dc:description>Rapporteur:  - Original language: EN - Date of document: 27/04/2018 - Date of meeting:  - External documents:  - Administrator: Mme Serafini Karen Juliane</dc:description>
  <cp:lastModifiedBy>Viola Bianchetti</cp:lastModifiedBy>
  <cp:revision>4</cp:revision>
  <dcterms:created xsi:type="dcterms:W3CDTF">2018-05-17T07:10:00Z</dcterms:created>
  <dcterms:modified xsi:type="dcterms:W3CDTF">2018-05-17T07:21:00Z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25/04/2018, 25/04/2018</vt:lpwstr>
  </property>
  <property fmtid="{D5CDD505-2E9C-101B-9397-08002B2CF9AE}" pid="4" name="Pref_Time">
    <vt:lpwstr>11:14:21, 11:03:10</vt:lpwstr>
  </property>
  <property fmtid="{D5CDD505-2E9C-101B-9397-08002B2CF9AE}" pid="5" name="Pref_User">
    <vt:lpwstr>jhvi, ssex</vt:lpwstr>
  </property>
  <property fmtid="{D5CDD505-2E9C-101B-9397-08002B2CF9AE}" pid="6" name="Pref_FileName">
    <vt:lpwstr>EESC-2018-01488-05-00-TCD-TRA-EN-CRR.docx, EESC-2018-01488-05-00-TCD-ORI.docx</vt:lpwstr>
  </property>
  <property fmtid="{D5CDD505-2E9C-101B-9397-08002B2CF9AE}" pid="7" name="ContentTypeId">
    <vt:lpwstr>0x010100EA97B91038054C99906057A708A1480A0092FE83957503754A807F34E13F30ACA4</vt:lpwstr>
  </property>
  <property fmtid="{D5CDD505-2E9C-101B-9397-08002B2CF9AE}" pid="8" name="_dlc_DocIdItemGuid">
    <vt:lpwstr>d98a68be-3acc-4bd9-874c-c424cd708479</vt:lpwstr>
  </property>
  <property fmtid="{D5CDD505-2E9C-101B-9397-08002B2CF9AE}" pid="9" name="DocumentType_0">
    <vt:lpwstr>TCD|cd9d6eb6-3f4f-424a-b2d1-57c9d450eaaf</vt:lpwstr>
  </property>
  <property fmtid="{D5CDD505-2E9C-101B-9397-08002B2CF9AE}" pid="10" name="AvailableTranslations">
    <vt:lpwstr>4;#EN|f2175f21-25d7-44a3-96da-d6a61b075e1b;#8;#FR|d2afafd3-4c81-4f60-8f52-ee33f2f54ff3</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1488</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25;#TCD|cd9d6eb6-3f4f-424a-b2d1-57c9d450eaaf</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5</vt:i4>
  </property>
  <property fmtid="{D5CDD505-2E9C-101B-9397-08002B2CF9AE}" pid="21" name="RequestingService">
    <vt:lpwstr>Relations avec la société civile organisée et prospective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7;#TRA|150d2a88-1431-44e6-a8ca-0bb753ab8672;#6;#Final|ea5e6674-7b27-4bac-b091-73adbb394efe;#5;#Unrestricted|826e22d7-d029-4ec0-a450-0c28ff673572;#4;#EN|f2175f21-25d7-44a3-96da-d6a61b075e1b;#25;#TCD|cd9d6eb6-3f4f-424a-b2d1-57c9d450eaaf;#1;#EESC|422833ec-8d</vt:lpwstr>
  </property>
  <property fmtid="{D5CDD505-2E9C-101B-9397-08002B2CF9AE}" pid="30" name="AvailableTranslations_0">
    <vt:lpwstr>EN|f2175f21-25d7-44a3-96da-d6a61b075e1b</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4995</vt:i4>
  </property>
  <property fmtid="{D5CDD505-2E9C-101B-9397-08002B2CF9AE}" pid="34" name="DocumentYear">
    <vt:i4>2018</vt:i4>
  </property>
  <property fmtid="{D5CDD505-2E9C-101B-9397-08002B2CF9AE}" pid="35" name="DocumentLanguage">
    <vt:lpwstr>8;#FR|d2afafd3-4c81-4f60-8f52-ee33f2f54ff3</vt:lpwstr>
  </property>
</Properties>
</file>