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3E" w:rsidRPr="00D0453E" w:rsidRDefault="00D0453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n-GB"/>
        </w:rPr>
        <w:t xml:space="preserve">Strategic foresight: </w:t>
      </w:r>
      <w:r w:rsidR="00DB169D">
        <w:rPr>
          <w:rFonts w:ascii="Arial" w:hAnsi="Arial" w:cs="Arial"/>
          <w:b/>
          <w:lang w:val="en-GB"/>
        </w:rPr>
        <w:t xml:space="preserve">civil society has a key role to play in facing future challenges </w:t>
      </w:r>
      <w:r w:rsidR="00270603">
        <w:rPr>
          <w:rFonts w:ascii="Arial" w:hAnsi="Arial" w:cs="Arial"/>
          <w:b/>
          <w:lang w:val="en-GB"/>
        </w:rPr>
        <w:t>for Europe and the world</w:t>
      </w:r>
      <w:r>
        <w:rPr>
          <w:rFonts w:ascii="Arial" w:hAnsi="Arial" w:cs="Arial"/>
          <w:b/>
          <w:lang w:val="en-GB"/>
        </w:rPr>
        <w:t xml:space="preserve"> </w:t>
      </w:r>
    </w:p>
    <w:p w:rsidR="000873D2" w:rsidRDefault="000873D2">
      <w:pPr>
        <w:rPr>
          <w:rFonts w:ascii="Arial" w:hAnsi="Arial" w:cs="Arial"/>
          <w:b/>
          <w:lang w:val="en-GB"/>
        </w:rPr>
      </w:pPr>
    </w:p>
    <w:p w:rsidR="00580F1A" w:rsidRPr="003A1E9F" w:rsidRDefault="00D0453E" w:rsidP="00D0453E">
      <w:pPr>
        <w:rPr>
          <w:rFonts w:ascii="Arial" w:hAnsi="Arial" w:cs="Arial"/>
          <w:b/>
          <w:bCs/>
        </w:rPr>
      </w:pPr>
      <w:r w:rsidRPr="003A1E9F">
        <w:rPr>
          <w:rFonts w:ascii="Arial" w:hAnsi="Arial" w:cs="Arial"/>
          <w:b/>
          <w:lang w:val="en-GB"/>
        </w:rPr>
        <w:t xml:space="preserve">The conference on </w:t>
      </w:r>
      <w:hyperlink r:id="rId5" w:history="1">
        <w:r w:rsidRPr="007E1A85">
          <w:rPr>
            <w:rStyle w:val="Hyperlink"/>
            <w:rFonts w:ascii="Arial" w:hAnsi="Arial" w:cs="Arial"/>
            <w:b/>
            <w:bCs/>
          </w:rPr>
          <w:t>Strategic foresight: a vision for the future of Europe</w:t>
        </w:r>
      </w:hyperlink>
      <w:r w:rsidRPr="003A1E9F">
        <w:rPr>
          <w:rFonts w:ascii="Arial" w:hAnsi="Arial" w:cs="Arial"/>
          <w:b/>
          <w:bCs/>
        </w:rPr>
        <w:t>, held by the European Economic and Social Committee</w:t>
      </w:r>
      <w:r w:rsidR="00580F1A" w:rsidRPr="003A1E9F">
        <w:rPr>
          <w:rFonts w:ascii="Arial" w:hAnsi="Arial" w:cs="Arial"/>
          <w:b/>
          <w:bCs/>
        </w:rPr>
        <w:t xml:space="preserve"> (EESC)</w:t>
      </w:r>
      <w:r w:rsidR="003A1E9F">
        <w:rPr>
          <w:rFonts w:ascii="Arial" w:hAnsi="Arial" w:cs="Arial"/>
          <w:b/>
          <w:bCs/>
        </w:rPr>
        <w:t xml:space="preserve"> in the framework of </w:t>
      </w:r>
      <w:r w:rsidR="00374CE8">
        <w:rPr>
          <w:rFonts w:ascii="Arial" w:hAnsi="Arial" w:cs="Arial"/>
          <w:b/>
          <w:bCs/>
        </w:rPr>
        <w:t xml:space="preserve">its </w:t>
      </w:r>
      <w:r w:rsidR="003A1E9F">
        <w:rPr>
          <w:rFonts w:ascii="Arial" w:hAnsi="Arial" w:cs="Arial"/>
          <w:b/>
          <w:bCs/>
        </w:rPr>
        <w:t>External Relations Section</w:t>
      </w:r>
      <w:r w:rsidR="00E80143">
        <w:rPr>
          <w:rFonts w:ascii="Arial" w:hAnsi="Arial" w:cs="Arial"/>
          <w:b/>
          <w:bCs/>
        </w:rPr>
        <w:t xml:space="preserve"> (REX)</w:t>
      </w:r>
      <w:r w:rsidR="003A1E9F">
        <w:rPr>
          <w:rFonts w:ascii="Arial" w:hAnsi="Arial" w:cs="Arial"/>
          <w:b/>
          <w:bCs/>
        </w:rPr>
        <w:t xml:space="preserve"> meeting,</w:t>
      </w:r>
      <w:r w:rsidRPr="003A1E9F">
        <w:rPr>
          <w:rFonts w:ascii="Arial" w:hAnsi="Arial" w:cs="Arial"/>
          <w:b/>
          <w:bCs/>
        </w:rPr>
        <w:t xml:space="preserve"> </w:t>
      </w:r>
      <w:r w:rsidR="00B26E47" w:rsidRPr="003A1E9F">
        <w:rPr>
          <w:rFonts w:ascii="Arial" w:hAnsi="Arial" w:cs="Arial"/>
          <w:b/>
          <w:bCs/>
        </w:rPr>
        <w:t>highlighted the emerging importance of identifying different possible futures</w:t>
      </w:r>
      <w:r w:rsidR="00270603">
        <w:rPr>
          <w:rFonts w:ascii="Arial" w:hAnsi="Arial" w:cs="Arial"/>
          <w:b/>
          <w:bCs/>
        </w:rPr>
        <w:t>,</w:t>
      </w:r>
      <w:r w:rsidR="00B26E47" w:rsidRPr="003A1E9F">
        <w:rPr>
          <w:rFonts w:ascii="Arial" w:hAnsi="Arial" w:cs="Arial"/>
          <w:b/>
          <w:bCs/>
        </w:rPr>
        <w:t xml:space="preserve"> </w:t>
      </w:r>
      <w:r w:rsidR="00580F1A" w:rsidRPr="003A1E9F">
        <w:rPr>
          <w:rFonts w:ascii="Arial" w:hAnsi="Arial" w:cs="Arial"/>
          <w:b/>
          <w:bCs/>
        </w:rPr>
        <w:t xml:space="preserve">and explored pathways </w:t>
      </w:r>
      <w:r w:rsidR="00B26E47" w:rsidRPr="003A1E9F">
        <w:rPr>
          <w:rFonts w:ascii="Arial" w:hAnsi="Arial" w:cs="Arial"/>
          <w:b/>
          <w:bCs/>
        </w:rPr>
        <w:t xml:space="preserve">to tackle challenges and seize opportunities. </w:t>
      </w:r>
      <w:r w:rsidR="00580F1A" w:rsidRPr="003A1E9F">
        <w:rPr>
          <w:rFonts w:ascii="Arial" w:hAnsi="Arial" w:cs="Arial"/>
          <w:b/>
          <w:bCs/>
        </w:rPr>
        <w:t xml:space="preserve">The participants called </w:t>
      </w:r>
      <w:r w:rsidR="00270603">
        <w:rPr>
          <w:rFonts w:ascii="Arial" w:hAnsi="Arial" w:cs="Arial"/>
          <w:b/>
          <w:bCs/>
        </w:rPr>
        <w:t xml:space="preserve">for </w:t>
      </w:r>
      <w:r w:rsidR="00580F1A" w:rsidRPr="003A1E9F">
        <w:rPr>
          <w:rFonts w:ascii="Arial" w:hAnsi="Arial" w:cs="Arial"/>
          <w:b/>
          <w:bCs/>
        </w:rPr>
        <w:t xml:space="preserve">attention to civil society interests and concerns, underlining that </w:t>
      </w:r>
      <w:r w:rsidR="00AE0A56" w:rsidRPr="003A1E9F">
        <w:rPr>
          <w:rFonts w:ascii="Arial" w:hAnsi="Arial" w:cs="Arial"/>
          <w:b/>
          <w:bCs/>
        </w:rPr>
        <w:t>the</w:t>
      </w:r>
      <w:r w:rsidR="00AE0A56">
        <w:rPr>
          <w:rFonts w:ascii="Arial" w:hAnsi="Arial" w:cs="Arial"/>
          <w:b/>
          <w:bCs/>
        </w:rPr>
        <w:t>se</w:t>
      </w:r>
      <w:r w:rsidR="00AE0A56" w:rsidRPr="003A1E9F">
        <w:rPr>
          <w:rFonts w:ascii="Arial" w:hAnsi="Arial" w:cs="Arial"/>
          <w:b/>
          <w:bCs/>
        </w:rPr>
        <w:t xml:space="preserve"> </w:t>
      </w:r>
      <w:r w:rsidR="00580F1A" w:rsidRPr="003A1E9F">
        <w:rPr>
          <w:rFonts w:ascii="Arial" w:hAnsi="Arial" w:cs="Arial"/>
          <w:b/>
          <w:bCs/>
        </w:rPr>
        <w:t xml:space="preserve">should be reflected in the Strategic Foresight Reports drafted by the Commission. </w:t>
      </w:r>
    </w:p>
    <w:p w:rsidR="00D0453E" w:rsidRDefault="00D0453E">
      <w:pPr>
        <w:rPr>
          <w:rFonts w:ascii="Arial" w:hAnsi="Arial" w:cs="Arial"/>
          <w:lang w:val="en-GB"/>
        </w:rPr>
      </w:pPr>
    </w:p>
    <w:p w:rsidR="00596F36" w:rsidRPr="00596F36" w:rsidRDefault="00596F36" w:rsidP="00596F36">
      <w:pPr>
        <w:rPr>
          <w:rFonts w:ascii="Arial" w:hAnsi="Arial" w:cs="Arial"/>
          <w:i/>
          <w:lang w:val="en-GB"/>
        </w:rPr>
      </w:pPr>
      <w:r w:rsidRPr="00596F36">
        <w:rPr>
          <w:rFonts w:ascii="Arial" w:hAnsi="Arial" w:cs="Arial"/>
          <w:lang w:val="en-GB"/>
        </w:rPr>
        <w:t xml:space="preserve">EESC President </w:t>
      </w:r>
      <w:r w:rsidRPr="00596F36">
        <w:rPr>
          <w:rFonts w:ascii="Arial" w:hAnsi="Arial" w:cs="Arial"/>
          <w:b/>
          <w:lang w:val="en-GB"/>
        </w:rPr>
        <w:t xml:space="preserve">Christa </w:t>
      </w:r>
      <w:proofErr w:type="spellStart"/>
      <w:r w:rsidRPr="00596F36">
        <w:rPr>
          <w:rFonts w:ascii="Arial" w:hAnsi="Arial" w:cs="Arial"/>
          <w:b/>
          <w:lang w:val="en-GB"/>
        </w:rPr>
        <w:t>Schweng</w:t>
      </w:r>
      <w:proofErr w:type="spellEnd"/>
      <w:r w:rsidRPr="00596F36">
        <w:rPr>
          <w:rFonts w:ascii="Arial" w:hAnsi="Arial" w:cs="Arial"/>
          <w:lang w:val="en-GB"/>
        </w:rPr>
        <w:t xml:space="preserve"> mentioned: </w:t>
      </w:r>
      <w:r w:rsidRPr="00596F36">
        <w:rPr>
          <w:rFonts w:ascii="Arial" w:hAnsi="Arial" w:cs="Arial"/>
          <w:i/>
          <w:lang w:val="en-GB"/>
        </w:rPr>
        <w:t>"Democratic countries are the only ones to be really committed to transparency, the only ones with a public opinion, holding governments accountable for the choices they make. And of course, they are the only ones with an organised civil society enabled to fully participate in the decision-making process."</w:t>
      </w:r>
    </w:p>
    <w:p w:rsidR="00596F36" w:rsidRDefault="00596F36" w:rsidP="00270603">
      <w:pPr>
        <w:rPr>
          <w:rFonts w:ascii="Arial" w:hAnsi="Arial" w:cs="Arial"/>
          <w:lang w:val="en-GB"/>
        </w:rPr>
      </w:pPr>
    </w:p>
    <w:p w:rsidR="0030774F" w:rsidRPr="0084628F" w:rsidRDefault="003A1E9F" w:rsidP="00270603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Even though </w:t>
      </w:r>
      <w:r w:rsidR="00270603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trategic </w:t>
      </w:r>
      <w:r w:rsidR="00270603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oresight has become a field of activity for the European Institutions in the last years, the concept o</w:t>
      </w:r>
      <w:r w:rsidR="00741AFC">
        <w:rPr>
          <w:rFonts w:ascii="Arial" w:hAnsi="Arial" w:cs="Arial"/>
          <w:lang w:val="en-GB"/>
        </w:rPr>
        <w:t xml:space="preserve">f </w:t>
      </w:r>
      <w:r w:rsidR="00270603">
        <w:rPr>
          <w:rFonts w:ascii="Arial" w:hAnsi="Arial" w:cs="Arial"/>
          <w:lang w:val="en-GB"/>
        </w:rPr>
        <w:t xml:space="preserve">a </w:t>
      </w:r>
      <w:r w:rsidR="00741AFC">
        <w:rPr>
          <w:rFonts w:ascii="Arial" w:hAnsi="Arial" w:cs="Arial"/>
          <w:lang w:val="en-GB"/>
        </w:rPr>
        <w:t xml:space="preserve">strategic vision </w:t>
      </w:r>
      <w:r w:rsidR="00270603">
        <w:rPr>
          <w:rFonts w:ascii="Arial" w:hAnsi="Arial" w:cs="Arial"/>
          <w:lang w:val="en-GB"/>
        </w:rPr>
        <w:t xml:space="preserve">guiding policy-making </w:t>
      </w:r>
      <w:r w:rsidR="00741AFC">
        <w:rPr>
          <w:rFonts w:ascii="Arial" w:hAnsi="Arial" w:cs="Arial"/>
          <w:lang w:val="en-GB"/>
        </w:rPr>
        <w:t xml:space="preserve">is </w:t>
      </w:r>
      <w:r w:rsidR="00270603">
        <w:rPr>
          <w:rFonts w:ascii="Arial" w:hAnsi="Arial" w:cs="Arial"/>
          <w:lang w:val="en-GB"/>
        </w:rPr>
        <w:t xml:space="preserve">not new. As </w:t>
      </w:r>
      <w:r w:rsidR="00270603" w:rsidRPr="00631B02">
        <w:rPr>
          <w:rFonts w:ascii="Arial" w:hAnsi="Arial" w:cs="Arial"/>
          <w:b/>
          <w:lang w:val="en-GB"/>
        </w:rPr>
        <w:t>Eric Thiers</w:t>
      </w:r>
      <w:r w:rsidR="00270603">
        <w:rPr>
          <w:rFonts w:ascii="Arial" w:hAnsi="Arial" w:cs="Arial"/>
          <w:lang w:val="en-GB"/>
        </w:rPr>
        <w:t xml:space="preserve">, Secretary General of </w:t>
      </w:r>
      <w:r w:rsidR="001D3DA8">
        <w:rPr>
          <w:rFonts w:ascii="Arial" w:hAnsi="Arial" w:cs="Arial"/>
          <w:lang w:val="en-GB"/>
        </w:rPr>
        <w:t>France</w:t>
      </w:r>
      <w:r w:rsidR="00270603">
        <w:rPr>
          <w:rFonts w:ascii="Arial" w:hAnsi="Arial" w:cs="Arial"/>
          <w:lang w:val="en-GB"/>
        </w:rPr>
        <w:t>'s</w:t>
      </w:r>
      <w:r w:rsidR="001D3DA8">
        <w:rPr>
          <w:rFonts w:ascii="Arial" w:hAnsi="Arial" w:cs="Arial"/>
          <w:lang w:val="en-GB"/>
        </w:rPr>
        <w:t xml:space="preserve"> </w:t>
      </w:r>
      <w:r w:rsidR="00E9608E">
        <w:rPr>
          <w:rFonts w:ascii="Arial" w:hAnsi="Arial" w:cs="Arial"/>
          <w:lang w:val="en-GB"/>
        </w:rPr>
        <w:t>High Com</w:t>
      </w:r>
      <w:r w:rsidR="0030774F">
        <w:rPr>
          <w:rFonts w:ascii="Arial" w:hAnsi="Arial" w:cs="Arial"/>
          <w:lang w:val="en-GB"/>
        </w:rPr>
        <w:t>mission for Planning</w:t>
      </w:r>
      <w:r w:rsidR="00270603">
        <w:rPr>
          <w:rFonts w:ascii="Arial" w:hAnsi="Arial" w:cs="Arial"/>
          <w:lang w:val="en-GB"/>
        </w:rPr>
        <w:t xml:space="preserve">, underlined, the idea of planning and consultation of social </w:t>
      </w:r>
      <w:proofErr w:type="gramStart"/>
      <w:r w:rsidR="00270603">
        <w:rPr>
          <w:rFonts w:ascii="Arial" w:hAnsi="Arial" w:cs="Arial"/>
          <w:lang w:val="en-GB"/>
        </w:rPr>
        <w:t>partners</w:t>
      </w:r>
      <w:proofErr w:type="gramEnd"/>
      <w:r w:rsidR="00270603">
        <w:rPr>
          <w:rFonts w:ascii="Arial" w:hAnsi="Arial" w:cs="Arial"/>
          <w:lang w:val="en-GB"/>
        </w:rPr>
        <w:t xml:space="preserve"> dates back to the period when a founding father of Europe, namely Jean Monnet, inspired the creation of the first Commission for Planning and immediately met the French Economic and Social Council. Mr. Thiers </w:t>
      </w:r>
      <w:r w:rsidR="0030774F">
        <w:rPr>
          <w:rFonts w:ascii="Arial" w:hAnsi="Arial" w:cs="Arial"/>
          <w:lang w:val="en-GB"/>
        </w:rPr>
        <w:t>explained the work of his institution, underscoring th</w:t>
      </w:r>
      <w:r w:rsidR="00270603">
        <w:rPr>
          <w:rFonts w:ascii="Arial" w:hAnsi="Arial" w:cs="Arial"/>
          <w:lang w:val="en-GB"/>
        </w:rPr>
        <w:t>at the same principles</w:t>
      </w:r>
      <w:r w:rsidR="00DB169D">
        <w:rPr>
          <w:rFonts w:ascii="Arial" w:hAnsi="Arial" w:cs="Arial"/>
          <w:lang w:val="en-GB"/>
        </w:rPr>
        <w:t xml:space="preserve"> of broad consultation and cooperation</w:t>
      </w:r>
      <w:r w:rsidR="00270603">
        <w:rPr>
          <w:rFonts w:ascii="Arial" w:hAnsi="Arial" w:cs="Arial"/>
          <w:lang w:val="en-GB"/>
        </w:rPr>
        <w:t xml:space="preserve"> guide its activity today. </w:t>
      </w:r>
    </w:p>
    <w:p w:rsidR="0030774F" w:rsidRDefault="0030774F">
      <w:pPr>
        <w:rPr>
          <w:rFonts w:ascii="Arial" w:hAnsi="Arial" w:cs="Arial"/>
          <w:lang w:val="en-GB"/>
        </w:rPr>
      </w:pPr>
    </w:p>
    <w:p w:rsidR="00E01912" w:rsidRPr="003D693D" w:rsidRDefault="0084628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Geopolitics and strategic autonomy: </w:t>
      </w:r>
      <w:r w:rsidR="003E7DBA">
        <w:rPr>
          <w:rFonts w:ascii="Arial" w:hAnsi="Arial" w:cs="Arial"/>
          <w:b/>
          <w:lang w:val="en-GB"/>
        </w:rPr>
        <w:t>EU needs to become a true actor</w:t>
      </w:r>
    </w:p>
    <w:p w:rsidR="00E01912" w:rsidRDefault="00E01912">
      <w:pPr>
        <w:rPr>
          <w:rFonts w:ascii="Arial" w:hAnsi="Arial" w:cs="Arial"/>
          <w:lang w:val="en-GB"/>
        </w:rPr>
      </w:pPr>
    </w:p>
    <w:p w:rsidR="0075275D" w:rsidRDefault="00DB169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strategic foresight be on any help to define the EU Foreign and Security Policy in the current geopolitical situation? This was one of the question</w:t>
      </w:r>
      <w:r w:rsidR="00AE0A56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that participants in the meeting tried to answer. </w:t>
      </w:r>
      <w:r w:rsidR="003D693D">
        <w:rPr>
          <w:rFonts w:ascii="Arial" w:hAnsi="Arial" w:cs="Arial"/>
          <w:lang w:val="en-GB"/>
        </w:rPr>
        <w:t>The EU</w:t>
      </w:r>
      <w:r w:rsidR="005455B1">
        <w:rPr>
          <w:rFonts w:ascii="Arial" w:hAnsi="Arial" w:cs="Arial"/>
          <w:lang w:val="en-GB"/>
        </w:rPr>
        <w:t xml:space="preserve"> risks to be sandwiched between </w:t>
      </w:r>
      <w:r w:rsidR="003D693D">
        <w:rPr>
          <w:rFonts w:ascii="Arial" w:hAnsi="Arial" w:cs="Arial"/>
          <w:lang w:val="en-GB"/>
        </w:rPr>
        <w:t xml:space="preserve">China and the United States, </w:t>
      </w:r>
      <w:r w:rsidR="00DC21AA">
        <w:rPr>
          <w:rFonts w:ascii="Arial" w:hAnsi="Arial" w:cs="Arial"/>
          <w:lang w:val="en-GB"/>
        </w:rPr>
        <w:t>with</w:t>
      </w:r>
      <w:r w:rsidR="005455B1">
        <w:rPr>
          <w:rFonts w:ascii="Arial" w:hAnsi="Arial" w:cs="Arial"/>
          <w:lang w:val="en-GB"/>
        </w:rPr>
        <w:t>out forgetting</w:t>
      </w:r>
      <w:r w:rsidR="00DC21AA">
        <w:rPr>
          <w:rFonts w:ascii="Arial" w:hAnsi="Arial" w:cs="Arial"/>
          <w:lang w:val="en-GB"/>
        </w:rPr>
        <w:t xml:space="preserve"> the </w:t>
      </w:r>
      <w:r w:rsidR="005455B1">
        <w:rPr>
          <w:rFonts w:ascii="Arial" w:hAnsi="Arial" w:cs="Arial"/>
          <w:lang w:val="en-GB"/>
        </w:rPr>
        <w:t xml:space="preserve">current tensions with </w:t>
      </w:r>
      <w:r w:rsidR="00DC21AA">
        <w:rPr>
          <w:rFonts w:ascii="Arial" w:hAnsi="Arial" w:cs="Arial"/>
          <w:lang w:val="en-GB"/>
        </w:rPr>
        <w:t>Russia</w:t>
      </w:r>
      <w:r w:rsidR="005A444D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It is clear that the EU need</w:t>
      </w:r>
      <w:r w:rsidR="00AE0A56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to react and </w:t>
      </w:r>
      <w:r w:rsidR="003D693D">
        <w:rPr>
          <w:rFonts w:ascii="Arial" w:hAnsi="Arial" w:cs="Arial"/>
          <w:lang w:val="en-GB"/>
        </w:rPr>
        <w:t xml:space="preserve">to carve out </w:t>
      </w:r>
      <w:r w:rsidR="005455B1">
        <w:rPr>
          <w:rFonts w:ascii="Arial" w:hAnsi="Arial" w:cs="Arial"/>
          <w:lang w:val="en-GB"/>
        </w:rPr>
        <w:t>its own</w:t>
      </w:r>
      <w:r w:rsidR="003D693D">
        <w:rPr>
          <w:rFonts w:ascii="Arial" w:hAnsi="Arial" w:cs="Arial"/>
          <w:lang w:val="en-GB"/>
        </w:rPr>
        <w:t xml:space="preserve"> path </w:t>
      </w:r>
      <w:r w:rsidR="00CD4D27">
        <w:rPr>
          <w:rFonts w:ascii="Arial" w:hAnsi="Arial" w:cs="Arial"/>
          <w:lang w:val="en-GB"/>
        </w:rPr>
        <w:t xml:space="preserve">and address global challenges in a more effective manner. It is time to leverage all the tools from </w:t>
      </w:r>
      <w:r w:rsidR="00457BC7">
        <w:rPr>
          <w:rFonts w:ascii="Arial" w:hAnsi="Arial" w:cs="Arial"/>
          <w:lang w:val="en-GB"/>
        </w:rPr>
        <w:t>the</w:t>
      </w:r>
      <w:r w:rsidR="00CD4D27">
        <w:rPr>
          <w:rFonts w:ascii="Arial" w:hAnsi="Arial" w:cs="Arial"/>
          <w:lang w:val="en-GB"/>
        </w:rPr>
        <w:t xml:space="preserve"> box. </w:t>
      </w:r>
      <w:r w:rsidR="003E0AF2">
        <w:rPr>
          <w:rFonts w:ascii="Arial" w:hAnsi="Arial" w:cs="Arial"/>
          <w:lang w:val="en-GB"/>
        </w:rPr>
        <w:t>F</w:t>
      </w:r>
      <w:r w:rsidR="00457BC7" w:rsidRPr="00457BC7">
        <w:rPr>
          <w:rFonts w:ascii="Arial" w:hAnsi="Arial" w:cs="Arial"/>
          <w:lang w:val="en-GB"/>
        </w:rPr>
        <w:t>inding the right balance between interests and values</w:t>
      </w:r>
      <w:r w:rsidR="0075275D">
        <w:rPr>
          <w:rFonts w:ascii="Arial" w:hAnsi="Arial" w:cs="Arial"/>
          <w:lang w:val="en-GB"/>
        </w:rPr>
        <w:t>,</w:t>
      </w:r>
      <w:r w:rsidR="0075275D" w:rsidRPr="0075275D">
        <w:rPr>
          <w:rFonts w:ascii="Arial" w:hAnsi="Arial" w:cs="Arial"/>
          <w:lang w:val="en-GB"/>
        </w:rPr>
        <w:t xml:space="preserve"> </w:t>
      </w:r>
      <w:r w:rsidR="0075275D">
        <w:rPr>
          <w:rFonts w:ascii="Arial" w:hAnsi="Arial" w:cs="Arial"/>
          <w:lang w:val="en-GB"/>
        </w:rPr>
        <w:t xml:space="preserve">promoting multilateralism and strengthening cooperation </w:t>
      </w:r>
      <w:r w:rsidR="005455B1">
        <w:rPr>
          <w:rFonts w:ascii="Arial" w:hAnsi="Arial" w:cs="Arial"/>
          <w:lang w:val="en-GB"/>
        </w:rPr>
        <w:t xml:space="preserve">with NATO </w:t>
      </w:r>
      <w:r w:rsidR="0075275D">
        <w:rPr>
          <w:rFonts w:ascii="Arial" w:hAnsi="Arial" w:cs="Arial"/>
          <w:lang w:val="en-GB"/>
        </w:rPr>
        <w:t>are major prerequisites for Europe's global role.</w:t>
      </w:r>
    </w:p>
    <w:p w:rsidR="00AE0A56" w:rsidRDefault="00AE0A56">
      <w:pPr>
        <w:rPr>
          <w:rFonts w:ascii="Arial" w:hAnsi="Arial" w:cs="Arial"/>
          <w:lang w:val="en-GB"/>
        </w:rPr>
      </w:pPr>
    </w:p>
    <w:p w:rsidR="00457BC7" w:rsidRDefault="00DB169D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T</w:t>
      </w:r>
      <w:r w:rsidR="00457BC7">
        <w:rPr>
          <w:rFonts w:ascii="Arial" w:hAnsi="Arial" w:cs="Arial"/>
          <w:lang w:val="en-GB"/>
        </w:rPr>
        <w:t xml:space="preserve">he </w:t>
      </w:r>
      <w:r w:rsidR="005455B1">
        <w:rPr>
          <w:rFonts w:ascii="Arial" w:hAnsi="Arial" w:cs="Arial"/>
          <w:lang w:val="en-GB"/>
        </w:rPr>
        <w:t>Strategic Compass</w:t>
      </w:r>
      <w:r w:rsidR="00457BC7">
        <w:rPr>
          <w:rFonts w:ascii="Arial" w:hAnsi="Arial" w:cs="Arial"/>
          <w:lang w:val="en-GB"/>
        </w:rPr>
        <w:t xml:space="preserve">, which is being finalised and </w:t>
      </w:r>
      <w:r w:rsidR="005455B1">
        <w:rPr>
          <w:rFonts w:ascii="Arial" w:hAnsi="Arial" w:cs="Arial"/>
          <w:lang w:val="en-GB"/>
        </w:rPr>
        <w:t xml:space="preserve">will be </w:t>
      </w:r>
      <w:r w:rsidR="00457BC7">
        <w:rPr>
          <w:rFonts w:ascii="Arial" w:hAnsi="Arial" w:cs="Arial"/>
          <w:lang w:val="en-GB"/>
        </w:rPr>
        <w:t xml:space="preserve">ready </w:t>
      </w:r>
      <w:r w:rsidR="005455B1">
        <w:rPr>
          <w:rFonts w:ascii="Arial" w:hAnsi="Arial" w:cs="Arial"/>
          <w:lang w:val="en-GB"/>
        </w:rPr>
        <w:t xml:space="preserve">for adoption </w:t>
      </w:r>
      <w:r w:rsidR="00457BC7">
        <w:rPr>
          <w:rFonts w:ascii="Arial" w:hAnsi="Arial" w:cs="Arial"/>
          <w:lang w:val="en-GB"/>
        </w:rPr>
        <w:t xml:space="preserve">in March, </w:t>
      </w:r>
      <w:r>
        <w:rPr>
          <w:rFonts w:ascii="Arial" w:hAnsi="Arial" w:cs="Arial"/>
          <w:lang w:val="en-GB"/>
        </w:rPr>
        <w:t xml:space="preserve">is an </w:t>
      </w:r>
      <w:r w:rsidR="003429BB">
        <w:rPr>
          <w:rFonts w:ascii="Arial" w:hAnsi="Arial" w:cs="Arial"/>
          <w:lang w:val="en-GB"/>
        </w:rPr>
        <w:t>exercise which</w:t>
      </w:r>
      <w:r>
        <w:rPr>
          <w:rFonts w:ascii="Arial" w:hAnsi="Arial" w:cs="Arial"/>
          <w:lang w:val="en-GB"/>
        </w:rPr>
        <w:t xml:space="preserve"> uses strategic foresight </w:t>
      </w:r>
      <w:r w:rsidR="003429BB">
        <w:rPr>
          <w:rFonts w:ascii="Arial" w:hAnsi="Arial" w:cs="Arial"/>
          <w:lang w:val="en-GB"/>
        </w:rPr>
        <w:t xml:space="preserve">and will aim </w:t>
      </w:r>
      <w:r w:rsidR="00AE0A56">
        <w:rPr>
          <w:rFonts w:ascii="Arial" w:hAnsi="Arial" w:cs="Arial"/>
          <w:lang w:val="en-GB"/>
        </w:rPr>
        <w:t xml:space="preserve">at providing </w:t>
      </w:r>
      <w:r w:rsidR="00457BC7">
        <w:rPr>
          <w:rFonts w:ascii="Arial" w:hAnsi="Arial" w:cs="Arial"/>
          <w:lang w:val="en-GB"/>
        </w:rPr>
        <w:t xml:space="preserve">security for </w:t>
      </w:r>
      <w:r w:rsidR="005455B1">
        <w:rPr>
          <w:rFonts w:ascii="Arial" w:hAnsi="Arial" w:cs="Arial"/>
          <w:lang w:val="en-GB"/>
        </w:rPr>
        <w:t xml:space="preserve">EU </w:t>
      </w:r>
      <w:r w:rsidR="00457BC7">
        <w:rPr>
          <w:rFonts w:ascii="Arial" w:hAnsi="Arial" w:cs="Arial"/>
          <w:lang w:val="en-GB"/>
        </w:rPr>
        <w:t xml:space="preserve">citizens and </w:t>
      </w:r>
      <w:r w:rsidR="00AE0A56" w:rsidRPr="00304C63">
        <w:rPr>
          <w:rFonts w:ascii="Arial" w:hAnsi="Arial" w:cs="Arial"/>
        </w:rPr>
        <w:t>contribut</w:t>
      </w:r>
      <w:r w:rsidR="00AE0A56">
        <w:rPr>
          <w:rFonts w:ascii="Arial" w:hAnsi="Arial" w:cs="Arial"/>
        </w:rPr>
        <w:t>ing</w:t>
      </w:r>
      <w:r w:rsidR="00AE0A56" w:rsidRPr="00304C63">
        <w:rPr>
          <w:rFonts w:ascii="Arial" w:hAnsi="Arial" w:cs="Arial"/>
        </w:rPr>
        <w:t xml:space="preserve"> </w:t>
      </w:r>
      <w:r w:rsidR="00457BC7" w:rsidRPr="00304C63">
        <w:rPr>
          <w:rFonts w:ascii="Arial" w:hAnsi="Arial" w:cs="Arial"/>
        </w:rPr>
        <w:t xml:space="preserve">to international peace and </w:t>
      </w:r>
      <w:r w:rsidR="00457BC7">
        <w:rPr>
          <w:rFonts w:ascii="Arial" w:hAnsi="Arial" w:cs="Arial"/>
        </w:rPr>
        <w:t>stability</w:t>
      </w:r>
      <w:r w:rsidR="00457BC7" w:rsidRPr="00304C63">
        <w:rPr>
          <w:rFonts w:ascii="Arial" w:hAnsi="Arial" w:cs="Arial"/>
        </w:rPr>
        <w:t>.</w:t>
      </w:r>
      <w:r w:rsidR="003E0AF2">
        <w:rPr>
          <w:rFonts w:ascii="Arial" w:hAnsi="Arial" w:cs="Arial"/>
        </w:rPr>
        <w:t xml:space="preserve"> </w:t>
      </w:r>
    </w:p>
    <w:p w:rsidR="007063FF" w:rsidRDefault="007063FF">
      <w:pPr>
        <w:rPr>
          <w:rFonts w:ascii="Arial" w:hAnsi="Arial" w:cs="Arial"/>
          <w:lang w:val="en-GB"/>
        </w:rPr>
      </w:pPr>
    </w:p>
    <w:p w:rsidR="0084628F" w:rsidRPr="0075275D" w:rsidRDefault="0084628F">
      <w:pPr>
        <w:rPr>
          <w:rFonts w:ascii="Arial" w:hAnsi="Arial" w:cs="Arial"/>
          <w:b/>
          <w:lang w:val="en-GB"/>
        </w:rPr>
      </w:pPr>
      <w:r w:rsidRPr="0075275D">
        <w:rPr>
          <w:rFonts w:ascii="Arial" w:hAnsi="Arial" w:cs="Arial"/>
          <w:b/>
          <w:lang w:val="en-GB"/>
        </w:rPr>
        <w:t>Foresight in a multipolar world</w:t>
      </w:r>
      <w:r w:rsidR="00B50BAE" w:rsidRPr="0075275D">
        <w:rPr>
          <w:rFonts w:ascii="Arial" w:hAnsi="Arial" w:cs="Arial"/>
          <w:b/>
          <w:lang w:val="en-GB"/>
        </w:rPr>
        <w:t xml:space="preserve"> </w:t>
      </w:r>
    </w:p>
    <w:p w:rsidR="0075275D" w:rsidRDefault="0075275D">
      <w:pPr>
        <w:rPr>
          <w:rFonts w:ascii="Arial" w:hAnsi="Arial" w:cs="Arial"/>
          <w:lang w:val="en-GB"/>
        </w:rPr>
      </w:pPr>
    </w:p>
    <w:p w:rsidR="0067780F" w:rsidRDefault="00B50B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participants brought to the table</w:t>
      </w:r>
      <w:r w:rsidR="0075275D">
        <w:rPr>
          <w:rFonts w:ascii="Arial" w:hAnsi="Arial" w:cs="Arial"/>
          <w:lang w:val="en-GB"/>
        </w:rPr>
        <w:t xml:space="preserve"> examples of how strategic foresight </w:t>
      </w:r>
      <w:r w:rsidR="005455B1">
        <w:rPr>
          <w:rFonts w:ascii="Arial" w:hAnsi="Arial" w:cs="Arial"/>
          <w:lang w:val="en-GB"/>
        </w:rPr>
        <w:t xml:space="preserve">is done </w:t>
      </w:r>
      <w:r w:rsidR="0075275D">
        <w:rPr>
          <w:rFonts w:ascii="Arial" w:hAnsi="Arial" w:cs="Arial"/>
          <w:lang w:val="en-GB"/>
        </w:rPr>
        <w:t xml:space="preserve">around the globe. </w:t>
      </w:r>
      <w:r w:rsidR="007720D8" w:rsidRPr="00044E8E">
        <w:rPr>
          <w:rFonts w:ascii="Arial" w:hAnsi="Arial" w:cs="Arial"/>
          <w:lang w:val="en-GB"/>
        </w:rPr>
        <w:t xml:space="preserve">According to a </w:t>
      </w:r>
      <w:r w:rsidR="007720D8" w:rsidRPr="00AE0A56">
        <w:rPr>
          <w:rFonts w:ascii="Arial" w:hAnsi="Arial" w:cs="Arial"/>
          <w:lang w:val="en-GB"/>
        </w:rPr>
        <w:t>study from</w:t>
      </w:r>
      <w:r w:rsidR="001B7F0F">
        <w:rPr>
          <w:rFonts w:ascii="Arial" w:hAnsi="Arial" w:cs="Arial"/>
          <w:lang w:val="en-GB"/>
        </w:rPr>
        <w:t xml:space="preserve"> the European Commission </w:t>
      </w:r>
      <w:r w:rsidR="001B7F0F">
        <w:t xml:space="preserve">on </w:t>
      </w:r>
      <w:hyperlink r:id="rId6" w:history="1">
        <w:r w:rsidR="001B7F0F" w:rsidRPr="001B7F0F">
          <w:rPr>
            <w:rStyle w:val="Hyperlink"/>
            <w:rFonts w:ascii="Arial" w:hAnsi="Arial" w:cs="Arial"/>
          </w:rPr>
          <w:t>Strategic Foresight i</w:t>
        </w:r>
        <w:r w:rsidR="001B7F0F" w:rsidRPr="001B7F0F">
          <w:rPr>
            <w:rStyle w:val="Hyperlink"/>
            <w:rFonts w:ascii="Arial" w:hAnsi="Arial" w:cs="Arial"/>
          </w:rPr>
          <w:t>n</w:t>
        </w:r>
        <w:r w:rsidR="001B7F0F" w:rsidRPr="001B7F0F">
          <w:rPr>
            <w:rStyle w:val="Hyperlink"/>
            <w:rFonts w:ascii="Arial" w:hAnsi="Arial" w:cs="Arial"/>
          </w:rPr>
          <w:t xml:space="preserve"> the Western Balkans: Recovery on th</w:t>
        </w:r>
        <w:bookmarkStart w:id="0" w:name="_GoBack"/>
        <w:bookmarkEnd w:id="0"/>
        <w:r w:rsidR="001B7F0F" w:rsidRPr="001B7F0F">
          <w:rPr>
            <w:rStyle w:val="Hyperlink"/>
            <w:rFonts w:ascii="Arial" w:hAnsi="Arial" w:cs="Arial"/>
          </w:rPr>
          <w:t>e</w:t>
        </w:r>
        <w:r w:rsidR="001B7F0F" w:rsidRPr="001B7F0F">
          <w:rPr>
            <w:rStyle w:val="Hyperlink"/>
            <w:rFonts w:ascii="Arial" w:hAnsi="Arial" w:cs="Arial"/>
          </w:rPr>
          <w:t xml:space="preserve"> Horizon</w:t>
        </w:r>
      </w:hyperlink>
      <w:r w:rsidR="00044E8E" w:rsidRPr="007E1A85">
        <w:rPr>
          <w:rFonts w:ascii="Arial" w:hAnsi="Arial" w:cs="Arial"/>
          <w:lang w:val="en-GB"/>
        </w:rPr>
        <w:t xml:space="preserve">, </w:t>
      </w:r>
      <w:r w:rsidR="007720D8" w:rsidRPr="00044E8E">
        <w:rPr>
          <w:rFonts w:ascii="Arial" w:hAnsi="Arial" w:cs="Arial"/>
          <w:lang w:val="en-GB"/>
        </w:rPr>
        <w:t>the</w:t>
      </w:r>
      <w:r w:rsidR="003429BB" w:rsidRPr="007E1A85">
        <w:rPr>
          <w:rFonts w:ascii="Arial" w:hAnsi="Arial" w:cs="Arial"/>
          <w:lang w:val="en-GB"/>
        </w:rPr>
        <w:t xml:space="preserve"> scenario of strengthened EU cooperation </w:t>
      </w:r>
      <w:r w:rsidR="007720D8" w:rsidRPr="00044E8E">
        <w:rPr>
          <w:rFonts w:ascii="Arial" w:hAnsi="Arial" w:cs="Arial"/>
          <w:lang w:val="en-GB"/>
        </w:rPr>
        <w:t xml:space="preserve"> </w:t>
      </w:r>
      <w:r w:rsidR="0067780F">
        <w:rPr>
          <w:rFonts w:ascii="Arial" w:hAnsi="Arial" w:cs="Arial"/>
          <w:lang w:val="en-GB"/>
        </w:rPr>
        <w:t>will enhance human capital development, unlock local potential and foster the transition to a sustainable and knowledge-based economy.</w:t>
      </w:r>
    </w:p>
    <w:p w:rsidR="007720D8" w:rsidRDefault="007720D8">
      <w:pPr>
        <w:rPr>
          <w:rFonts w:ascii="Arial" w:hAnsi="Arial" w:cs="Arial"/>
          <w:lang w:val="en-GB"/>
        </w:rPr>
      </w:pPr>
    </w:p>
    <w:p w:rsidR="009F5D2C" w:rsidRDefault="007720D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The </w:t>
      </w:r>
      <w:hyperlink r:id="rId7" w:history="1">
        <w:r w:rsidRPr="00941F71">
          <w:rPr>
            <w:rStyle w:val="Hyperlink"/>
            <w:rFonts w:ascii="Arial" w:hAnsi="Arial" w:cs="Arial"/>
            <w:lang w:val="en-GB"/>
          </w:rPr>
          <w:t>2022 Foresight Africa report</w:t>
        </w:r>
      </w:hyperlink>
      <w:r>
        <w:rPr>
          <w:rFonts w:ascii="Arial" w:hAnsi="Arial" w:cs="Arial"/>
          <w:lang w:val="en-GB"/>
        </w:rPr>
        <w:t xml:space="preserve"> from Brookings Institute </w:t>
      </w:r>
      <w:r w:rsidR="005455B1">
        <w:rPr>
          <w:rFonts w:ascii="Arial" w:hAnsi="Arial" w:cs="Arial"/>
          <w:lang w:val="en-GB"/>
        </w:rPr>
        <w:t>has a</w:t>
      </w:r>
      <w:r w:rsidR="009F5D2C">
        <w:rPr>
          <w:rFonts w:ascii="Arial" w:hAnsi="Arial" w:cs="Arial"/>
          <w:lang w:val="en-GB"/>
        </w:rPr>
        <w:t xml:space="preserve"> special focus on</w:t>
      </w:r>
      <w:r w:rsidR="003429BB">
        <w:rPr>
          <w:rFonts w:ascii="Arial" w:hAnsi="Arial" w:cs="Arial"/>
          <w:lang w:val="en-GB"/>
        </w:rPr>
        <w:t xml:space="preserve"> the risks the continent is facing</w:t>
      </w:r>
      <w:r w:rsidR="00AE0A56">
        <w:rPr>
          <w:rFonts w:ascii="Arial" w:hAnsi="Arial" w:cs="Arial"/>
          <w:lang w:val="en-GB"/>
        </w:rPr>
        <w:t>,</w:t>
      </w:r>
      <w:r w:rsidR="003429BB">
        <w:rPr>
          <w:rFonts w:ascii="Arial" w:hAnsi="Arial" w:cs="Arial"/>
          <w:lang w:val="en-GB"/>
        </w:rPr>
        <w:t xml:space="preserve"> which endanger its development such as absence of </w:t>
      </w:r>
      <w:r w:rsidR="00474B60">
        <w:rPr>
          <w:rFonts w:ascii="Arial" w:hAnsi="Arial" w:cs="Arial"/>
          <w:lang w:val="en-GB"/>
        </w:rPr>
        <w:t>democratic State institutions</w:t>
      </w:r>
      <w:r w:rsidR="00474B60" w:rsidRPr="00474B60">
        <w:rPr>
          <w:rFonts w:ascii="Arial" w:hAnsi="Arial" w:cs="Arial"/>
          <w:lang w:val="en-GB"/>
        </w:rPr>
        <w:t xml:space="preserve">, </w:t>
      </w:r>
      <w:r w:rsidR="00474B60">
        <w:rPr>
          <w:rFonts w:ascii="Arial" w:hAnsi="Arial" w:cs="Arial"/>
          <w:lang w:val="en-GB"/>
        </w:rPr>
        <w:t xml:space="preserve">potential </w:t>
      </w:r>
      <w:r w:rsidR="00474B60" w:rsidRPr="00474B60">
        <w:rPr>
          <w:rFonts w:ascii="Arial" w:hAnsi="Arial" w:cs="Arial"/>
          <w:lang w:val="en-GB"/>
        </w:rPr>
        <w:t xml:space="preserve">debt crisis, </w:t>
      </w:r>
      <w:r w:rsidR="00474B60">
        <w:rPr>
          <w:rFonts w:ascii="Arial" w:hAnsi="Arial" w:cs="Arial"/>
          <w:lang w:val="en-GB"/>
        </w:rPr>
        <w:t xml:space="preserve">absence of infrastructure for </w:t>
      </w:r>
      <w:r w:rsidR="009F5D2C">
        <w:rPr>
          <w:rFonts w:ascii="Arial" w:hAnsi="Arial" w:cs="Arial"/>
          <w:lang w:val="en-GB"/>
        </w:rPr>
        <w:t xml:space="preserve">rapidly growing </w:t>
      </w:r>
      <w:r w:rsidR="00474B60">
        <w:rPr>
          <w:rFonts w:ascii="Arial" w:hAnsi="Arial" w:cs="Arial"/>
          <w:lang w:val="en-GB"/>
        </w:rPr>
        <w:t xml:space="preserve">population in </w:t>
      </w:r>
      <w:r w:rsidR="009F5D2C">
        <w:rPr>
          <w:rFonts w:ascii="Arial" w:hAnsi="Arial" w:cs="Arial"/>
          <w:lang w:val="en-GB"/>
        </w:rPr>
        <w:t>urban areas</w:t>
      </w:r>
      <w:r w:rsidR="00FD52A8">
        <w:rPr>
          <w:rFonts w:ascii="Arial" w:hAnsi="Arial" w:cs="Arial"/>
          <w:lang w:val="en-GB"/>
        </w:rPr>
        <w:t xml:space="preserve">. </w:t>
      </w:r>
    </w:p>
    <w:p w:rsidR="00FD52A8" w:rsidRDefault="00FD52A8">
      <w:pPr>
        <w:rPr>
          <w:rFonts w:ascii="Arial" w:hAnsi="Arial" w:cs="Arial"/>
          <w:lang w:val="en-GB"/>
        </w:rPr>
      </w:pPr>
    </w:p>
    <w:p w:rsidR="000641F3" w:rsidRDefault="0067780F" w:rsidP="005455B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Contrary</w:t>
      </w:r>
      <w:r w:rsidR="000641F3">
        <w:rPr>
          <w:rFonts w:ascii="Arial" w:hAnsi="Arial" w:cs="Arial"/>
          <w:lang w:val="en-GB"/>
        </w:rPr>
        <w:t xml:space="preserve"> to the belief on China's </w:t>
      </w:r>
      <w:r w:rsidR="00374CE8">
        <w:rPr>
          <w:rFonts w:ascii="Arial" w:hAnsi="Arial" w:cs="Arial"/>
          <w:lang w:val="en-GB"/>
        </w:rPr>
        <w:t xml:space="preserve">new </w:t>
      </w:r>
      <w:r w:rsidR="000641F3">
        <w:rPr>
          <w:rFonts w:ascii="Arial" w:hAnsi="Arial" w:cs="Arial"/>
          <w:lang w:val="en-GB"/>
        </w:rPr>
        <w:t>assertiveness, the foresight concern</w:t>
      </w:r>
      <w:r w:rsidR="00A127BD">
        <w:rPr>
          <w:rFonts w:ascii="Arial" w:hAnsi="Arial" w:cs="Arial"/>
          <w:lang w:val="en-GB"/>
        </w:rPr>
        <w:t>s</w:t>
      </w:r>
      <w:r w:rsidR="000641F3">
        <w:rPr>
          <w:rFonts w:ascii="Arial" w:hAnsi="Arial" w:cs="Arial"/>
          <w:lang w:val="en-GB"/>
        </w:rPr>
        <w:t xml:space="preserve"> in China </w:t>
      </w:r>
      <w:r w:rsidR="00A127BD">
        <w:rPr>
          <w:rFonts w:ascii="Arial" w:hAnsi="Arial" w:cs="Arial"/>
          <w:lang w:val="en-GB"/>
        </w:rPr>
        <w:t xml:space="preserve">are focussed on its </w:t>
      </w:r>
      <w:r w:rsidR="000641F3">
        <w:rPr>
          <w:rFonts w:ascii="Arial" w:hAnsi="Arial" w:cs="Arial"/>
          <w:lang w:val="en-GB"/>
        </w:rPr>
        <w:t xml:space="preserve">domestic politics and its own social contract based on economic performance and on the party's political legitimacy to deliver </w:t>
      </w:r>
      <w:r w:rsidR="005455B1">
        <w:rPr>
          <w:rFonts w:ascii="Arial" w:hAnsi="Arial" w:cs="Arial"/>
          <w:lang w:val="en-GB"/>
        </w:rPr>
        <w:t xml:space="preserve">in line with </w:t>
      </w:r>
      <w:r w:rsidR="000641F3">
        <w:rPr>
          <w:rFonts w:ascii="Arial" w:hAnsi="Arial" w:cs="Arial"/>
          <w:lang w:val="en-GB"/>
        </w:rPr>
        <w:t xml:space="preserve">the expectations of the population. </w:t>
      </w:r>
      <w:r w:rsidR="005455B1">
        <w:rPr>
          <w:rFonts w:ascii="Arial" w:hAnsi="Arial" w:cs="Arial"/>
          <w:lang w:val="en-GB"/>
        </w:rPr>
        <w:t>As a consequence, in the following years</w:t>
      </w:r>
      <w:r w:rsidR="000641F3">
        <w:rPr>
          <w:rFonts w:ascii="Arial" w:hAnsi="Arial" w:cs="Arial"/>
          <w:lang w:val="en-GB"/>
        </w:rPr>
        <w:t xml:space="preserve"> China might become </w:t>
      </w:r>
      <w:r w:rsidR="005455B1">
        <w:rPr>
          <w:rFonts w:ascii="Arial" w:hAnsi="Arial" w:cs="Arial"/>
          <w:lang w:val="en-GB"/>
        </w:rPr>
        <w:t xml:space="preserve">more </w:t>
      </w:r>
      <w:r w:rsidR="000641F3">
        <w:rPr>
          <w:rFonts w:ascii="Arial" w:hAnsi="Arial" w:cs="Arial"/>
          <w:lang w:val="en-GB"/>
        </w:rPr>
        <w:t xml:space="preserve">reluctant to engage with </w:t>
      </w:r>
      <w:r w:rsidR="005455B1">
        <w:rPr>
          <w:rFonts w:ascii="Arial" w:hAnsi="Arial" w:cs="Arial"/>
          <w:lang w:val="en-GB"/>
        </w:rPr>
        <w:t xml:space="preserve">countries </w:t>
      </w:r>
      <w:r w:rsidR="000641F3">
        <w:rPr>
          <w:rFonts w:ascii="Arial" w:hAnsi="Arial" w:cs="Arial"/>
          <w:lang w:val="en-GB"/>
        </w:rPr>
        <w:t>beyond the Asia-Pacific</w:t>
      </w:r>
      <w:r w:rsidR="005455B1">
        <w:rPr>
          <w:rFonts w:ascii="Arial" w:hAnsi="Arial" w:cs="Arial"/>
          <w:lang w:val="en-GB"/>
        </w:rPr>
        <w:t xml:space="preserve"> area</w:t>
      </w:r>
      <w:r>
        <w:rPr>
          <w:rFonts w:ascii="Arial" w:hAnsi="Arial" w:cs="Arial"/>
          <w:lang w:val="en-GB"/>
        </w:rPr>
        <w:t>.</w:t>
      </w:r>
    </w:p>
    <w:p w:rsidR="000641F3" w:rsidRDefault="000641F3" w:rsidP="000641F3">
      <w:pPr>
        <w:rPr>
          <w:rFonts w:ascii="Arial" w:hAnsi="Arial" w:cs="Arial"/>
          <w:lang w:val="en-GB"/>
        </w:rPr>
      </w:pPr>
    </w:p>
    <w:p w:rsidR="00767909" w:rsidRDefault="00A127B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Foresight approaches differ around the world and </w:t>
      </w:r>
      <w:r w:rsidR="0067780F">
        <w:rPr>
          <w:rFonts w:ascii="Arial" w:hAnsi="Arial" w:cs="Arial"/>
          <w:lang w:val="en-GB"/>
        </w:rPr>
        <w:t>futures literacy was presented as a</w:t>
      </w:r>
      <w:r w:rsidR="00767909">
        <w:rPr>
          <w:rFonts w:ascii="Arial" w:hAnsi="Arial" w:cs="Arial"/>
          <w:lang w:val="en-GB"/>
        </w:rPr>
        <w:t>n</w:t>
      </w:r>
      <w:r w:rsidR="0067780F">
        <w:rPr>
          <w:rFonts w:ascii="Arial" w:hAnsi="Arial" w:cs="Arial"/>
          <w:lang w:val="en-GB"/>
        </w:rPr>
        <w:t xml:space="preserve"> alternative</w:t>
      </w:r>
      <w:r>
        <w:rPr>
          <w:rFonts w:ascii="Arial" w:hAnsi="Arial" w:cs="Arial"/>
          <w:lang w:val="en-GB"/>
        </w:rPr>
        <w:t xml:space="preserve">. This is an approach </w:t>
      </w:r>
      <w:r w:rsidR="00767909">
        <w:rPr>
          <w:rFonts w:ascii="Arial" w:hAnsi="Arial" w:cs="Arial"/>
          <w:lang w:val="en-GB"/>
        </w:rPr>
        <w:t>in which</w:t>
      </w:r>
      <w:r>
        <w:rPr>
          <w:rFonts w:ascii="Arial" w:hAnsi="Arial" w:cs="Arial"/>
          <w:lang w:val="en-GB"/>
        </w:rPr>
        <w:t xml:space="preserve"> everyone has a role to play</w:t>
      </w:r>
      <w:r w:rsidR="00D4247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as</w:t>
      </w:r>
      <w:r w:rsidR="00767909">
        <w:rPr>
          <w:rFonts w:ascii="Arial" w:hAnsi="Arial" w:cs="Arial"/>
          <w:lang w:val="en-GB"/>
        </w:rPr>
        <w:t xml:space="preserve"> we </w:t>
      </w:r>
      <w:r w:rsidR="00620D4C">
        <w:rPr>
          <w:rFonts w:ascii="Arial" w:hAnsi="Arial" w:cs="Arial"/>
          <w:lang w:val="en-GB"/>
        </w:rPr>
        <w:t xml:space="preserve">all </w:t>
      </w:r>
      <w:r w:rsidR="00767909">
        <w:rPr>
          <w:rFonts w:ascii="Arial" w:hAnsi="Arial" w:cs="Arial"/>
          <w:lang w:val="en-GB"/>
        </w:rPr>
        <w:t xml:space="preserve">have the capability to better understand the future. </w:t>
      </w:r>
      <w:r w:rsidR="00767909" w:rsidRPr="00767909">
        <w:rPr>
          <w:rFonts w:ascii="Arial" w:hAnsi="Arial" w:cs="Arial"/>
        </w:rPr>
        <w:t xml:space="preserve">Being futures literate </w:t>
      </w:r>
      <w:r w:rsidR="00C05CD5">
        <w:rPr>
          <w:rFonts w:ascii="Arial" w:hAnsi="Arial" w:cs="Arial"/>
        </w:rPr>
        <w:t>enhances</w:t>
      </w:r>
      <w:r w:rsidR="00767909" w:rsidRPr="00767909">
        <w:rPr>
          <w:rFonts w:ascii="Arial" w:hAnsi="Arial" w:cs="Arial"/>
        </w:rPr>
        <w:t xml:space="preserve"> imagination</w:t>
      </w:r>
      <w:r w:rsidR="00C05CD5">
        <w:rPr>
          <w:rFonts w:ascii="Arial" w:hAnsi="Arial" w:cs="Arial"/>
        </w:rPr>
        <w:t xml:space="preserve"> and</w:t>
      </w:r>
      <w:r w:rsidR="00767909" w:rsidRPr="00767909">
        <w:rPr>
          <w:rFonts w:ascii="Arial" w:hAnsi="Arial" w:cs="Arial"/>
        </w:rPr>
        <w:t xml:space="preserve"> </w:t>
      </w:r>
      <w:r w:rsidR="00C05CD5">
        <w:rPr>
          <w:rFonts w:ascii="Arial" w:hAnsi="Arial" w:cs="Arial"/>
        </w:rPr>
        <w:t>improves</w:t>
      </w:r>
      <w:r w:rsidR="00C05CD5" w:rsidRPr="00767909">
        <w:rPr>
          <w:rFonts w:ascii="Arial" w:hAnsi="Arial" w:cs="Arial"/>
        </w:rPr>
        <w:t xml:space="preserve"> </w:t>
      </w:r>
      <w:r w:rsidR="00767909" w:rsidRPr="00767909">
        <w:rPr>
          <w:rFonts w:ascii="Arial" w:hAnsi="Arial" w:cs="Arial"/>
        </w:rPr>
        <w:t>our ability to prepare, recover and invent as changes occur.</w:t>
      </w:r>
    </w:p>
    <w:p w:rsidR="0075275D" w:rsidRDefault="0075275D">
      <w:pPr>
        <w:rPr>
          <w:rFonts w:ascii="Arial" w:hAnsi="Arial" w:cs="Arial"/>
          <w:lang w:val="en-GB"/>
        </w:rPr>
      </w:pPr>
    </w:p>
    <w:p w:rsidR="00FD52A8" w:rsidRPr="0059005F" w:rsidRDefault="0054179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Civil society </w:t>
      </w:r>
      <w:r w:rsidR="00C05CD5">
        <w:rPr>
          <w:rFonts w:ascii="Arial" w:hAnsi="Arial" w:cs="Arial"/>
          <w:b/>
          <w:lang w:val="en-GB"/>
        </w:rPr>
        <w:t xml:space="preserve">as </w:t>
      </w:r>
      <w:r>
        <w:rPr>
          <w:rFonts w:ascii="Arial" w:hAnsi="Arial" w:cs="Arial"/>
          <w:b/>
          <w:lang w:val="en-GB"/>
        </w:rPr>
        <w:t xml:space="preserve">a key </w:t>
      </w:r>
      <w:proofErr w:type="spellStart"/>
      <w:r w:rsidR="00C05CD5">
        <w:rPr>
          <w:rFonts w:ascii="Arial" w:hAnsi="Arial" w:cs="Arial"/>
          <w:b/>
          <w:lang w:val="en-GB"/>
        </w:rPr>
        <w:t>actor</w:t>
      </w:r>
      <w:proofErr w:type="spellEnd"/>
      <w:r w:rsidR="00C05CD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in the foresight process </w:t>
      </w:r>
    </w:p>
    <w:p w:rsidR="00E01912" w:rsidRDefault="00E01912">
      <w:pPr>
        <w:rPr>
          <w:rFonts w:ascii="Arial" w:hAnsi="Arial" w:cs="Arial"/>
          <w:lang w:val="en-GB"/>
        </w:rPr>
      </w:pPr>
    </w:p>
    <w:p w:rsidR="00B4108E" w:rsidRDefault="0027060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59005F">
        <w:rPr>
          <w:rFonts w:ascii="Arial" w:hAnsi="Arial" w:cs="Arial"/>
          <w:lang w:val="en-GB"/>
        </w:rPr>
        <w:t xml:space="preserve">articipants agreed that the involvement of civil society </w:t>
      </w:r>
      <w:r w:rsidR="00FF0CDE">
        <w:rPr>
          <w:rFonts w:ascii="Arial" w:hAnsi="Arial" w:cs="Arial"/>
          <w:lang w:val="en-GB"/>
        </w:rPr>
        <w:t xml:space="preserve">organisations (CSOs) </w:t>
      </w:r>
      <w:r w:rsidR="0059005F">
        <w:rPr>
          <w:rFonts w:ascii="Arial" w:hAnsi="Arial" w:cs="Arial"/>
          <w:lang w:val="en-GB"/>
        </w:rPr>
        <w:t xml:space="preserve">in strategic foresight is of outmost importance. </w:t>
      </w:r>
      <w:r w:rsidR="00A127BD">
        <w:rPr>
          <w:rFonts w:ascii="Arial" w:hAnsi="Arial" w:cs="Arial"/>
          <w:lang w:val="en-GB"/>
        </w:rPr>
        <w:t>F</w:t>
      </w:r>
      <w:r w:rsidR="00B4108E">
        <w:rPr>
          <w:rFonts w:ascii="Arial" w:hAnsi="Arial" w:cs="Arial"/>
          <w:lang w:val="en-GB"/>
        </w:rPr>
        <w:t>ive points for genuine and meaningful civil society participation in th</w:t>
      </w:r>
      <w:r w:rsidR="00374CE8">
        <w:rPr>
          <w:rFonts w:ascii="Arial" w:hAnsi="Arial" w:cs="Arial"/>
          <w:lang w:val="en-GB"/>
        </w:rPr>
        <w:t>is</w:t>
      </w:r>
      <w:r w:rsidR="00B4108E">
        <w:rPr>
          <w:rFonts w:ascii="Arial" w:hAnsi="Arial" w:cs="Arial"/>
          <w:lang w:val="en-GB"/>
        </w:rPr>
        <w:t xml:space="preserve"> process: understanding that civil society is a</w:t>
      </w:r>
      <w:r w:rsidR="00541797">
        <w:rPr>
          <w:rFonts w:ascii="Arial" w:hAnsi="Arial" w:cs="Arial"/>
          <w:lang w:val="en-GB"/>
        </w:rPr>
        <w:t xml:space="preserve">n indispensable part </w:t>
      </w:r>
      <w:r w:rsidR="00B4108E">
        <w:rPr>
          <w:rFonts w:ascii="Arial" w:hAnsi="Arial" w:cs="Arial"/>
          <w:lang w:val="en-GB"/>
        </w:rPr>
        <w:t>in the construction of the future</w:t>
      </w:r>
      <w:r w:rsidR="00B4108E" w:rsidRPr="00B4108E">
        <w:rPr>
          <w:rFonts w:ascii="Arial" w:hAnsi="Arial" w:cs="Arial"/>
          <w:lang w:val="en-GB"/>
        </w:rPr>
        <w:t>;</w:t>
      </w:r>
      <w:r w:rsidR="00B4108E">
        <w:rPr>
          <w:rFonts w:ascii="Arial" w:hAnsi="Arial" w:cs="Arial"/>
          <w:lang w:val="en-GB"/>
        </w:rPr>
        <w:t xml:space="preserve"> introducing foresight across all EU institutions</w:t>
      </w:r>
      <w:r w:rsidR="00B4108E" w:rsidRPr="00B4108E">
        <w:rPr>
          <w:rFonts w:ascii="Arial" w:hAnsi="Arial" w:cs="Arial"/>
          <w:lang w:val="en-GB"/>
        </w:rPr>
        <w:t>;</w:t>
      </w:r>
      <w:r w:rsidR="00B4108E">
        <w:rPr>
          <w:rFonts w:ascii="Arial" w:hAnsi="Arial" w:cs="Arial"/>
          <w:lang w:val="en-GB"/>
        </w:rPr>
        <w:t xml:space="preserve"> giving equal weight to </w:t>
      </w:r>
      <w:r w:rsidR="00FF0CDE">
        <w:rPr>
          <w:rFonts w:ascii="Arial" w:hAnsi="Arial" w:cs="Arial"/>
          <w:lang w:val="en-GB"/>
        </w:rPr>
        <w:t>CSOs</w:t>
      </w:r>
      <w:r w:rsidR="00B4108E" w:rsidRPr="00B4108E">
        <w:rPr>
          <w:rFonts w:ascii="Arial" w:hAnsi="Arial" w:cs="Arial"/>
          <w:lang w:val="en-GB"/>
        </w:rPr>
        <w:t>;</w:t>
      </w:r>
      <w:r w:rsidR="00B4108E">
        <w:rPr>
          <w:rFonts w:ascii="Arial" w:hAnsi="Arial" w:cs="Arial"/>
          <w:lang w:val="en-GB"/>
        </w:rPr>
        <w:t xml:space="preserve"> ensuring diversity of expertise and maintaining </w:t>
      </w:r>
      <w:r w:rsidR="00541797">
        <w:rPr>
          <w:rFonts w:ascii="Arial" w:hAnsi="Arial" w:cs="Arial"/>
          <w:lang w:val="en-GB"/>
        </w:rPr>
        <w:t xml:space="preserve">its continuous participation. </w:t>
      </w:r>
    </w:p>
    <w:p w:rsidR="00817241" w:rsidRDefault="00817241">
      <w:pPr>
        <w:rPr>
          <w:rFonts w:ascii="Arial" w:hAnsi="Arial" w:cs="Arial"/>
          <w:lang w:val="en-GB"/>
        </w:rPr>
      </w:pPr>
    </w:p>
    <w:p w:rsidR="00E01912" w:rsidRPr="00FF0CDE" w:rsidRDefault="00817241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EESC member </w:t>
      </w:r>
      <w:r w:rsidRPr="008E45F6">
        <w:rPr>
          <w:rFonts w:ascii="Arial" w:hAnsi="Arial" w:cs="Arial"/>
          <w:b/>
          <w:lang w:val="en-GB"/>
        </w:rPr>
        <w:t xml:space="preserve">Sandra </w:t>
      </w:r>
      <w:proofErr w:type="spellStart"/>
      <w:r w:rsidRPr="008E45F6">
        <w:rPr>
          <w:rFonts w:ascii="Arial" w:hAnsi="Arial" w:cs="Arial"/>
          <w:b/>
          <w:lang w:val="en-GB"/>
        </w:rPr>
        <w:t>Parthie</w:t>
      </w:r>
      <w:proofErr w:type="spellEnd"/>
      <w:r>
        <w:rPr>
          <w:rFonts w:ascii="Arial" w:hAnsi="Arial" w:cs="Arial"/>
          <w:lang w:val="en-GB"/>
        </w:rPr>
        <w:t xml:space="preserve">, rapporteur for </w:t>
      </w:r>
      <w:r w:rsidR="00D42474">
        <w:rPr>
          <w:rFonts w:ascii="Arial" w:hAnsi="Arial" w:cs="Arial"/>
          <w:lang w:val="en-GB"/>
        </w:rPr>
        <w:t xml:space="preserve">the </w:t>
      </w:r>
      <w:r w:rsidR="00A127BD">
        <w:rPr>
          <w:rFonts w:ascii="Arial" w:hAnsi="Arial" w:cs="Arial"/>
          <w:lang w:val="en-GB"/>
        </w:rPr>
        <w:t>EESC upcoming opinion</w:t>
      </w:r>
      <w:r>
        <w:rPr>
          <w:rFonts w:ascii="Arial" w:hAnsi="Arial" w:cs="Arial"/>
          <w:lang w:val="en-GB"/>
        </w:rPr>
        <w:t xml:space="preserve"> on </w:t>
      </w:r>
      <w:r w:rsidR="00270603">
        <w:rPr>
          <w:rFonts w:ascii="Arial" w:hAnsi="Arial" w:cs="Arial"/>
          <w:lang w:val="en-GB"/>
        </w:rPr>
        <w:t>strategic foresight</w:t>
      </w:r>
      <w:r w:rsidR="00FF0CDE">
        <w:rPr>
          <w:rFonts w:ascii="Arial" w:hAnsi="Arial" w:cs="Arial"/>
          <w:lang w:val="en-GB"/>
        </w:rPr>
        <w:t xml:space="preserve">, mentioned that </w:t>
      </w:r>
      <w:r w:rsidR="00270603">
        <w:rPr>
          <w:rFonts w:ascii="Arial" w:hAnsi="Arial" w:cs="Arial"/>
          <w:lang w:val="en-GB"/>
        </w:rPr>
        <w:t xml:space="preserve">the </w:t>
      </w:r>
      <w:r w:rsidR="00FF0CDE">
        <w:rPr>
          <w:rFonts w:ascii="Arial" w:hAnsi="Arial" w:cs="Arial"/>
          <w:lang w:val="en-GB"/>
        </w:rPr>
        <w:t xml:space="preserve">expertise of </w:t>
      </w:r>
      <w:r w:rsidR="008E45F6">
        <w:rPr>
          <w:rFonts w:ascii="Arial" w:hAnsi="Arial" w:cs="Arial"/>
          <w:lang w:val="en-GB"/>
        </w:rPr>
        <w:t>CSOs</w:t>
      </w:r>
      <w:r w:rsidR="00FF0CDE">
        <w:rPr>
          <w:rFonts w:ascii="Arial" w:hAnsi="Arial" w:cs="Arial"/>
          <w:lang w:val="en-GB"/>
        </w:rPr>
        <w:t xml:space="preserve"> should be taken into account in the Commission's report</w:t>
      </w:r>
      <w:r w:rsidR="00270603">
        <w:rPr>
          <w:rFonts w:ascii="Arial" w:hAnsi="Arial" w:cs="Arial"/>
          <w:lang w:val="en-GB"/>
        </w:rPr>
        <w:t>s, which requires</w:t>
      </w:r>
      <w:r w:rsidR="00FF0CDE">
        <w:rPr>
          <w:rFonts w:ascii="Arial" w:hAnsi="Arial" w:cs="Arial"/>
          <w:lang w:val="en-GB"/>
        </w:rPr>
        <w:t xml:space="preserve"> a functioning process. Ms. Parthie stressed that</w:t>
      </w:r>
      <w:r w:rsidR="00270603">
        <w:rPr>
          <w:rFonts w:ascii="Arial" w:hAnsi="Arial" w:cs="Arial"/>
          <w:lang w:val="en-GB"/>
        </w:rPr>
        <w:t>,</w:t>
      </w:r>
      <w:r w:rsidR="00FF0CDE">
        <w:rPr>
          <w:rFonts w:ascii="Arial" w:hAnsi="Arial" w:cs="Arial"/>
          <w:lang w:val="en-GB"/>
        </w:rPr>
        <w:t xml:space="preserve"> in order for </w:t>
      </w:r>
      <w:r w:rsidR="003D693D" w:rsidRPr="003D693D">
        <w:rPr>
          <w:rFonts w:ascii="Arial" w:hAnsi="Arial" w:cs="Arial"/>
        </w:rPr>
        <w:t xml:space="preserve">foresight to </w:t>
      </w:r>
      <w:r w:rsidR="00FF0CDE">
        <w:rPr>
          <w:rFonts w:ascii="Arial" w:hAnsi="Arial" w:cs="Arial"/>
        </w:rPr>
        <w:t>be useful</w:t>
      </w:r>
      <w:r w:rsidR="00270603">
        <w:rPr>
          <w:rFonts w:ascii="Arial" w:hAnsi="Arial" w:cs="Arial"/>
        </w:rPr>
        <w:t>,</w:t>
      </w:r>
      <w:r w:rsidR="00FF0CDE">
        <w:rPr>
          <w:rFonts w:ascii="Arial" w:hAnsi="Arial" w:cs="Arial"/>
        </w:rPr>
        <w:t xml:space="preserve"> "</w:t>
      </w:r>
      <w:r w:rsidR="00270603">
        <w:rPr>
          <w:rFonts w:ascii="Arial" w:hAnsi="Arial" w:cs="Arial"/>
          <w:i/>
        </w:rPr>
        <w:t>i</w:t>
      </w:r>
      <w:r w:rsidR="00270603" w:rsidRPr="00FF0CDE">
        <w:rPr>
          <w:rFonts w:ascii="Arial" w:hAnsi="Arial" w:cs="Arial"/>
          <w:i/>
        </w:rPr>
        <w:t xml:space="preserve">t </w:t>
      </w:r>
      <w:r w:rsidR="003D693D" w:rsidRPr="00FF0CDE">
        <w:rPr>
          <w:rFonts w:ascii="Arial" w:hAnsi="Arial" w:cs="Arial"/>
          <w:i/>
        </w:rPr>
        <w:t xml:space="preserve">needs a very wide lens, a multitude of sensors in business </w:t>
      </w:r>
      <w:r w:rsidR="00FF0CDE" w:rsidRPr="00FF0CDE">
        <w:rPr>
          <w:rFonts w:ascii="Arial" w:hAnsi="Arial" w:cs="Arial"/>
          <w:i/>
        </w:rPr>
        <w:t>and</w:t>
      </w:r>
      <w:r w:rsidR="003D693D" w:rsidRPr="00FF0CDE">
        <w:rPr>
          <w:rFonts w:ascii="Arial" w:hAnsi="Arial" w:cs="Arial"/>
          <w:i/>
        </w:rPr>
        <w:t xml:space="preserve"> society to catch relevant signals early enough to be able to react. </w:t>
      </w:r>
      <w:r w:rsidR="00FF0CDE" w:rsidRPr="00FF0CDE">
        <w:rPr>
          <w:rFonts w:ascii="Arial" w:hAnsi="Arial" w:cs="Arial"/>
          <w:i/>
        </w:rPr>
        <w:t>Therefore</w:t>
      </w:r>
      <w:r w:rsidR="003D693D" w:rsidRPr="00FF0CDE">
        <w:rPr>
          <w:rFonts w:ascii="Arial" w:hAnsi="Arial" w:cs="Arial"/>
          <w:i/>
        </w:rPr>
        <w:t xml:space="preserve">, </w:t>
      </w:r>
      <w:r w:rsidR="00FF0CDE" w:rsidRPr="00FF0CDE">
        <w:rPr>
          <w:rFonts w:ascii="Arial" w:hAnsi="Arial" w:cs="Arial"/>
          <w:i/>
        </w:rPr>
        <w:t xml:space="preserve">the </w:t>
      </w:r>
      <w:r w:rsidR="003D693D" w:rsidRPr="00FF0CDE">
        <w:rPr>
          <w:rFonts w:ascii="Arial" w:hAnsi="Arial" w:cs="Arial"/>
          <w:i/>
        </w:rPr>
        <w:t>EESC insights must structurally be better included in the Commission’s</w:t>
      </w:r>
      <w:r w:rsidR="00FF0CDE" w:rsidRPr="00FF0CDE">
        <w:rPr>
          <w:rFonts w:ascii="Arial" w:hAnsi="Arial" w:cs="Arial"/>
          <w:i/>
        </w:rPr>
        <w:t xml:space="preserve"> strategic foresight</w:t>
      </w:r>
      <w:r w:rsidR="003D693D" w:rsidRPr="00FF0CDE">
        <w:rPr>
          <w:rFonts w:ascii="Arial" w:hAnsi="Arial" w:cs="Arial"/>
          <w:i/>
        </w:rPr>
        <w:t xml:space="preserve"> cycle</w:t>
      </w:r>
      <w:r w:rsidR="00FF0CDE" w:rsidRPr="00FF0CDE">
        <w:rPr>
          <w:rFonts w:ascii="Arial" w:hAnsi="Arial" w:cs="Arial"/>
          <w:i/>
        </w:rPr>
        <w:t>."</w:t>
      </w:r>
    </w:p>
    <w:p w:rsidR="00E01912" w:rsidRDefault="00E01912">
      <w:pPr>
        <w:rPr>
          <w:rFonts w:ascii="Arial" w:hAnsi="Arial" w:cs="Arial"/>
          <w:lang w:val="en-GB"/>
        </w:rPr>
      </w:pPr>
    </w:p>
    <w:p w:rsidR="00E01912" w:rsidRPr="00E01912" w:rsidRDefault="00FF0CD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lang w:val="en-GB"/>
        </w:rPr>
        <w:t>Calling for an active involvement of CSOs</w:t>
      </w:r>
      <w:r w:rsidR="007063FF">
        <w:rPr>
          <w:rFonts w:ascii="Arial" w:hAnsi="Arial" w:cs="Arial"/>
          <w:lang w:val="en-GB"/>
        </w:rPr>
        <w:t>, employers and trade unions</w:t>
      </w:r>
      <w:r>
        <w:rPr>
          <w:rFonts w:ascii="Arial" w:hAnsi="Arial" w:cs="Arial"/>
          <w:lang w:val="en-GB"/>
        </w:rPr>
        <w:t xml:space="preserve"> </w:t>
      </w:r>
      <w:r w:rsidR="008E45F6">
        <w:rPr>
          <w:rFonts w:ascii="Arial" w:hAnsi="Arial" w:cs="Arial"/>
          <w:lang w:val="en-GB"/>
        </w:rPr>
        <w:t xml:space="preserve">in the foresight process as he concluded the event, </w:t>
      </w:r>
      <w:r w:rsidR="00270603">
        <w:rPr>
          <w:rFonts w:ascii="Arial" w:hAnsi="Arial" w:cs="Arial"/>
          <w:lang w:val="en-GB"/>
        </w:rPr>
        <w:t>REX section</w:t>
      </w:r>
      <w:r w:rsidR="00270603" w:rsidRPr="008E45F6">
        <w:rPr>
          <w:rFonts w:ascii="Arial" w:hAnsi="Arial" w:cs="Arial"/>
          <w:b/>
          <w:lang w:val="en-GB"/>
        </w:rPr>
        <w:t xml:space="preserve"> </w:t>
      </w:r>
      <w:r w:rsidR="00270603">
        <w:rPr>
          <w:rFonts w:ascii="Arial" w:hAnsi="Arial" w:cs="Arial"/>
          <w:lang w:val="en-GB"/>
        </w:rPr>
        <w:t xml:space="preserve">president </w:t>
      </w:r>
      <w:r w:rsidR="008E45F6" w:rsidRPr="008E45F6">
        <w:rPr>
          <w:rFonts w:ascii="Arial" w:hAnsi="Arial" w:cs="Arial"/>
          <w:b/>
          <w:lang w:val="en-GB"/>
        </w:rPr>
        <w:t>Dimitris Dimitriadis</w:t>
      </w:r>
      <w:r w:rsidR="008E45F6">
        <w:rPr>
          <w:rFonts w:ascii="Arial" w:hAnsi="Arial" w:cs="Arial"/>
          <w:lang w:val="en-GB"/>
        </w:rPr>
        <w:t xml:space="preserve"> </w:t>
      </w:r>
      <w:r w:rsidR="007063FF">
        <w:rPr>
          <w:rFonts w:ascii="Arial" w:hAnsi="Arial" w:cs="Arial"/>
          <w:lang w:val="en-GB"/>
        </w:rPr>
        <w:t>also added</w:t>
      </w:r>
      <w:r w:rsidR="008E45F6">
        <w:rPr>
          <w:rFonts w:ascii="Arial" w:hAnsi="Arial" w:cs="Arial"/>
          <w:lang w:val="en-GB"/>
        </w:rPr>
        <w:t xml:space="preserve">: </w:t>
      </w:r>
      <w:r w:rsidR="008E45F6" w:rsidRPr="007063FF">
        <w:rPr>
          <w:rFonts w:ascii="Arial" w:hAnsi="Arial" w:cs="Arial"/>
          <w:i/>
          <w:lang w:val="en-GB"/>
        </w:rPr>
        <w:t xml:space="preserve">"We must focus on the megatrends concerning the EU. It </w:t>
      </w:r>
      <w:r w:rsidR="007063FF" w:rsidRPr="007063FF">
        <w:rPr>
          <w:rFonts w:ascii="Arial" w:hAnsi="Arial" w:cs="Arial"/>
          <w:i/>
          <w:lang w:val="en-GB"/>
        </w:rPr>
        <w:t xml:space="preserve">is important to observe how </w:t>
      </w:r>
      <w:r w:rsidR="008E45F6" w:rsidRPr="007063FF">
        <w:rPr>
          <w:rFonts w:ascii="Arial" w:hAnsi="Arial" w:cs="Arial"/>
          <w:i/>
          <w:lang w:val="en-GB"/>
        </w:rPr>
        <w:t>the EU reacts to these megatrends</w:t>
      </w:r>
      <w:r w:rsidR="00374CE8">
        <w:rPr>
          <w:rFonts w:ascii="Arial" w:hAnsi="Arial" w:cs="Arial"/>
          <w:i/>
          <w:lang w:val="en-GB"/>
        </w:rPr>
        <w:t>,</w:t>
      </w:r>
      <w:r w:rsidR="007063FF">
        <w:rPr>
          <w:rFonts w:ascii="Arial" w:hAnsi="Arial" w:cs="Arial"/>
          <w:i/>
          <w:lang w:val="en-GB"/>
        </w:rPr>
        <w:t xml:space="preserve"> as </w:t>
      </w:r>
      <w:r w:rsidR="00620D4C">
        <w:rPr>
          <w:rFonts w:ascii="Arial" w:hAnsi="Arial" w:cs="Arial"/>
          <w:i/>
          <w:lang w:val="en-GB"/>
        </w:rPr>
        <w:t>they have</w:t>
      </w:r>
      <w:r w:rsidR="007063FF">
        <w:rPr>
          <w:rFonts w:ascii="Arial" w:hAnsi="Arial" w:cs="Arial"/>
          <w:i/>
          <w:lang w:val="en-GB"/>
        </w:rPr>
        <w:t xml:space="preserve"> an impact on our future</w:t>
      </w:r>
      <w:r w:rsidR="007063FF" w:rsidRPr="007063FF">
        <w:rPr>
          <w:rFonts w:ascii="Arial" w:hAnsi="Arial" w:cs="Arial"/>
          <w:i/>
          <w:lang w:val="en-GB"/>
        </w:rPr>
        <w:t>."</w:t>
      </w:r>
    </w:p>
    <w:sectPr w:rsidR="00E01912" w:rsidRPr="00E01912" w:rsidSect="007063FF"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2"/>
    <w:rsid w:val="00044E8E"/>
    <w:rsid w:val="000641F3"/>
    <w:rsid w:val="000873D2"/>
    <w:rsid w:val="001B7F0F"/>
    <w:rsid w:val="001D3DA8"/>
    <w:rsid w:val="00270603"/>
    <w:rsid w:val="002B5584"/>
    <w:rsid w:val="002C04F9"/>
    <w:rsid w:val="002D37DC"/>
    <w:rsid w:val="002F4F03"/>
    <w:rsid w:val="00304C63"/>
    <w:rsid w:val="0030774F"/>
    <w:rsid w:val="003429BB"/>
    <w:rsid w:val="00374CE8"/>
    <w:rsid w:val="003A1E9F"/>
    <w:rsid w:val="003D693D"/>
    <w:rsid w:val="003E0AF2"/>
    <w:rsid w:val="003E7DBA"/>
    <w:rsid w:val="00457BC7"/>
    <w:rsid w:val="00474B60"/>
    <w:rsid w:val="004B65BF"/>
    <w:rsid w:val="004C4704"/>
    <w:rsid w:val="00541797"/>
    <w:rsid w:val="005455B1"/>
    <w:rsid w:val="00580F1A"/>
    <w:rsid w:val="0059005F"/>
    <w:rsid w:val="00596F36"/>
    <w:rsid w:val="005A444D"/>
    <w:rsid w:val="00620D4C"/>
    <w:rsid w:val="00631B02"/>
    <w:rsid w:val="0067780F"/>
    <w:rsid w:val="007063FF"/>
    <w:rsid w:val="00741AFC"/>
    <w:rsid w:val="0075275D"/>
    <w:rsid w:val="00767909"/>
    <w:rsid w:val="007720D8"/>
    <w:rsid w:val="00791780"/>
    <w:rsid w:val="007E1A85"/>
    <w:rsid w:val="007F2494"/>
    <w:rsid w:val="00815BE7"/>
    <w:rsid w:val="00817241"/>
    <w:rsid w:val="0084628F"/>
    <w:rsid w:val="008E45F6"/>
    <w:rsid w:val="008F76C4"/>
    <w:rsid w:val="00941F71"/>
    <w:rsid w:val="009A1C79"/>
    <w:rsid w:val="009F5D2C"/>
    <w:rsid w:val="00A127BD"/>
    <w:rsid w:val="00A53794"/>
    <w:rsid w:val="00AE0A56"/>
    <w:rsid w:val="00B26E47"/>
    <w:rsid w:val="00B37021"/>
    <w:rsid w:val="00B4108E"/>
    <w:rsid w:val="00B50BAE"/>
    <w:rsid w:val="00C05CD5"/>
    <w:rsid w:val="00C65C38"/>
    <w:rsid w:val="00C867E8"/>
    <w:rsid w:val="00CD4D27"/>
    <w:rsid w:val="00D0453E"/>
    <w:rsid w:val="00D42474"/>
    <w:rsid w:val="00D65396"/>
    <w:rsid w:val="00DB169D"/>
    <w:rsid w:val="00DC21AA"/>
    <w:rsid w:val="00E01912"/>
    <w:rsid w:val="00E80143"/>
    <w:rsid w:val="00E9608E"/>
    <w:rsid w:val="00EA1F3C"/>
    <w:rsid w:val="00FD52A8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32FE"/>
  <w15:chartTrackingRefBased/>
  <w15:docId w15:val="{2822A4B8-6357-4848-8E36-6CC740D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D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873D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873D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873D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873D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873D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873D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873D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73D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873D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3D2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0873D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0873D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0873D2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0873D2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873D2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0873D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0873D2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0873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0873D2"/>
  </w:style>
  <w:style w:type="character" w:customStyle="1" w:styleId="FooterChar">
    <w:name w:val="Footer Char"/>
    <w:basedOn w:val="DefaultParagraphFont"/>
    <w:link w:val="Footer"/>
    <w:rsid w:val="000873D2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0873D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873D2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0873D2"/>
  </w:style>
  <w:style w:type="character" w:customStyle="1" w:styleId="HeaderChar">
    <w:name w:val="Header Char"/>
    <w:basedOn w:val="DefaultParagraphFont"/>
    <w:link w:val="Header"/>
    <w:rsid w:val="000873D2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0873D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873D2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26E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5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okings.edu/wp-content/uploads/2022/01/foresightafrica2022_full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news/foresight-study-sets-out-possible-senarios-research-and-innovation-policies-western-balkans-2035-2021-oct-12_en" TargetMode="External"/><Relationship Id="rId5" Type="http://schemas.openxmlformats.org/officeDocument/2006/relationships/hyperlink" Target="https://www.eesc.europa.eu/en/agenda/our-events/events/strategic-foresight-vision-future-eur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2</cp:revision>
  <cp:lastPrinted>2022-02-03T10:27:00Z</cp:lastPrinted>
  <dcterms:created xsi:type="dcterms:W3CDTF">2022-02-17T08:20:00Z</dcterms:created>
  <dcterms:modified xsi:type="dcterms:W3CDTF">2022-02-17T08:20:00Z</dcterms:modified>
</cp:coreProperties>
</file>