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C1A" w:rsidRDefault="004B339C" w:rsidP="006D2F62">
      <w:pPr>
        <w:pStyle w:val="NormalWeb"/>
        <w:jc w:val="both"/>
        <w:rPr>
          <w:rFonts w:ascii="Arial" w:hAnsi="Arial" w:cs="Arial"/>
          <w:b/>
          <w:sz w:val="32"/>
          <w:szCs w:val="22"/>
        </w:rPr>
      </w:pPr>
      <w:r w:rsidRPr="00781374">
        <w:rPr>
          <w:rFonts w:ascii="Arial" w:hAnsi="Arial" w:cs="Arial"/>
          <w:b/>
          <w:sz w:val="32"/>
          <w:szCs w:val="22"/>
        </w:rPr>
        <w:t>Europe</w:t>
      </w:r>
      <w:r w:rsidRPr="00781374" w:rsidDel="004B339C">
        <w:rPr>
          <w:rFonts w:ascii="Arial" w:hAnsi="Arial" w:cs="Arial"/>
          <w:b/>
          <w:sz w:val="32"/>
          <w:szCs w:val="22"/>
        </w:rPr>
        <w:t xml:space="preserve"> </w:t>
      </w:r>
      <w:r w:rsidR="008E09F2">
        <w:rPr>
          <w:rFonts w:ascii="Arial" w:hAnsi="Arial" w:cs="Arial"/>
          <w:b/>
          <w:sz w:val="32"/>
          <w:szCs w:val="22"/>
        </w:rPr>
        <w:t xml:space="preserve">must </w:t>
      </w:r>
      <w:r w:rsidR="002C1798" w:rsidRPr="00781374">
        <w:rPr>
          <w:rFonts w:ascii="Arial" w:hAnsi="Arial" w:cs="Arial"/>
          <w:b/>
          <w:sz w:val="32"/>
          <w:szCs w:val="22"/>
        </w:rPr>
        <w:t>strongly combat the spread of hate speech and hate crime</w:t>
      </w:r>
      <w:bookmarkStart w:id="0" w:name="_GoBack"/>
      <w:bookmarkEnd w:id="0"/>
    </w:p>
    <w:p w:rsidR="00000C1A" w:rsidRPr="00781374" w:rsidRDefault="00C51401" w:rsidP="006D2F62">
      <w:pPr>
        <w:pStyle w:val="NormalWeb"/>
        <w:jc w:val="both"/>
        <w:rPr>
          <w:rFonts w:ascii="Arial" w:hAnsi="Arial" w:cs="Arial"/>
          <w:b/>
        </w:rPr>
      </w:pPr>
      <w:r w:rsidRPr="00781374">
        <w:rPr>
          <w:rFonts w:ascii="Arial" w:hAnsi="Arial" w:cs="Arial"/>
          <w:b/>
        </w:rPr>
        <w:t>T</w:t>
      </w:r>
      <w:r w:rsidR="00000C1A" w:rsidRPr="00781374">
        <w:rPr>
          <w:rFonts w:ascii="Arial" w:hAnsi="Arial" w:cs="Arial"/>
          <w:b/>
        </w:rPr>
        <w:t>he European Economic and Social Committee (EESC)</w:t>
      </w:r>
      <w:r w:rsidR="008B6290" w:rsidRPr="00781374">
        <w:rPr>
          <w:rFonts w:ascii="Arial" w:hAnsi="Arial" w:cs="Arial"/>
          <w:b/>
        </w:rPr>
        <w:t xml:space="preserve"> </w:t>
      </w:r>
      <w:r w:rsidR="002C1798" w:rsidRPr="00781374">
        <w:rPr>
          <w:rFonts w:ascii="Arial" w:hAnsi="Arial" w:cs="Arial"/>
          <w:b/>
        </w:rPr>
        <w:t xml:space="preserve">strongly </w:t>
      </w:r>
      <w:r w:rsidR="008B6290" w:rsidRPr="00781374">
        <w:rPr>
          <w:rFonts w:ascii="Arial" w:hAnsi="Arial" w:cs="Arial"/>
          <w:b/>
        </w:rPr>
        <w:t xml:space="preserve">supports the European Commission </w:t>
      </w:r>
      <w:r w:rsidR="002C1798" w:rsidRPr="00781374">
        <w:rPr>
          <w:rFonts w:ascii="Arial" w:hAnsi="Arial" w:cs="Arial"/>
          <w:b/>
        </w:rPr>
        <w:t xml:space="preserve">in its initiative </w:t>
      </w:r>
      <w:r w:rsidR="008B6290" w:rsidRPr="00781374">
        <w:rPr>
          <w:rFonts w:ascii="Arial" w:hAnsi="Arial" w:cs="Arial"/>
          <w:b/>
        </w:rPr>
        <w:t>to extend the list of EU crimes to all forms</w:t>
      </w:r>
      <w:r w:rsidR="00000C1A" w:rsidRPr="00781374">
        <w:rPr>
          <w:rFonts w:ascii="Arial" w:hAnsi="Arial" w:cs="Arial"/>
          <w:b/>
        </w:rPr>
        <w:t xml:space="preserve"> of hate crime and hate speech </w:t>
      </w:r>
      <w:r w:rsidRPr="00781374">
        <w:rPr>
          <w:rFonts w:ascii="Arial" w:hAnsi="Arial" w:cs="Arial"/>
          <w:b/>
        </w:rPr>
        <w:t xml:space="preserve">in an opinion adopted in its May plenary, </w:t>
      </w:r>
      <w:r w:rsidR="00000C1A" w:rsidRPr="00781374">
        <w:rPr>
          <w:rFonts w:ascii="Arial" w:hAnsi="Arial" w:cs="Arial"/>
          <w:b/>
        </w:rPr>
        <w:t>and en</w:t>
      </w:r>
      <w:r w:rsidR="002C1798" w:rsidRPr="00781374">
        <w:rPr>
          <w:rFonts w:ascii="Arial" w:hAnsi="Arial" w:cs="Arial"/>
          <w:b/>
        </w:rPr>
        <w:t xml:space="preserve">courages the Council </w:t>
      </w:r>
      <w:r w:rsidR="00AF5BF4">
        <w:rPr>
          <w:rFonts w:ascii="Arial" w:hAnsi="Arial" w:cs="Arial"/>
          <w:b/>
        </w:rPr>
        <w:t>take on</w:t>
      </w:r>
      <w:r w:rsidR="002C1798" w:rsidRPr="00781374">
        <w:rPr>
          <w:rFonts w:ascii="Arial" w:hAnsi="Arial" w:cs="Arial"/>
          <w:b/>
        </w:rPr>
        <w:t xml:space="preserve"> th</w:t>
      </w:r>
      <w:r w:rsidR="00EB2E5E" w:rsidRPr="00781374">
        <w:rPr>
          <w:rFonts w:ascii="Arial" w:hAnsi="Arial" w:cs="Arial"/>
          <w:b/>
        </w:rPr>
        <w:t>is important</w:t>
      </w:r>
      <w:r w:rsidR="002C1798" w:rsidRPr="00781374">
        <w:rPr>
          <w:rFonts w:ascii="Arial" w:hAnsi="Arial" w:cs="Arial"/>
          <w:b/>
        </w:rPr>
        <w:t xml:space="preserve"> proposal.</w:t>
      </w:r>
    </w:p>
    <w:p w:rsidR="00AF5BF4" w:rsidRPr="00781374" w:rsidRDefault="00C51401" w:rsidP="006D2F62">
      <w:pPr>
        <w:pStyle w:val="NormalWeb"/>
        <w:jc w:val="both"/>
        <w:rPr>
          <w:rFonts w:ascii="Arial" w:hAnsi="Arial" w:cs="Arial"/>
        </w:rPr>
      </w:pPr>
      <w:r w:rsidRPr="00781374">
        <w:rPr>
          <w:rFonts w:ascii="Arial" w:hAnsi="Arial" w:cs="Arial"/>
        </w:rPr>
        <w:t xml:space="preserve">Over the last decade, civil society </w:t>
      </w:r>
      <w:r w:rsidR="00FA1B25" w:rsidRPr="00781374">
        <w:rPr>
          <w:rFonts w:ascii="Arial" w:hAnsi="Arial" w:cs="Arial"/>
        </w:rPr>
        <w:t>organi</w:t>
      </w:r>
      <w:r w:rsidR="00FA1B25">
        <w:rPr>
          <w:rFonts w:ascii="Arial" w:hAnsi="Arial" w:cs="Arial"/>
        </w:rPr>
        <w:t>s</w:t>
      </w:r>
      <w:r w:rsidR="00FA1B25" w:rsidRPr="00781374">
        <w:rPr>
          <w:rFonts w:ascii="Arial" w:hAnsi="Arial" w:cs="Arial"/>
        </w:rPr>
        <w:t xml:space="preserve">ations </w:t>
      </w:r>
      <w:r w:rsidRPr="00781374">
        <w:rPr>
          <w:rFonts w:ascii="Arial" w:hAnsi="Arial" w:cs="Arial"/>
        </w:rPr>
        <w:t xml:space="preserve">have witnessed the rise of hate speech and hate crime first-hand, both as targets of hatred and when assisting individuals and communities affected by these attacks. As a result, the Committee </w:t>
      </w:r>
      <w:r w:rsidR="00FA1B25" w:rsidRPr="00781374">
        <w:rPr>
          <w:rFonts w:ascii="Arial" w:hAnsi="Arial" w:cs="Arial"/>
        </w:rPr>
        <w:t>recogni</w:t>
      </w:r>
      <w:r w:rsidR="00FA1B25">
        <w:rPr>
          <w:rFonts w:ascii="Arial" w:hAnsi="Arial" w:cs="Arial"/>
        </w:rPr>
        <w:t>s</w:t>
      </w:r>
      <w:r w:rsidR="00FA1B25" w:rsidRPr="00781374">
        <w:rPr>
          <w:rFonts w:ascii="Arial" w:hAnsi="Arial" w:cs="Arial"/>
        </w:rPr>
        <w:t xml:space="preserve">es </w:t>
      </w:r>
      <w:r w:rsidRPr="00781374">
        <w:rPr>
          <w:rFonts w:ascii="Arial" w:hAnsi="Arial" w:cs="Arial"/>
        </w:rPr>
        <w:t>the critical need to safeguard human dignity, fundamental rights and equality.</w:t>
      </w:r>
      <w:r w:rsidR="002C1798" w:rsidRPr="00781374">
        <w:rPr>
          <w:rFonts w:ascii="Arial" w:hAnsi="Arial" w:cs="Arial"/>
        </w:rPr>
        <w:t xml:space="preserve"> </w:t>
      </w:r>
      <w:r w:rsidR="00EB2E5E" w:rsidRPr="00781374">
        <w:rPr>
          <w:rFonts w:ascii="Arial" w:hAnsi="Arial" w:cs="Arial"/>
        </w:rPr>
        <w:t>"</w:t>
      </w:r>
      <w:r w:rsidR="002C1798" w:rsidRPr="00781374">
        <w:rPr>
          <w:rFonts w:ascii="Arial" w:hAnsi="Arial" w:cs="Arial"/>
        </w:rPr>
        <w:t>Democracy, and the EU itself, are not possible if people are living in fear and</w:t>
      </w:r>
      <w:r w:rsidR="00EB2E5E" w:rsidRPr="00781374">
        <w:rPr>
          <w:rFonts w:ascii="Arial" w:hAnsi="Arial" w:cs="Arial"/>
        </w:rPr>
        <w:t xml:space="preserve"> shame</w:t>
      </w:r>
      <w:r w:rsidR="00FA1B25">
        <w:rPr>
          <w:rFonts w:ascii="Arial" w:hAnsi="Arial" w:cs="Arial"/>
        </w:rPr>
        <w:t>,</w:t>
      </w:r>
      <w:r w:rsidR="00EB2E5E" w:rsidRPr="00781374">
        <w:rPr>
          <w:rFonts w:ascii="Arial" w:hAnsi="Arial" w:cs="Arial"/>
        </w:rPr>
        <w:t>" says EESC</w:t>
      </w:r>
      <w:r w:rsidR="00367107">
        <w:rPr>
          <w:rFonts w:ascii="Arial" w:hAnsi="Arial" w:cs="Arial"/>
        </w:rPr>
        <w:t xml:space="preserve"> </w:t>
      </w:r>
      <w:r w:rsidR="00121608">
        <w:rPr>
          <w:rFonts w:ascii="Arial" w:hAnsi="Arial" w:cs="Arial"/>
        </w:rPr>
        <w:t xml:space="preserve">rapporteur </w:t>
      </w:r>
      <w:r w:rsidR="00121608" w:rsidRPr="00121608">
        <w:rPr>
          <w:rFonts w:ascii="Arial" w:hAnsi="Arial" w:cs="Arial"/>
          <w:b/>
        </w:rPr>
        <w:t>Cristian Pîrvulescu</w:t>
      </w:r>
      <w:r w:rsidR="00EB2E5E" w:rsidRPr="00781374">
        <w:rPr>
          <w:rFonts w:ascii="Arial" w:hAnsi="Arial" w:cs="Arial"/>
        </w:rPr>
        <w:t>.</w:t>
      </w:r>
    </w:p>
    <w:p w:rsidR="00EB2E5E" w:rsidRPr="00781374" w:rsidRDefault="00717280" w:rsidP="006D2F62">
      <w:pPr>
        <w:pStyle w:val="NormalWeb"/>
        <w:jc w:val="both"/>
        <w:rPr>
          <w:rFonts w:ascii="Arial" w:hAnsi="Arial" w:cs="Arial"/>
        </w:rPr>
      </w:pPr>
      <w:r w:rsidRPr="00781374">
        <w:rPr>
          <w:rFonts w:ascii="Arial" w:hAnsi="Arial" w:cs="Arial"/>
        </w:rPr>
        <w:t xml:space="preserve">Through the advance of social media and thanks to freedom of movement, the EU public sphere has become </w:t>
      </w:r>
      <w:r w:rsidR="00C51401" w:rsidRPr="00781374">
        <w:rPr>
          <w:rFonts w:ascii="Arial" w:hAnsi="Arial" w:cs="Arial"/>
        </w:rPr>
        <w:t>more</w:t>
      </w:r>
      <w:r w:rsidRPr="00781374">
        <w:rPr>
          <w:rFonts w:ascii="Arial" w:hAnsi="Arial" w:cs="Arial"/>
        </w:rPr>
        <w:t xml:space="preserve"> integrated. For this reason, a common basis is </w:t>
      </w:r>
      <w:r w:rsidR="00781374" w:rsidRPr="00781374">
        <w:rPr>
          <w:rFonts w:ascii="Arial" w:hAnsi="Arial" w:cs="Arial"/>
        </w:rPr>
        <w:t xml:space="preserve">now </w:t>
      </w:r>
      <w:r w:rsidRPr="00781374">
        <w:rPr>
          <w:rFonts w:ascii="Arial" w:hAnsi="Arial" w:cs="Arial"/>
        </w:rPr>
        <w:t xml:space="preserve">indispensable to </w:t>
      </w:r>
      <w:r w:rsidR="00781374" w:rsidRPr="00781374">
        <w:rPr>
          <w:rFonts w:ascii="Arial" w:hAnsi="Arial" w:cs="Arial"/>
        </w:rPr>
        <w:t>effectively</w:t>
      </w:r>
      <w:r w:rsidRPr="00781374">
        <w:rPr>
          <w:rFonts w:ascii="Arial" w:hAnsi="Arial" w:cs="Arial"/>
        </w:rPr>
        <w:t xml:space="preserve"> combat hate crime and hate speech. </w:t>
      </w:r>
    </w:p>
    <w:p w:rsidR="00717280" w:rsidRPr="00781374" w:rsidRDefault="00526F32" w:rsidP="00781374">
      <w:pPr>
        <w:pStyle w:val="NormalWeb"/>
        <w:jc w:val="both"/>
        <w:rPr>
          <w:rFonts w:ascii="Arial" w:hAnsi="Arial" w:cs="Arial"/>
        </w:rPr>
      </w:pPr>
      <w:r w:rsidRPr="00526F32">
        <w:rPr>
          <w:rFonts w:ascii="Arial" w:hAnsi="Arial" w:cs="Arial"/>
        </w:rPr>
        <w:t xml:space="preserve">The EESC therefore encourages the Council to adopt </w:t>
      </w:r>
      <w:r w:rsidR="0009524C">
        <w:rPr>
          <w:rFonts w:ascii="Arial" w:hAnsi="Arial" w:cs="Arial"/>
        </w:rPr>
        <w:t xml:space="preserve">the </w:t>
      </w:r>
      <w:r w:rsidRPr="00526F32">
        <w:rPr>
          <w:rFonts w:ascii="Arial" w:hAnsi="Arial" w:cs="Arial"/>
        </w:rPr>
        <w:t>Decision</w:t>
      </w:r>
      <w:r w:rsidR="0009524C">
        <w:rPr>
          <w:rFonts w:ascii="Arial" w:hAnsi="Arial" w:cs="Arial"/>
        </w:rPr>
        <w:t xml:space="preserve"> proposed by the European Commission, which would </w:t>
      </w:r>
      <w:r w:rsidRPr="00526F32">
        <w:rPr>
          <w:rFonts w:ascii="Arial" w:hAnsi="Arial" w:cs="Arial"/>
        </w:rPr>
        <w:t xml:space="preserve">allow the European </w:t>
      </w:r>
      <w:r w:rsidR="0009524C">
        <w:rPr>
          <w:rFonts w:ascii="Arial" w:hAnsi="Arial" w:cs="Arial"/>
        </w:rPr>
        <w:t xml:space="preserve">legislators </w:t>
      </w:r>
      <w:r w:rsidRPr="00526F32">
        <w:rPr>
          <w:rFonts w:ascii="Arial" w:hAnsi="Arial" w:cs="Arial"/>
        </w:rPr>
        <w:t xml:space="preserve">to </w:t>
      </w:r>
      <w:r w:rsidR="0009524C">
        <w:rPr>
          <w:rFonts w:ascii="Arial" w:hAnsi="Arial" w:cs="Arial"/>
        </w:rPr>
        <w:t xml:space="preserve">act in the area, and to propose </w:t>
      </w:r>
      <w:r w:rsidRPr="00526F32">
        <w:rPr>
          <w:rFonts w:ascii="Arial" w:hAnsi="Arial" w:cs="Arial"/>
        </w:rPr>
        <w:t>minimum rules concerning the definition of criminal offences and penalties in th</w:t>
      </w:r>
      <w:r w:rsidR="0009524C">
        <w:rPr>
          <w:rFonts w:ascii="Arial" w:hAnsi="Arial" w:cs="Arial"/>
        </w:rPr>
        <w:t>e</w:t>
      </w:r>
      <w:r w:rsidRPr="00526F32">
        <w:rPr>
          <w:rFonts w:ascii="Arial" w:hAnsi="Arial" w:cs="Arial"/>
        </w:rPr>
        <w:t xml:space="preserve"> area of </w:t>
      </w:r>
      <w:r w:rsidR="0009524C">
        <w:rPr>
          <w:rFonts w:ascii="Arial" w:hAnsi="Arial" w:cs="Arial"/>
        </w:rPr>
        <w:t xml:space="preserve">hate speech and hate </w:t>
      </w:r>
      <w:r w:rsidRPr="00526F32">
        <w:rPr>
          <w:rFonts w:ascii="Arial" w:hAnsi="Arial" w:cs="Arial"/>
        </w:rPr>
        <w:t>crime.</w:t>
      </w:r>
      <w:r w:rsidR="0009524C">
        <w:rPr>
          <w:rFonts w:ascii="Arial" w:hAnsi="Arial" w:cs="Arial"/>
        </w:rPr>
        <w:t xml:space="preserve"> </w:t>
      </w:r>
      <w:r w:rsidR="00781374" w:rsidRPr="00781374">
        <w:rPr>
          <w:rFonts w:ascii="Arial" w:hAnsi="Arial" w:cs="Arial"/>
        </w:rPr>
        <w:t>The EESC believes that clear definition</w:t>
      </w:r>
      <w:r w:rsidR="00026578">
        <w:rPr>
          <w:rFonts w:ascii="Arial" w:hAnsi="Arial" w:cs="Arial"/>
        </w:rPr>
        <w:t>s</w:t>
      </w:r>
      <w:r w:rsidR="00781374" w:rsidRPr="00781374">
        <w:rPr>
          <w:rFonts w:ascii="Arial" w:hAnsi="Arial" w:cs="Arial"/>
        </w:rPr>
        <w:t xml:space="preserve"> of hate speech and hate crime should be established as </w:t>
      </w:r>
      <w:r w:rsidR="00FA1B25">
        <w:rPr>
          <w:rFonts w:ascii="Arial" w:hAnsi="Arial" w:cs="Arial"/>
        </w:rPr>
        <w:t>the</w:t>
      </w:r>
      <w:r w:rsidR="00FA1B25" w:rsidRPr="00781374">
        <w:rPr>
          <w:rFonts w:ascii="Arial" w:hAnsi="Arial" w:cs="Arial"/>
        </w:rPr>
        <w:t xml:space="preserve"> </w:t>
      </w:r>
      <w:r w:rsidR="00781374" w:rsidRPr="00781374">
        <w:rPr>
          <w:rFonts w:ascii="Arial" w:hAnsi="Arial" w:cs="Arial"/>
        </w:rPr>
        <w:t>next step to ensure legal certainty and the protection of fundamental rights. The definitions should include any type of action or expression, whether oral or written, regardless of where the expression or action occurs,</w:t>
      </w:r>
      <w:r w:rsidR="00717280" w:rsidRPr="00781374">
        <w:rPr>
          <w:rFonts w:ascii="Arial" w:hAnsi="Arial" w:cs="Arial"/>
        </w:rPr>
        <w:t xml:space="preserve"> covering both online and offline expression.</w:t>
      </w:r>
    </w:p>
    <w:p w:rsidR="002627A7" w:rsidRPr="00781374" w:rsidRDefault="009A3007" w:rsidP="00781374">
      <w:pPr>
        <w:pStyle w:val="NormalWeb"/>
        <w:jc w:val="both"/>
        <w:rPr>
          <w:rFonts w:ascii="Arial" w:hAnsi="Arial" w:cs="Arial"/>
        </w:rPr>
      </w:pPr>
      <w:r w:rsidRPr="00781374">
        <w:rPr>
          <w:rFonts w:ascii="Arial" w:hAnsi="Arial" w:cs="Arial"/>
        </w:rPr>
        <w:t>A</w:t>
      </w:r>
      <w:r w:rsidR="00BD0829" w:rsidRPr="00781374">
        <w:rPr>
          <w:rFonts w:ascii="Arial" w:hAnsi="Arial" w:cs="Arial"/>
        </w:rPr>
        <w:t xml:space="preserve">wareness-raising and education </w:t>
      </w:r>
      <w:r w:rsidRPr="00781374">
        <w:rPr>
          <w:rFonts w:ascii="Arial" w:hAnsi="Arial" w:cs="Arial"/>
        </w:rPr>
        <w:t xml:space="preserve">are necessary tools to identify </w:t>
      </w:r>
      <w:r w:rsidR="00C47BB9" w:rsidRPr="00781374">
        <w:rPr>
          <w:rFonts w:ascii="Arial" w:hAnsi="Arial" w:cs="Arial"/>
        </w:rPr>
        <w:t>the impact</w:t>
      </w:r>
      <w:r w:rsidR="00404C4A">
        <w:rPr>
          <w:rFonts w:ascii="Arial" w:hAnsi="Arial" w:cs="Arial"/>
        </w:rPr>
        <w:t xml:space="preserve"> of </w:t>
      </w:r>
      <w:r w:rsidR="00404C4A" w:rsidRPr="00781374">
        <w:rPr>
          <w:rFonts w:ascii="Arial" w:hAnsi="Arial" w:cs="Arial"/>
        </w:rPr>
        <w:t>these action</w:t>
      </w:r>
      <w:r w:rsidR="00404C4A">
        <w:rPr>
          <w:rFonts w:ascii="Arial" w:hAnsi="Arial" w:cs="Arial"/>
        </w:rPr>
        <w:t>s</w:t>
      </w:r>
      <w:r w:rsidR="00C47BB9" w:rsidRPr="00781374">
        <w:rPr>
          <w:rFonts w:ascii="Arial" w:hAnsi="Arial" w:cs="Arial"/>
        </w:rPr>
        <w:t xml:space="preserve"> and prevent</w:t>
      </w:r>
      <w:r w:rsidR="00404C4A">
        <w:rPr>
          <w:rFonts w:ascii="Arial" w:hAnsi="Arial" w:cs="Arial"/>
        </w:rPr>
        <w:t xml:space="preserve"> them</w:t>
      </w:r>
      <w:r w:rsidR="00BD0829" w:rsidRPr="00781374">
        <w:rPr>
          <w:rFonts w:ascii="Arial" w:hAnsi="Arial" w:cs="Arial"/>
        </w:rPr>
        <w:t xml:space="preserve">. </w:t>
      </w:r>
      <w:r w:rsidR="00781374" w:rsidRPr="00781374">
        <w:rPr>
          <w:rFonts w:ascii="Arial" w:hAnsi="Arial" w:cs="Arial"/>
        </w:rPr>
        <w:t>In this regard, the Committee recommends that special consideration be given to occupations that play an important role in combating hate speech and hate crime, such as</w:t>
      </w:r>
      <w:r w:rsidR="002627A7" w:rsidRPr="00781374">
        <w:rPr>
          <w:rFonts w:ascii="Arial" w:hAnsi="Arial" w:cs="Arial"/>
        </w:rPr>
        <w:t xml:space="preserve"> teachers, journalists and law enforcement personnel. </w:t>
      </w:r>
    </w:p>
    <w:p w:rsidR="002627A7" w:rsidRPr="00781374" w:rsidRDefault="00781374" w:rsidP="002627A7">
      <w:pPr>
        <w:pStyle w:val="NormalWeb"/>
        <w:jc w:val="both"/>
        <w:rPr>
          <w:rFonts w:ascii="Arial" w:hAnsi="Arial" w:cs="Arial"/>
        </w:rPr>
      </w:pPr>
      <w:r w:rsidRPr="00781374">
        <w:rPr>
          <w:rFonts w:ascii="Arial" w:hAnsi="Arial" w:cs="Arial"/>
        </w:rPr>
        <w:t xml:space="preserve">Some politicians are also seen using dangerous electoral </w:t>
      </w:r>
      <w:r w:rsidR="00404C4A" w:rsidRPr="00781374">
        <w:rPr>
          <w:rFonts w:ascii="Arial" w:hAnsi="Arial" w:cs="Arial"/>
        </w:rPr>
        <w:t>mobili</w:t>
      </w:r>
      <w:r w:rsidR="00404C4A">
        <w:rPr>
          <w:rFonts w:ascii="Arial" w:hAnsi="Arial" w:cs="Arial"/>
        </w:rPr>
        <w:t>s</w:t>
      </w:r>
      <w:r w:rsidR="00404C4A" w:rsidRPr="00781374">
        <w:rPr>
          <w:rFonts w:ascii="Arial" w:hAnsi="Arial" w:cs="Arial"/>
        </w:rPr>
        <w:t xml:space="preserve">ation </w:t>
      </w:r>
      <w:r w:rsidRPr="00781374">
        <w:rPr>
          <w:rFonts w:ascii="Arial" w:hAnsi="Arial" w:cs="Arial"/>
        </w:rPr>
        <w:t xml:space="preserve">tactics by spreading fear and targeting minorities to gain support. </w:t>
      </w:r>
      <w:r w:rsidR="002627A7" w:rsidRPr="00781374">
        <w:rPr>
          <w:rFonts w:ascii="Arial" w:hAnsi="Arial" w:cs="Arial"/>
        </w:rPr>
        <w:t xml:space="preserve">The </w:t>
      </w:r>
      <w:r w:rsidR="009B0400" w:rsidRPr="00781374">
        <w:rPr>
          <w:rFonts w:ascii="Arial" w:hAnsi="Arial" w:cs="Arial"/>
        </w:rPr>
        <w:t>Committee</w:t>
      </w:r>
      <w:r w:rsidR="002627A7" w:rsidRPr="00781374">
        <w:rPr>
          <w:rFonts w:ascii="Arial" w:hAnsi="Arial" w:cs="Arial"/>
        </w:rPr>
        <w:t xml:space="preserve"> </w:t>
      </w:r>
      <w:r w:rsidRPr="00781374">
        <w:rPr>
          <w:rFonts w:ascii="Arial" w:hAnsi="Arial" w:cs="Arial"/>
        </w:rPr>
        <w:t>calls on</w:t>
      </w:r>
      <w:r w:rsidR="002627A7" w:rsidRPr="00781374">
        <w:rPr>
          <w:rFonts w:ascii="Arial" w:hAnsi="Arial" w:cs="Arial"/>
        </w:rPr>
        <w:t xml:space="preserve"> political leaders and parties to act responsibly, in the spirit of inclusive democracy and </w:t>
      </w:r>
      <w:r w:rsidR="00404C4A">
        <w:rPr>
          <w:rFonts w:ascii="Arial" w:hAnsi="Arial" w:cs="Arial"/>
        </w:rPr>
        <w:t xml:space="preserve">the </w:t>
      </w:r>
      <w:r w:rsidR="002627A7" w:rsidRPr="00781374">
        <w:rPr>
          <w:rFonts w:ascii="Arial" w:hAnsi="Arial" w:cs="Arial"/>
        </w:rPr>
        <w:t>rule of law, and to respect journ</w:t>
      </w:r>
      <w:r w:rsidRPr="00781374">
        <w:rPr>
          <w:rFonts w:ascii="Arial" w:hAnsi="Arial" w:cs="Arial"/>
        </w:rPr>
        <w:t>alists and media organisations.</w:t>
      </w:r>
    </w:p>
    <w:p w:rsidR="00D17A94" w:rsidRPr="00EB7E37" w:rsidRDefault="00AA12A4" w:rsidP="00D17A94">
      <w:pPr>
        <w:pStyle w:val="NormalWeb"/>
        <w:jc w:val="both"/>
        <w:rPr>
          <w:rFonts w:ascii="Arial" w:hAnsi="Arial" w:cs="Arial"/>
        </w:rPr>
      </w:pPr>
      <w:r>
        <w:rPr>
          <w:rFonts w:ascii="Arial" w:hAnsi="Arial" w:cs="Arial"/>
        </w:rPr>
        <w:t>T</w:t>
      </w:r>
      <w:r w:rsidR="00D17A94" w:rsidRPr="00EB7E37">
        <w:rPr>
          <w:rFonts w:ascii="Arial" w:hAnsi="Arial" w:cs="Arial"/>
        </w:rPr>
        <w:t xml:space="preserve">he Committee </w:t>
      </w:r>
      <w:r>
        <w:rPr>
          <w:rFonts w:ascii="Arial" w:hAnsi="Arial" w:cs="Arial"/>
        </w:rPr>
        <w:t xml:space="preserve">also </w:t>
      </w:r>
      <w:r w:rsidR="00D17A94" w:rsidRPr="00EB7E37">
        <w:rPr>
          <w:rFonts w:ascii="Arial" w:hAnsi="Arial" w:cs="Arial"/>
        </w:rPr>
        <w:t xml:space="preserve">highlights the critical role that social partners and other civil society organisations play at </w:t>
      </w:r>
      <w:r w:rsidR="003568A8" w:rsidRPr="00EB7E37">
        <w:rPr>
          <w:rFonts w:ascii="Arial" w:hAnsi="Arial" w:cs="Arial"/>
        </w:rPr>
        <w:t>grassroots</w:t>
      </w:r>
      <w:r w:rsidR="00D17A94" w:rsidRPr="00EB7E37">
        <w:rPr>
          <w:rFonts w:ascii="Arial" w:hAnsi="Arial" w:cs="Arial"/>
        </w:rPr>
        <w:t xml:space="preserve"> level in preventing and combating hate crimes. "Social partners and other</w:t>
      </w:r>
      <w:r w:rsidR="00EB7E37" w:rsidRPr="00EB7E37">
        <w:rPr>
          <w:rFonts w:ascii="Arial" w:hAnsi="Arial" w:cs="Arial"/>
        </w:rPr>
        <w:t xml:space="preserve"> </w:t>
      </w:r>
      <w:r w:rsidR="00D17A94" w:rsidRPr="00EB7E37">
        <w:rPr>
          <w:rFonts w:ascii="Arial" w:hAnsi="Arial" w:cs="Arial"/>
        </w:rPr>
        <w:t>civil society organisations are our societal watchdogs against hatred and</w:t>
      </w:r>
      <w:r w:rsidR="00F243B3">
        <w:rPr>
          <w:rFonts w:ascii="Arial" w:hAnsi="Arial" w:cs="Arial"/>
        </w:rPr>
        <w:t>,</w:t>
      </w:r>
      <w:r w:rsidR="00D17A94" w:rsidRPr="00EB7E37">
        <w:rPr>
          <w:rFonts w:ascii="Arial" w:hAnsi="Arial" w:cs="Arial"/>
        </w:rPr>
        <w:t xml:space="preserve"> at the same time, they are promoters of value-based action through their own activities</w:t>
      </w:r>
      <w:r w:rsidR="00F243B3">
        <w:rPr>
          <w:rFonts w:ascii="Arial" w:hAnsi="Arial" w:cs="Arial"/>
        </w:rPr>
        <w:t>,</w:t>
      </w:r>
      <w:r w:rsidR="00D17A94" w:rsidRPr="00EB7E37">
        <w:rPr>
          <w:rFonts w:ascii="Arial" w:hAnsi="Arial" w:cs="Arial"/>
        </w:rPr>
        <w:t xml:space="preserve">" says co-rapporteur </w:t>
      </w:r>
      <w:r w:rsidR="00D17A94" w:rsidRPr="00EB7E37">
        <w:rPr>
          <w:rFonts w:ascii="Arial" w:hAnsi="Arial" w:cs="Arial"/>
          <w:b/>
          <w:bCs/>
        </w:rPr>
        <w:t>Milena Angelova</w:t>
      </w:r>
      <w:r w:rsidR="00D17A94" w:rsidRPr="00EB7E37">
        <w:rPr>
          <w:rFonts w:ascii="Arial" w:hAnsi="Arial" w:cs="Arial"/>
        </w:rPr>
        <w:t>. They are close to communities and</w:t>
      </w:r>
      <w:r w:rsidR="00EB7E37" w:rsidRPr="00EB7E37">
        <w:rPr>
          <w:rFonts w:ascii="Arial" w:hAnsi="Arial" w:cs="Arial"/>
        </w:rPr>
        <w:t>, as</w:t>
      </w:r>
      <w:r w:rsidR="00D17A94" w:rsidRPr="00EB7E37">
        <w:rPr>
          <w:rFonts w:ascii="Arial" w:hAnsi="Arial" w:cs="Arial"/>
        </w:rPr>
        <w:t xml:space="preserve"> such, they should be supported in keeping places, communities, groups, organisations and </w:t>
      </w:r>
      <w:r w:rsidR="00F243B3">
        <w:rPr>
          <w:rFonts w:ascii="Arial" w:hAnsi="Arial" w:cs="Arial"/>
        </w:rPr>
        <w:t xml:space="preserve">the </w:t>
      </w:r>
      <w:r w:rsidR="00D17A94" w:rsidRPr="00EB7E37">
        <w:rPr>
          <w:rFonts w:ascii="Arial" w:hAnsi="Arial" w:cs="Arial"/>
        </w:rPr>
        <w:t xml:space="preserve">media safe from hate and discrimination. </w:t>
      </w:r>
      <w:r w:rsidR="00F243B3" w:rsidRPr="00EB7E37">
        <w:rPr>
          <w:rFonts w:ascii="Arial" w:hAnsi="Arial" w:cs="Arial"/>
        </w:rPr>
        <w:t>Therefore</w:t>
      </w:r>
      <w:r w:rsidR="00F243B3">
        <w:rPr>
          <w:rFonts w:ascii="Arial" w:hAnsi="Arial" w:cs="Arial"/>
        </w:rPr>
        <w:t>,</w:t>
      </w:r>
      <w:r w:rsidR="009E1BD0">
        <w:rPr>
          <w:rFonts w:ascii="Arial" w:hAnsi="Arial" w:cs="Arial"/>
        </w:rPr>
        <w:t xml:space="preserve"> it is necessary to</w:t>
      </w:r>
      <w:r w:rsidR="00F243B3" w:rsidRPr="00EB7E37">
        <w:rPr>
          <w:rFonts w:ascii="Arial" w:hAnsi="Arial" w:cs="Arial"/>
        </w:rPr>
        <w:t xml:space="preserve"> </w:t>
      </w:r>
      <w:r w:rsidR="009E1BD0">
        <w:rPr>
          <w:rFonts w:ascii="Arial" w:hAnsi="Arial" w:cs="Arial"/>
        </w:rPr>
        <w:t>p</w:t>
      </w:r>
      <w:r w:rsidR="00D17A94" w:rsidRPr="00EB7E37">
        <w:rPr>
          <w:rFonts w:ascii="Arial" w:hAnsi="Arial" w:cs="Arial"/>
        </w:rPr>
        <w:t>romot</w:t>
      </w:r>
      <w:r w:rsidR="009E1BD0">
        <w:rPr>
          <w:rFonts w:ascii="Arial" w:hAnsi="Arial" w:cs="Arial"/>
        </w:rPr>
        <w:t>e</w:t>
      </w:r>
      <w:r w:rsidR="00D17A94" w:rsidRPr="00EB7E37">
        <w:rPr>
          <w:rFonts w:ascii="Arial" w:hAnsi="Arial" w:cs="Arial"/>
        </w:rPr>
        <w:t xml:space="preserve"> their voluntary codes of conduct and</w:t>
      </w:r>
      <w:r w:rsidR="009E1BD0">
        <w:rPr>
          <w:rFonts w:ascii="Arial" w:hAnsi="Arial" w:cs="Arial"/>
        </w:rPr>
        <w:t xml:space="preserve"> the</w:t>
      </w:r>
      <w:r w:rsidR="00D17A94" w:rsidRPr="00EB7E37">
        <w:rPr>
          <w:rFonts w:ascii="Arial" w:hAnsi="Arial" w:cs="Arial"/>
        </w:rPr>
        <w:t xml:space="preserve"> sharing </w:t>
      </w:r>
      <w:r w:rsidR="009E1BD0">
        <w:rPr>
          <w:rFonts w:ascii="Arial" w:hAnsi="Arial" w:cs="Arial"/>
        </w:rPr>
        <w:t xml:space="preserve">of </w:t>
      </w:r>
      <w:r w:rsidR="00D17A94" w:rsidRPr="00EB7E37">
        <w:rPr>
          <w:rFonts w:ascii="Arial" w:hAnsi="Arial" w:cs="Arial"/>
        </w:rPr>
        <w:t xml:space="preserve">good practices, </w:t>
      </w:r>
      <w:r w:rsidR="009E1BD0">
        <w:rPr>
          <w:rFonts w:ascii="Arial" w:hAnsi="Arial" w:cs="Arial"/>
        </w:rPr>
        <w:t xml:space="preserve">and </w:t>
      </w:r>
      <w:r w:rsidR="00D17A94" w:rsidRPr="00EB7E37">
        <w:rPr>
          <w:rFonts w:ascii="Arial" w:hAnsi="Arial" w:cs="Arial"/>
        </w:rPr>
        <w:t>provid</w:t>
      </w:r>
      <w:r w:rsidR="009E1BD0">
        <w:rPr>
          <w:rFonts w:ascii="Arial" w:hAnsi="Arial" w:cs="Arial"/>
        </w:rPr>
        <w:t>e</w:t>
      </w:r>
      <w:r w:rsidR="00D17A94" w:rsidRPr="00EB7E37">
        <w:rPr>
          <w:rFonts w:ascii="Arial" w:hAnsi="Arial" w:cs="Arial"/>
        </w:rPr>
        <w:t xml:space="preserve"> more financing to </w:t>
      </w:r>
      <w:r w:rsidR="009E1BD0">
        <w:rPr>
          <w:rFonts w:ascii="Arial" w:hAnsi="Arial" w:cs="Arial"/>
        </w:rPr>
        <w:t xml:space="preserve">make the most of </w:t>
      </w:r>
      <w:r w:rsidR="00D17A94" w:rsidRPr="00EB7E37">
        <w:rPr>
          <w:rFonts w:ascii="Arial" w:hAnsi="Arial" w:cs="Arial"/>
        </w:rPr>
        <w:t>their capacities and expertise in this area.</w:t>
      </w:r>
    </w:p>
    <w:p w:rsidR="002B5B85" w:rsidRDefault="002B5B85" w:rsidP="00AF5BF4">
      <w:pPr>
        <w:pStyle w:val="NormalWeb"/>
        <w:jc w:val="both"/>
        <w:rPr>
          <w:rFonts w:ascii="Arial" w:hAnsi="Arial" w:cs="Arial"/>
        </w:rPr>
      </w:pPr>
    </w:p>
    <w:p w:rsidR="002B5B85" w:rsidRPr="00526F32" w:rsidRDefault="002B5B85" w:rsidP="00AF5BF4">
      <w:pPr>
        <w:pStyle w:val="NormalWeb"/>
        <w:jc w:val="both"/>
        <w:rPr>
          <w:rFonts w:ascii="Arial" w:hAnsi="Arial" w:cs="Arial"/>
          <w:b/>
        </w:rPr>
      </w:pPr>
      <w:r w:rsidRPr="00526F32">
        <w:rPr>
          <w:rFonts w:ascii="Arial" w:hAnsi="Arial" w:cs="Arial"/>
          <w:b/>
        </w:rPr>
        <w:t>Background</w:t>
      </w:r>
    </w:p>
    <w:p w:rsidR="002B5B85" w:rsidRPr="00EB7E37" w:rsidRDefault="002B5B85" w:rsidP="002B5B85">
      <w:pPr>
        <w:autoSpaceDE w:val="0"/>
        <w:autoSpaceDN w:val="0"/>
        <w:adjustRightInd w:val="0"/>
        <w:spacing w:after="0" w:line="240" w:lineRule="auto"/>
        <w:jc w:val="both"/>
        <w:rPr>
          <w:rFonts w:ascii="Arial" w:eastAsia="Times New Roman" w:hAnsi="Arial" w:cs="Arial"/>
          <w:sz w:val="24"/>
          <w:szCs w:val="24"/>
          <w:lang w:eastAsia="fr-FR"/>
        </w:rPr>
      </w:pPr>
      <w:r w:rsidRPr="00EB7E37">
        <w:rPr>
          <w:rFonts w:ascii="Arial" w:hAnsi="Arial" w:cs="Arial"/>
          <w:sz w:val="24"/>
          <w:szCs w:val="24"/>
        </w:rPr>
        <w:t xml:space="preserve">The European Commission initiative consists </w:t>
      </w:r>
      <w:r w:rsidR="00E11E7C">
        <w:rPr>
          <w:rFonts w:ascii="Arial" w:hAnsi="Arial" w:cs="Arial"/>
          <w:sz w:val="24"/>
          <w:szCs w:val="24"/>
        </w:rPr>
        <w:t>of</w:t>
      </w:r>
      <w:r w:rsidR="00E11E7C" w:rsidRPr="00EB7E37">
        <w:rPr>
          <w:rFonts w:ascii="Arial" w:hAnsi="Arial" w:cs="Arial"/>
          <w:sz w:val="24"/>
          <w:szCs w:val="24"/>
        </w:rPr>
        <w:t xml:space="preserve"> </w:t>
      </w:r>
      <w:r w:rsidRPr="00EB7E37">
        <w:rPr>
          <w:rFonts w:ascii="Arial" w:hAnsi="Arial" w:cs="Arial"/>
          <w:sz w:val="24"/>
          <w:szCs w:val="24"/>
        </w:rPr>
        <w:t xml:space="preserve">a </w:t>
      </w:r>
      <w:hyperlink r:id="rId5" w:history="1">
        <w:r w:rsidRPr="00EB7E37">
          <w:rPr>
            <w:rStyle w:val="Hyperlink"/>
            <w:rFonts w:ascii="Arial" w:hAnsi="Arial" w:cs="Arial"/>
            <w:sz w:val="24"/>
            <w:szCs w:val="24"/>
          </w:rPr>
          <w:t>Communication</w:t>
        </w:r>
      </w:hyperlink>
      <w:r w:rsidRPr="00EB7E37">
        <w:rPr>
          <w:rFonts w:ascii="Arial" w:hAnsi="Arial" w:cs="Arial"/>
          <w:sz w:val="24"/>
          <w:szCs w:val="24"/>
        </w:rPr>
        <w:t xml:space="preserve"> and a proposed </w:t>
      </w:r>
      <w:hyperlink r:id="rId6" w:history="1">
        <w:r w:rsidRPr="00EB7E37">
          <w:rPr>
            <w:rStyle w:val="Hyperlink"/>
            <w:rFonts w:ascii="Arial" w:hAnsi="Arial" w:cs="Arial"/>
            <w:sz w:val="24"/>
            <w:szCs w:val="24"/>
          </w:rPr>
          <w:t>Council Decision</w:t>
        </w:r>
      </w:hyperlink>
      <w:r w:rsidRPr="00EB7E37">
        <w:rPr>
          <w:rFonts w:ascii="Arial" w:hAnsi="Arial" w:cs="Arial"/>
          <w:sz w:val="24"/>
          <w:szCs w:val="24"/>
        </w:rPr>
        <w:t xml:space="preserve"> which would exten</w:t>
      </w:r>
      <w:r w:rsidR="00E11E7C">
        <w:rPr>
          <w:rFonts w:ascii="Arial" w:hAnsi="Arial" w:cs="Arial"/>
          <w:sz w:val="24"/>
          <w:szCs w:val="24"/>
        </w:rPr>
        <w:t>d</w:t>
      </w:r>
      <w:r w:rsidRPr="00EB7E37">
        <w:rPr>
          <w:rFonts w:ascii="Arial" w:hAnsi="Arial" w:cs="Arial"/>
          <w:sz w:val="24"/>
          <w:szCs w:val="24"/>
        </w:rPr>
        <w:t xml:space="preserve"> </w:t>
      </w:r>
      <w:r w:rsidRPr="00EB7E37">
        <w:rPr>
          <w:rFonts w:ascii="Arial" w:eastAsia="Times New Roman" w:hAnsi="Arial" w:cs="Arial"/>
          <w:sz w:val="24"/>
          <w:szCs w:val="24"/>
          <w:lang w:eastAsia="fr-FR"/>
        </w:rPr>
        <w:t xml:space="preserve">the list of "EU crimes" set out in </w:t>
      </w:r>
      <w:hyperlink r:id="rId7" w:history="1">
        <w:r w:rsidRPr="00EB7E37">
          <w:rPr>
            <w:rStyle w:val="Hyperlink"/>
            <w:rFonts w:ascii="Arial" w:eastAsia="Times New Roman" w:hAnsi="Arial" w:cs="Arial"/>
            <w:sz w:val="24"/>
            <w:szCs w:val="24"/>
            <w:lang w:eastAsia="fr-FR"/>
          </w:rPr>
          <w:t>Article 83(1) of the Treaty on the Functioning of the European Union (TFEU)</w:t>
        </w:r>
      </w:hyperlink>
      <w:r w:rsidRPr="00EB7E37">
        <w:rPr>
          <w:rFonts w:ascii="Arial" w:eastAsia="Times New Roman" w:hAnsi="Arial" w:cs="Arial"/>
          <w:sz w:val="24"/>
          <w:szCs w:val="24"/>
          <w:lang w:eastAsia="fr-FR"/>
        </w:rPr>
        <w:t xml:space="preserve"> to all forms of hate crime and hate speech. </w:t>
      </w:r>
      <w:r w:rsidR="0009524C" w:rsidRPr="00EB7E37">
        <w:rPr>
          <w:rFonts w:ascii="Arial" w:eastAsia="Times New Roman" w:hAnsi="Arial" w:cs="Arial"/>
          <w:sz w:val="24"/>
          <w:szCs w:val="24"/>
          <w:lang w:eastAsia="fr-FR"/>
        </w:rPr>
        <w:t xml:space="preserve">In its </w:t>
      </w:r>
      <w:r w:rsidR="00E11E7C">
        <w:rPr>
          <w:rFonts w:ascii="Arial" w:eastAsia="Times New Roman" w:hAnsi="Arial" w:cs="Arial"/>
          <w:sz w:val="24"/>
          <w:szCs w:val="24"/>
          <w:lang w:eastAsia="fr-FR"/>
        </w:rPr>
        <w:t>o</w:t>
      </w:r>
      <w:r w:rsidR="00E11E7C" w:rsidRPr="00EB7E37">
        <w:rPr>
          <w:rFonts w:ascii="Arial" w:eastAsia="Times New Roman" w:hAnsi="Arial" w:cs="Arial"/>
          <w:sz w:val="24"/>
          <w:szCs w:val="24"/>
          <w:lang w:eastAsia="fr-FR"/>
        </w:rPr>
        <w:t>pinion</w:t>
      </w:r>
      <w:r w:rsidR="0009524C" w:rsidRPr="00EB7E37">
        <w:rPr>
          <w:rFonts w:ascii="Arial" w:eastAsia="Times New Roman" w:hAnsi="Arial" w:cs="Arial"/>
          <w:sz w:val="24"/>
          <w:szCs w:val="24"/>
          <w:lang w:eastAsia="fr-FR"/>
        </w:rPr>
        <w:t>, t</w:t>
      </w:r>
      <w:r w:rsidRPr="00EB7E37">
        <w:rPr>
          <w:rFonts w:ascii="Arial" w:eastAsia="Times New Roman" w:hAnsi="Arial" w:cs="Arial"/>
          <w:sz w:val="24"/>
          <w:szCs w:val="24"/>
          <w:lang w:eastAsia="fr-FR"/>
        </w:rPr>
        <w:t xml:space="preserve">he EESC considers that the criteria </w:t>
      </w:r>
      <w:r w:rsidR="00526F32" w:rsidRPr="00EB7E37">
        <w:rPr>
          <w:rFonts w:ascii="Arial" w:eastAsia="Times New Roman" w:hAnsi="Arial" w:cs="Arial"/>
          <w:sz w:val="24"/>
          <w:szCs w:val="24"/>
          <w:lang w:eastAsia="fr-FR"/>
        </w:rPr>
        <w:t xml:space="preserve">for such an extension – </w:t>
      </w:r>
      <w:r w:rsidRPr="00EB7E37">
        <w:rPr>
          <w:rFonts w:ascii="Arial" w:eastAsia="Times New Roman" w:hAnsi="Arial" w:cs="Arial"/>
          <w:sz w:val="24"/>
          <w:szCs w:val="24"/>
          <w:lang w:eastAsia="fr-FR"/>
        </w:rPr>
        <w:t>significant developments in the area, a cross-border dimension, the need to act on a common basis</w:t>
      </w:r>
      <w:r w:rsidR="00526F32" w:rsidRPr="00EB7E37">
        <w:rPr>
          <w:rFonts w:ascii="Arial" w:eastAsia="Times New Roman" w:hAnsi="Arial" w:cs="Arial"/>
          <w:sz w:val="24"/>
          <w:szCs w:val="24"/>
          <w:lang w:eastAsia="fr-FR"/>
        </w:rPr>
        <w:t xml:space="preserve"> (as </w:t>
      </w:r>
      <w:r w:rsidR="00E11E7C">
        <w:rPr>
          <w:rFonts w:ascii="Arial" w:eastAsia="Times New Roman" w:hAnsi="Arial" w:cs="Arial"/>
          <w:sz w:val="24"/>
          <w:szCs w:val="24"/>
          <w:lang w:eastAsia="fr-FR"/>
        </w:rPr>
        <w:t>provided for</w:t>
      </w:r>
      <w:r w:rsidR="00E11E7C" w:rsidRPr="00EB7E37">
        <w:rPr>
          <w:rFonts w:ascii="Arial" w:eastAsia="Times New Roman" w:hAnsi="Arial" w:cs="Arial"/>
          <w:sz w:val="24"/>
          <w:szCs w:val="24"/>
          <w:lang w:eastAsia="fr-FR"/>
        </w:rPr>
        <w:t xml:space="preserve"> </w:t>
      </w:r>
      <w:r w:rsidR="00526F32" w:rsidRPr="00EB7E37">
        <w:rPr>
          <w:rFonts w:ascii="Arial" w:eastAsia="Times New Roman" w:hAnsi="Arial" w:cs="Arial"/>
          <w:sz w:val="24"/>
          <w:szCs w:val="24"/>
          <w:lang w:eastAsia="fr-FR"/>
        </w:rPr>
        <w:t xml:space="preserve">in the </w:t>
      </w:r>
      <w:r w:rsidR="00C2417B">
        <w:rPr>
          <w:rFonts w:ascii="Arial" w:eastAsia="Times New Roman" w:hAnsi="Arial" w:cs="Arial"/>
          <w:sz w:val="24"/>
          <w:szCs w:val="24"/>
          <w:lang w:eastAsia="fr-FR"/>
        </w:rPr>
        <w:t>above-</w:t>
      </w:r>
      <w:r w:rsidR="00526F32" w:rsidRPr="00EB7E37">
        <w:rPr>
          <w:rFonts w:ascii="Arial" w:eastAsia="Times New Roman" w:hAnsi="Arial" w:cs="Arial"/>
          <w:sz w:val="24"/>
          <w:szCs w:val="24"/>
          <w:lang w:eastAsia="fr-FR"/>
        </w:rPr>
        <w:t>mentioned Article</w:t>
      </w:r>
      <w:r w:rsidRPr="00EB7E37">
        <w:rPr>
          <w:rFonts w:ascii="Arial" w:eastAsia="Times New Roman" w:hAnsi="Arial" w:cs="Arial"/>
          <w:sz w:val="24"/>
          <w:szCs w:val="24"/>
          <w:lang w:eastAsia="fr-FR"/>
        </w:rPr>
        <w:t>)</w:t>
      </w:r>
      <w:r w:rsidR="00526F32" w:rsidRPr="00EB7E37">
        <w:rPr>
          <w:rFonts w:ascii="Arial" w:eastAsia="Times New Roman" w:hAnsi="Arial" w:cs="Arial"/>
          <w:sz w:val="24"/>
          <w:szCs w:val="24"/>
          <w:lang w:eastAsia="fr-FR"/>
        </w:rPr>
        <w:t xml:space="preserve"> –</w:t>
      </w:r>
      <w:r w:rsidRPr="00EB7E37">
        <w:rPr>
          <w:rFonts w:ascii="Arial" w:eastAsia="Times New Roman" w:hAnsi="Arial" w:cs="Arial"/>
          <w:sz w:val="24"/>
          <w:szCs w:val="24"/>
          <w:lang w:eastAsia="fr-FR"/>
        </w:rPr>
        <w:t xml:space="preserve"> </w:t>
      </w:r>
      <w:r w:rsidR="00E11E7C">
        <w:rPr>
          <w:rFonts w:ascii="Arial" w:eastAsia="Times New Roman" w:hAnsi="Arial" w:cs="Arial"/>
          <w:sz w:val="24"/>
          <w:szCs w:val="24"/>
          <w:lang w:eastAsia="fr-FR"/>
        </w:rPr>
        <w:t xml:space="preserve">have been </w:t>
      </w:r>
      <w:r w:rsidRPr="00EB7E37">
        <w:rPr>
          <w:rFonts w:ascii="Arial" w:eastAsia="Times New Roman" w:hAnsi="Arial" w:cs="Arial"/>
          <w:sz w:val="24"/>
          <w:szCs w:val="24"/>
          <w:lang w:eastAsia="fr-FR"/>
        </w:rPr>
        <w:t xml:space="preserve">met. The EESC </w:t>
      </w:r>
      <w:r w:rsidR="00E11E7C">
        <w:rPr>
          <w:rFonts w:ascii="Arial" w:eastAsia="Times New Roman" w:hAnsi="Arial" w:cs="Arial"/>
          <w:sz w:val="24"/>
          <w:szCs w:val="24"/>
          <w:lang w:eastAsia="fr-FR"/>
        </w:rPr>
        <w:t>o</w:t>
      </w:r>
      <w:r w:rsidR="00E11E7C" w:rsidRPr="00EB7E37">
        <w:rPr>
          <w:rFonts w:ascii="Arial" w:eastAsia="Times New Roman" w:hAnsi="Arial" w:cs="Arial"/>
          <w:sz w:val="24"/>
          <w:szCs w:val="24"/>
          <w:lang w:eastAsia="fr-FR"/>
        </w:rPr>
        <w:t xml:space="preserve">pinion </w:t>
      </w:r>
      <w:r w:rsidRPr="00EB7E37">
        <w:rPr>
          <w:rFonts w:ascii="Arial" w:eastAsia="Times New Roman" w:hAnsi="Arial" w:cs="Arial"/>
          <w:sz w:val="24"/>
          <w:szCs w:val="24"/>
          <w:lang w:eastAsia="fr-FR"/>
        </w:rPr>
        <w:t>therefore encourages the Council to adopt the proposed Decision in order to allow the European Commission to set minimum rules concerning the definition of criminal offences and penalties in this area of crime.</w:t>
      </w:r>
    </w:p>
    <w:p w:rsidR="002B5B85" w:rsidRPr="00121608" w:rsidRDefault="002B5B85" w:rsidP="00526F32">
      <w:pPr>
        <w:pStyle w:val="NormalWeb"/>
        <w:jc w:val="both"/>
        <w:rPr>
          <w:rFonts w:ascii="Arial" w:hAnsi="Arial" w:cs="Arial"/>
        </w:rPr>
      </w:pPr>
    </w:p>
    <w:sectPr w:rsidR="002B5B85" w:rsidRPr="001216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D74C3FE"/>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59A6EC2"/>
    <w:multiLevelType w:val="hybridMultilevel"/>
    <w:tmpl w:val="CB341A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093"/>
    <w:rsid w:val="00000C1A"/>
    <w:rsid w:val="00026578"/>
    <w:rsid w:val="0009524C"/>
    <w:rsid w:val="000B1D80"/>
    <w:rsid w:val="00121608"/>
    <w:rsid w:val="00205142"/>
    <w:rsid w:val="00214400"/>
    <w:rsid w:val="002627A7"/>
    <w:rsid w:val="002B5B85"/>
    <w:rsid w:val="002C1798"/>
    <w:rsid w:val="002E606C"/>
    <w:rsid w:val="00301B27"/>
    <w:rsid w:val="003568A8"/>
    <w:rsid w:val="00367107"/>
    <w:rsid w:val="00404C4A"/>
    <w:rsid w:val="00472814"/>
    <w:rsid w:val="004B339C"/>
    <w:rsid w:val="00526F32"/>
    <w:rsid w:val="006D2F62"/>
    <w:rsid w:val="006E38B4"/>
    <w:rsid w:val="00703F70"/>
    <w:rsid w:val="00717280"/>
    <w:rsid w:val="00781374"/>
    <w:rsid w:val="007B1832"/>
    <w:rsid w:val="008827E0"/>
    <w:rsid w:val="0088498D"/>
    <w:rsid w:val="008B6290"/>
    <w:rsid w:val="008E09F2"/>
    <w:rsid w:val="009A3007"/>
    <w:rsid w:val="009B0400"/>
    <w:rsid w:val="009E1BD0"/>
    <w:rsid w:val="009E4093"/>
    <w:rsid w:val="00AA12A4"/>
    <w:rsid w:val="00AF5BF4"/>
    <w:rsid w:val="00BD0829"/>
    <w:rsid w:val="00C2101A"/>
    <w:rsid w:val="00C2417B"/>
    <w:rsid w:val="00C47BB9"/>
    <w:rsid w:val="00C51401"/>
    <w:rsid w:val="00D17A94"/>
    <w:rsid w:val="00E11E7C"/>
    <w:rsid w:val="00EB2E5E"/>
    <w:rsid w:val="00EB7E37"/>
    <w:rsid w:val="00F243B3"/>
    <w:rsid w:val="00F96154"/>
    <w:rsid w:val="00FA1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ACC29"/>
  <w15:chartTrackingRefBased/>
  <w15:docId w15:val="{80C87265-51B1-49A3-8382-50199AF6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B6290"/>
    <w:pPr>
      <w:numPr>
        <w:numId w:val="1"/>
      </w:numPr>
      <w:spacing w:after="0" w:line="288" w:lineRule="auto"/>
      <w:ind w:left="567" w:hanging="567"/>
      <w:jc w:val="both"/>
      <w:outlineLvl w:val="0"/>
    </w:pPr>
    <w:rPr>
      <w:rFonts w:ascii="Times New Roman" w:eastAsia="Times New Roman" w:hAnsi="Times New Roman" w:cs="Times New Roman"/>
      <w:kern w:val="28"/>
    </w:rPr>
  </w:style>
  <w:style w:type="paragraph" w:styleId="Heading2">
    <w:name w:val="heading 2"/>
    <w:basedOn w:val="Normal"/>
    <w:next w:val="Normal"/>
    <w:link w:val="Heading2Char"/>
    <w:qFormat/>
    <w:rsid w:val="008B6290"/>
    <w:pPr>
      <w:numPr>
        <w:ilvl w:val="1"/>
        <w:numId w:val="1"/>
      </w:numPr>
      <w:spacing w:after="0" w:line="288" w:lineRule="auto"/>
      <w:ind w:left="567" w:hanging="567"/>
      <w:jc w:val="both"/>
      <w:outlineLvl w:val="1"/>
    </w:pPr>
    <w:rPr>
      <w:rFonts w:ascii="Times New Roman" w:eastAsia="Times New Roman" w:hAnsi="Times New Roman" w:cs="Times New Roman"/>
    </w:rPr>
  </w:style>
  <w:style w:type="paragraph" w:styleId="Heading3">
    <w:name w:val="heading 3"/>
    <w:basedOn w:val="Normal"/>
    <w:next w:val="Normal"/>
    <w:link w:val="Heading3Char"/>
    <w:qFormat/>
    <w:rsid w:val="008B6290"/>
    <w:pPr>
      <w:numPr>
        <w:ilvl w:val="2"/>
        <w:numId w:val="1"/>
      </w:numPr>
      <w:spacing w:after="0" w:line="288" w:lineRule="auto"/>
      <w:ind w:left="567" w:hanging="567"/>
      <w:jc w:val="both"/>
      <w:outlineLvl w:val="2"/>
    </w:pPr>
    <w:rPr>
      <w:rFonts w:ascii="Times New Roman" w:eastAsia="Times New Roman" w:hAnsi="Times New Roman" w:cs="Times New Roman"/>
    </w:rPr>
  </w:style>
  <w:style w:type="paragraph" w:styleId="Heading4">
    <w:name w:val="heading 4"/>
    <w:basedOn w:val="Normal"/>
    <w:next w:val="Normal"/>
    <w:link w:val="Heading4Char"/>
    <w:qFormat/>
    <w:rsid w:val="008B6290"/>
    <w:pPr>
      <w:numPr>
        <w:ilvl w:val="3"/>
        <w:numId w:val="1"/>
      </w:numPr>
      <w:spacing w:after="0" w:line="288" w:lineRule="auto"/>
      <w:ind w:left="567" w:hanging="567"/>
      <w:jc w:val="both"/>
      <w:outlineLvl w:val="3"/>
    </w:pPr>
    <w:rPr>
      <w:rFonts w:ascii="Times New Roman" w:eastAsia="Times New Roman" w:hAnsi="Times New Roman" w:cs="Times New Roman"/>
    </w:rPr>
  </w:style>
  <w:style w:type="paragraph" w:styleId="Heading5">
    <w:name w:val="heading 5"/>
    <w:basedOn w:val="Normal"/>
    <w:next w:val="Normal"/>
    <w:link w:val="Heading5Char"/>
    <w:qFormat/>
    <w:rsid w:val="008B6290"/>
    <w:pPr>
      <w:numPr>
        <w:ilvl w:val="4"/>
        <w:numId w:val="1"/>
      </w:numPr>
      <w:spacing w:after="0" w:line="288" w:lineRule="auto"/>
      <w:ind w:left="567" w:hanging="567"/>
      <w:jc w:val="both"/>
      <w:outlineLvl w:val="4"/>
    </w:pPr>
    <w:rPr>
      <w:rFonts w:ascii="Times New Roman" w:eastAsia="Times New Roman" w:hAnsi="Times New Roman" w:cs="Times New Roman"/>
    </w:rPr>
  </w:style>
  <w:style w:type="paragraph" w:styleId="Heading6">
    <w:name w:val="heading 6"/>
    <w:basedOn w:val="Normal"/>
    <w:next w:val="Normal"/>
    <w:link w:val="Heading6Char"/>
    <w:qFormat/>
    <w:rsid w:val="008B6290"/>
    <w:pPr>
      <w:numPr>
        <w:ilvl w:val="5"/>
        <w:numId w:val="1"/>
      </w:numPr>
      <w:spacing w:after="0" w:line="288" w:lineRule="auto"/>
      <w:ind w:left="567" w:hanging="567"/>
      <w:jc w:val="both"/>
      <w:outlineLvl w:val="5"/>
    </w:pPr>
    <w:rPr>
      <w:rFonts w:ascii="Times New Roman" w:eastAsia="Times New Roman" w:hAnsi="Times New Roman" w:cs="Times New Roman"/>
    </w:rPr>
  </w:style>
  <w:style w:type="paragraph" w:styleId="Heading7">
    <w:name w:val="heading 7"/>
    <w:basedOn w:val="Normal"/>
    <w:next w:val="Normal"/>
    <w:link w:val="Heading7Char"/>
    <w:qFormat/>
    <w:rsid w:val="008B6290"/>
    <w:pPr>
      <w:numPr>
        <w:ilvl w:val="6"/>
        <w:numId w:val="1"/>
      </w:numPr>
      <w:spacing w:after="0" w:line="288" w:lineRule="auto"/>
      <w:ind w:left="567" w:hanging="567"/>
      <w:jc w:val="both"/>
      <w:outlineLvl w:val="6"/>
    </w:pPr>
    <w:rPr>
      <w:rFonts w:ascii="Times New Roman" w:eastAsia="Times New Roman" w:hAnsi="Times New Roman" w:cs="Times New Roman"/>
    </w:rPr>
  </w:style>
  <w:style w:type="paragraph" w:styleId="Heading8">
    <w:name w:val="heading 8"/>
    <w:basedOn w:val="Normal"/>
    <w:next w:val="Normal"/>
    <w:link w:val="Heading8Char"/>
    <w:qFormat/>
    <w:rsid w:val="008B6290"/>
    <w:pPr>
      <w:numPr>
        <w:ilvl w:val="7"/>
        <w:numId w:val="1"/>
      </w:numPr>
      <w:spacing w:after="0" w:line="288" w:lineRule="auto"/>
      <w:ind w:left="567" w:hanging="567"/>
      <w:jc w:val="both"/>
      <w:outlineLvl w:val="7"/>
    </w:pPr>
    <w:rPr>
      <w:rFonts w:ascii="Times New Roman" w:eastAsia="Times New Roman" w:hAnsi="Times New Roman" w:cs="Times New Roman"/>
    </w:rPr>
  </w:style>
  <w:style w:type="paragraph" w:styleId="Heading9">
    <w:name w:val="heading 9"/>
    <w:basedOn w:val="Normal"/>
    <w:next w:val="Normal"/>
    <w:link w:val="Heading9Char"/>
    <w:qFormat/>
    <w:rsid w:val="008B6290"/>
    <w:pPr>
      <w:numPr>
        <w:ilvl w:val="8"/>
        <w:numId w:val="1"/>
      </w:numPr>
      <w:spacing w:after="0" w:line="288" w:lineRule="auto"/>
      <w:ind w:left="567" w:hanging="567"/>
      <w:jc w:val="both"/>
      <w:outlineLvl w:val="8"/>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62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8B6290"/>
    <w:rPr>
      <w:rFonts w:ascii="Times New Roman" w:eastAsia="Times New Roman" w:hAnsi="Times New Roman" w:cs="Times New Roman"/>
      <w:kern w:val="28"/>
    </w:rPr>
  </w:style>
  <w:style w:type="character" w:customStyle="1" w:styleId="Heading2Char">
    <w:name w:val="Heading 2 Char"/>
    <w:basedOn w:val="DefaultParagraphFont"/>
    <w:link w:val="Heading2"/>
    <w:rsid w:val="008B6290"/>
    <w:rPr>
      <w:rFonts w:ascii="Times New Roman" w:eastAsia="Times New Roman" w:hAnsi="Times New Roman" w:cs="Times New Roman"/>
    </w:rPr>
  </w:style>
  <w:style w:type="character" w:customStyle="1" w:styleId="Heading3Char">
    <w:name w:val="Heading 3 Char"/>
    <w:basedOn w:val="DefaultParagraphFont"/>
    <w:link w:val="Heading3"/>
    <w:rsid w:val="008B6290"/>
    <w:rPr>
      <w:rFonts w:ascii="Times New Roman" w:eastAsia="Times New Roman" w:hAnsi="Times New Roman" w:cs="Times New Roman"/>
    </w:rPr>
  </w:style>
  <w:style w:type="character" w:customStyle="1" w:styleId="Heading4Char">
    <w:name w:val="Heading 4 Char"/>
    <w:basedOn w:val="DefaultParagraphFont"/>
    <w:link w:val="Heading4"/>
    <w:rsid w:val="008B6290"/>
    <w:rPr>
      <w:rFonts w:ascii="Times New Roman" w:eastAsia="Times New Roman" w:hAnsi="Times New Roman" w:cs="Times New Roman"/>
    </w:rPr>
  </w:style>
  <w:style w:type="character" w:customStyle="1" w:styleId="Heading5Char">
    <w:name w:val="Heading 5 Char"/>
    <w:basedOn w:val="DefaultParagraphFont"/>
    <w:link w:val="Heading5"/>
    <w:rsid w:val="008B6290"/>
    <w:rPr>
      <w:rFonts w:ascii="Times New Roman" w:eastAsia="Times New Roman" w:hAnsi="Times New Roman" w:cs="Times New Roman"/>
    </w:rPr>
  </w:style>
  <w:style w:type="character" w:customStyle="1" w:styleId="Heading6Char">
    <w:name w:val="Heading 6 Char"/>
    <w:basedOn w:val="DefaultParagraphFont"/>
    <w:link w:val="Heading6"/>
    <w:rsid w:val="008B6290"/>
    <w:rPr>
      <w:rFonts w:ascii="Times New Roman" w:eastAsia="Times New Roman" w:hAnsi="Times New Roman" w:cs="Times New Roman"/>
    </w:rPr>
  </w:style>
  <w:style w:type="character" w:customStyle="1" w:styleId="Heading7Char">
    <w:name w:val="Heading 7 Char"/>
    <w:basedOn w:val="DefaultParagraphFont"/>
    <w:link w:val="Heading7"/>
    <w:rsid w:val="008B6290"/>
    <w:rPr>
      <w:rFonts w:ascii="Times New Roman" w:eastAsia="Times New Roman" w:hAnsi="Times New Roman" w:cs="Times New Roman"/>
    </w:rPr>
  </w:style>
  <w:style w:type="character" w:customStyle="1" w:styleId="Heading8Char">
    <w:name w:val="Heading 8 Char"/>
    <w:basedOn w:val="DefaultParagraphFont"/>
    <w:link w:val="Heading8"/>
    <w:rsid w:val="008B6290"/>
    <w:rPr>
      <w:rFonts w:ascii="Times New Roman" w:eastAsia="Times New Roman" w:hAnsi="Times New Roman" w:cs="Times New Roman"/>
    </w:rPr>
  </w:style>
  <w:style w:type="character" w:customStyle="1" w:styleId="Heading9Char">
    <w:name w:val="Heading 9 Char"/>
    <w:basedOn w:val="DefaultParagraphFont"/>
    <w:link w:val="Heading9"/>
    <w:rsid w:val="008B629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B5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B85"/>
    <w:rPr>
      <w:rFonts w:ascii="Segoe UI" w:hAnsi="Segoe UI" w:cs="Segoe UI"/>
      <w:sz w:val="18"/>
      <w:szCs w:val="18"/>
    </w:rPr>
  </w:style>
  <w:style w:type="character" w:styleId="Hyperlink">
    <w:name w:val="Hyperlink"/>
    <w:basedOn w:val="DefaultParagraphFont"/>
    <w:uiPriority w:val="99"/>
    <w:unhideWhenUsed/>
    <w:rsid w:val="002B5B85"/>
    <w:rPr>
      <w:color w:val="0563C1" w:themeColor="hyperlink"/>
      <w:u w:val="single"/>
    </w:rPr>
  </w:style>
  <w:style w:type="character" w:styleId="FollowedHyperlink">
    <w:name w:val="FollowedHyperlink"/>
    <w:basedOn w:val="DefaultParagraphFont"/>
    <w:uiPriority w:val="99"/>
    <w:semiHidden/>
    <w:unhideWhenUsed/>
    <w:rsid w:val="00E11E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05626">
      <w:bodyDiv w:val="1"/>
      <w:marLeft w:val="0"/>
      <w:marRight w:val="0"/>
      <w:marTop w:val="0"/>
      <w:marBottom w:val="0"/>
      <w:divBdr>
        <w:top w:val="none" w:sz="0" w:space="0" w:color="auto"/>
        <w:left w:val="none" w:sz="0" w:space="0" w:color="auto"/>
        <w:bottom w:val="none" w:sz="0" w:space="0" w:color="auto"/>
        <w:right w:val="none" w:sz="0" w:space="0" w:color="auto"/>
      </w:divBdr>
    </w:div>
    <w:div w:id="746732612">
      <w:bodyDiv w:val="1"/>
      <w:marLeft w:val="0"/>
      <w:marRight w:val="0"/>
      <w:marTop w:val="0"/>
      <w:marBottom w:val="0"/>
      <w:divBdr>
        <w:top w:val="none" w:sz="0" w:space="0" w:color="auto"/>
        <w:left w:val="none" w:sz="0" w:space="0" w:color="auto"/>
        <w:bottom w:val="none" w:sz="0" w:space="0" w:color="auto"/>
        <w:right w:val="none" w:sz="0" w:space="0" w:color="auto"/>
      </w:divBdr>
    </w:div>
    <w:div w:id="1446970874">
      <w:bodyDiv w:val="1"/>
      <w:marLeft w:val="0"/>
      <w:marRight w:val="0"/>
      <w:marTop w:val="0"/>
      <w:marBottom w:val="0"/>
      <w:divBdr>
        <w:top w:val="none" w:sz="0" w:space="0" w:color="auto"/>
        <w:left w:val="none" w:sz="0" w:space="0" w:color="auto"/>
        <w:bottom w:val="none" w:sz="0" w:space="0" w:color="auto"/>
        <w:right w:val="none" w:sz="0" w:space="0" w:color="auto"/>
      </w:divBdr>
    </w:div>
    <w:div w:id="172275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lex.europa.eu/legal-content/EN/TXT/?uri=CELEX%3A12008E0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info/sites/default/files/1_4_178545_annex_eu_crimes_en.pdf" TargetMode="External"/><Relationship Id="rId5" Type="http://schemas.openxmlformats.org/officeDocument/2006/relationships/hyperlink" Target="https://eur-lex.europa.eu/legal-content/EN/ALL/?uri=COM:2021:777:F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Battiato Giorgia</dc:creator>
  <cp:keywords/>
  <dc:description/>
  <cp:lastModifiedBy>Battiato Giorgia</cp:lastModifiedBy>
  <cp:revision>3</cp:revision>
  <dcterms:created xsi:type="dcterms:W3CDTF">2022-05-19T16:02:00Z</dcterms:created>
  <dcterms:modified xsi:type="dcterms:W3CDTF">2022-05-20T05:40:00Z</dcterms:modified>
</cp:coreProperties>
</file>