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ADAC" w14:textId="77777777" w:rsidR="006C0824" w:rsidRPr="00B46754" w:rsidRDefault="00FA0AC0" w:rsidP="006A6610">
      <w:pPr>
        <w:jc w:val="center"/>
      </w:pPr>
      <w:r w:rsidRPr="00B46754">
        <w:rPr>
          <w:i/>
          <w:noProof/>
          <w:sz w:val="20"/>
          <w:lang w:val="en-US"/>
        </w:rPr>
        <mc:AlternateContent>
          <mc:Choice Requires="wps">
            <w:drawing>
              <wp:anchor distT="0" distB="0" distL="114300" distR="114300" simplePos="0" relativeHeight="251659264" behindDoc="1" locked="0" layoutInCell="0" allowOverlap="1" wp14:anchorId="1E291B3A" wp14:editId="2A06521E">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932B" w14:textId="77777777" w:rsidR="00E602FB" w:rsidRPr="00260E65" w:rsidRDefault="00E602FB">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1B3A"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14:paraId="03C2932B" w14:textId="77777777" w:rsidR="00E602FB" w:rsidRPr="00260E65" w:rsidRDefault="00E602FB">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305152" w:rsidRPr="00B46754">
        <w:rPr>
          <w:noProof/>
          <w:lang w:val="en-US"/>
        </w:rPr>
        <w:drawing>
          <wp:inline distT="0" distB="0" distL="0" distR="0" wp14:anchorId="4F891EC4" wp14:editId="5A6E252F">
            <wp:extent cx="1792800" cy="1240079"/>
            <wp:effectExtent l="0" t="0" r="0" b="0"/>
            <wp:docPr id="2" name="Picture 2"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59526AA3" w14:textId="77777777" w:rsidR="00454E0D" w:rsidRPr="00B46754" w:rsidRDefault="00454E0D" w:rsidP="006A6610">
      <w:pPr>
        <w:jc w:val="center"/>
        <w:rPr>
          <w:b/>
          <w:sz w:val="28"/>
          <w:szCs w:val="28"/>
        </w:rPr>
      </w:pPr>
      <w:r w:rsidRPr="00B46754">
        <w:rPr>
          <w:b/>
          <w:sz w:val="28"/>
          <w:szCs w:val="28"/>
        </w:rPr>
        <w:t>REX Work Programme</w:t>
      </w:r>
    </w:p>
    <w:p w14:paraId="49D1D02C" w14:textId="77777777" w:rsidR="003B4022" w:rsidRPr="00B46754" w:rsidRDefault="003B4022" w:rsidP="006A6610">
      <w:pPr>
        <w:jc w:val="center"/>
        <w:rPr>
          <w:i/>
        </w:rPr>
      </w:pPr>
    </w:p>
    <w:p w14:paraId="112C037A" w14:textId="6E9AF4E7" w:rsidR="00454E0D" w:rsidRPr="00B46754" w:rsidRDefault="003B4022" w:rsidP="006A6610">
      <w:pPr>
        <w:jc w:val="center"/>
        <w:rPr>
          <w:i/>
        </w:rPr>
      </w:pPr>
      <w:r w:rsidRPr="00B46754">
        <w:rPr>
          <w:i/>
        </w:rPr>
        <w:t>(</w:t>
      </w:r>
      <w:r w:rsidR="004B1E91" w:rsidRPr="00B46754">
        <w:rPr>
          <w:i/>
        </w:rPr>
        <w:t>Activities for</w:t>
      </w:r>
      <w:r w:rsidR="009D0763" w:rsidRPr="00B46754">
        <w:rPr>
          <w:i/>
        </w:rPr>
        <w:t>1</w:t>
      </w:r>
      <w:r w:rsidR="00C96BCD" w:rsidRPr="00B46754">
        <w:rPr>
          <w:i/>
        </w:rPr>
        <w:t> </w:t>
      </w:r>
      <w:r w:rsidR="009D0763" w:rsidRPr="006D1A48">
        <w:rPr>
          <w:i/>
        </w:rPr>
        <w:t>January 2022 – 31</w:t>
      </w:r>
      <w:r w:rsidR="00C96BCD" w:rsidRPr="006D1A48">
        <w:rPr>
          <w:i/>
        </w:rPr>
        <w:t> </w:t>
      </w:r>
      <w:r w:rsidR="009D0763" w:rsidRPr="00B46754">
        <w:rPr>
          <w:i/>
        </w:rPr>
        <w:t>December</w:t>
      </w:r>
      <w:r w:rsidR="00864BFF" w:rsidRPr="00B46754">
        <w:rPr>
          <w:i/>
        </w:rPr>
        <w:t xml:space="preserve"> 2022</w:t>
      </w:r>
      <w:r w:rsidRPr="00B46754">
        <w:rPr>
          <w:i/>
        </w:rPr>
        <w:t>)</w:t>
      </w:r>
    </w:p>
    <w:p w14:paraId="608E0A7A" w14:textId="77777777" w:rsidR="00AF5A5F" w:rsidRPr="00B46754" w:rsidRDefault="00AF5A5F" w:rsidP="00F42988"/>
    <w:p w14:paraId="4434DC23" w14:textId="77777777" w:rsidR="003B4022" w:rsidRPr="00B46754" w:rsidRDefault="003B4022" w:rsidP="00F42988"/>
    <w:p w14:paraId="3AEE012F" w14:textId="5E69607D" w:rsidR="00454E0D" w:rsidRPr="006D1A48" w:rsidRDefault="006D1A48" w:rsidP="00F42988">
      <w:pPr>
        <w:pStyle w:val="Heading1"/>
        <w:rPr>
          <w:b/>
        </w:rPr>
      </w:pPr>
      <w:r>
        <w:rPr>
          <w:b/>
        </w:rPr>
        <w:t xml:space="preserve"> </w:t>
      </w:r>
      <w:r w:rsidR="00454E0D" w:rsidRPr="006D1A48">
        <w:rPr>
          <w:b/>
        </w:rPr>
        <w:t>MAIN OBJECTIVES AND POLITICAL PRIORITIES</w:t>
      </w:r>
    </w:p>
    <w:p w14:paraId="57B03314" w14:textId="77777777" w:rsidR="00454E0D" w:rsidRPr="006D1A48" w:rsidRDefault="00454E0D" w:rsidP="00454E0D"/>
    <w:p w14:paraId="1DA4594A" w14:textId="77777777" w:rsidR="00454E0D" w:rsidRPr="00B46754" w:rsidRDefault="00454E0D" w:rsidP="003B4022">
      <w:r w:rsidRPr="00B46754">
        <w:t xml:space="preserve">The general objective of the EESC's Section for External Relations </w:t>
      </w:r>
      <w:r w:rsidR="003F21F8" w:rsidRPr="00B46754">
        <w:t xml:space="preserve">(REX) </w:t>
      </w:r>
      <w:r w:rsidRPr="00B46754">
        <w:t>is to express the views of organised civil society</w:t>
      </w:r>
      <w:r w:rsidR="00AC5554" w:rsidRPr="00B46754">
        <w:t xml:space="preserve"> </w:t>
      </w:r>
      <w:r w:rsidR="00297B08" w:rsidRPr="00B46754">
        <w:t>o</w:t>
      </w:r>
      <w:r w:rsidRPr="00B46754">
        <w:t xml:space="preserve">n all aspects related to the </w:t>
      </w:r>
      <w:r w:rsidRPr="00B46754">
        <w:rPr>
          <w:b/>
        </w:rPr>
        <w:t xml:space="preserve">EU's external action and the Common Foreign </w:t>
      </w:r>
      <w:r w:rsidR="00864BFF" w:rsidRPr="00B46754">
        <w:rPr>
          <w:b/>
        </w:rPr>
        <w:t xml:space="preserve">and Security </w:t>
      </w:r>
      <w:r w:rsidRPr="00B46754">
        <w:rPr>
          <w:b/>
        </w:rPr>
        <w:t>Policy</w:t>
      </w:r>
      <w:r w:rsidRPr="00B46754">
        <w:t xml:space="preserve"> </w:t>
      </w:r>
      <w:r w:rsidR="00864BFF" w:rsidRPr="00B46754">
        <w:t xml:space="preserve">(CFSP) </w:t>
      </w:r>
      <w:r w:rsidRPr="00B46754">
        <w:t>of the EU.</w:t>
      </w:r>
    </w:p>
    <w:p w14:paraId="45022940" w14:textId="77777777" w:rsidR="00454E0D" w:rsidRPr="00B46754" w:rsidRDefault="00454E0D" w:rsidP="00454E0D"/>
    <w:p w14:paraId="7EF54D05" w14:textId="6D786A4E" w:rsidR="00454E0D" w:rsidRPr="00B46754" w:rsidRDefault="003F21F8" w:rsidP="003B4022">
      <w:r w:rsidRPr="00B46754">
        <w:t>I</w:t>
      </w:r>
      <w:r w:rsidR="00454E0D" w:rsidRPr="00B46754">
        <w:t>n practice</w:t>
      </w:r>
      <w:r w:rsidR="009C11A1" w:rsidRPr="00B46754">
        <w:t>,</w:t>
      </w:r>
      <w:r w:rsidR="00454E0D" w:rsidRPr="00B46754">
        <w:t xml:space="preserve"> this concerns the EU's foreign</w:t>
      </w:r>
      <w:r w:rsidR="00177E13" w:rsidRPr="00B46754">
        <w:t xml:space="preserve"> policy at large, focusing on four major pillars:</w:t>
      </w:r>
      <w:r w:rsidR="00454E0D" w:rsidRPr="00B46754">
        <w:t xml:space="preserve"> </w:t>
      </w:r>
      <w:r w:rsidR="00454E0D" w:rsidRPr="00B46754">
        <w:rPr>
          <w:b/>
        </w:rPr>
        <w:t>enlargement, trade, neighbourhood</w:t>
      </w:r>
      <w:r w:rsidR="00454E0D" w:rsidRPr="00B46754">
        <w:t xml:space="preserve">, and </w:t>
      </w:r>
      <w:r w:rsidR="00454E0D" w:rsidRPr="00B46754">
        <w:rPr>
          <w:b/>
        </w:rPr>
        <w:t>development.</w:t>
      </w:r>
      <w:r w:rsidR="00454E0D" w:rsidRPr="00B46754">
        <w:t xml:space="preserve"> The REX </w:t>
      </w:r>
      <w:r w:rsidR="00AF2304" w:rsidRPr="00B46754">
        <w:t>S</w:t>
      </w:r>
      <w:r w:rsidR="00454E0D" w:rsidRPr="00B46754">
        <w:t xml:space="preserve">ection aims </w:t>
      </w:r>
      <w:r w:rsidR="00FB4C04" w:rsidRPr="00B46754">
        <w:t>t</w:t>
      </w:r>
      <w:r w:rsidR="00D770D2" w:rsidRPr="00B46754">
        <w:t>o</w:t>
      </w:r>
      <w:r w:rsidR="00454E0D" w:rsidRPr="00B46754">
        <w:t xml:space="preserve"> promot</w:t>
      </w:r>
      <w:r w:rsidR="00D770D2" w:rsidRPr="00B46754">
        <w:t>e</w:t>
      </w:r>
      <w:r w:rsidR="00454E0D" w:rsidRPr="00B46754">
        <w:t xml:space="preserve"> a </w:t>
      </w:r>
      <w:r w:rsidR="00756D77" w:rsidRPr="00B46754">
        <w:t xml:space="preserve">favourable </w:t>
      </w:r>
      <w:r w:rsidR="00FB4C04" w:rsidRPr="00B46754">
        <w:t>framework</w:t>
      </w:r>
      <w:r w:rsidR="00454E0D" w:rsidRPr="00B46754">
        <w:t xml:space="preserve"> </w:t>
      </w:r>
      <w:r w:rsidR="00756D77" w:rsidRPr="00B46754">
        <w:t xml:space="preserve">for </w:t>
      </w:r>
      <w:r w:rsidR="00454E0D" w:rsidRPr="00B46754">
        <w:t>the activities of civil society organisations, to establish and improve direct contacts with civil society organisations and to support and strengthen civil and social dialogue in non-EU countries and regions.</w:t>
      </w:r>
      <w:r w:rsidR="00177E13" w:rsidRPr="00B46754">
        <w:t xml:space="preserve"> </w:t>
      </w:r>
    </w:p>
    <w:p w14:paraId="2398B1AE" w14:textId="77777777" w:rsidR="00177E13" w:rsidRPr="00B46754" w:rsidRDefault="00177E13" w:rsidP="003B4022"/>
    <w:p w14:paraId="33E5133D" w14:textId="350381DC" w:rsidR="0059762C" w:rsidRPr="00B46754" w:rsidRDefault="00177E13" w:rsidP="003B4022">
      <w:r w:rsidRPr="00B46754">
        <w:t xml:space="preserve">This </w:t>
      </w:r>
      <w:r w:rsidR="009C11A1" w:rsidRPr="00B46754">
        <w:t>work</w:t>
      </w:r>
      <w:r w:rsidRPr="00B46754">
        <w:t xml:space="preserve"> is increasingly framed by the many international political and economic agreements </w:t>
      </w:r>
      <w:r w:rsidR="00D770D2" w:rsidRPr="00B46754">
        <w:t xml:space="preserve">the EU </w:t>
      </w:r>
      <w:r w:rsidRPr="00B46754">
        <w:t>conclude</w:t>
      </w:r>
      <w:r w:rsidR="00D770D2" w:rsidRPr="00B46754">
        <w:t xml:space="preserve">s </w:t>
      </w:r>
      <w:r w:rsidRPr="00B46754">
        <w:t xml:space="preserve"> with third countries.</w:t>
      </w:r>
    </w:p>
    <w:p w14:paraId="761FD962" w14:textId="77777777" w:rsidR="0059762C" w:rsidRPr="00B46754" w:rsidRDefault="0059762C" w:rsidP="003B4022"/>
    <w:p w14:paraId="3EE376B8" w14:textId="0E3495BE" w:rsidR="00177E13" w:rsidRPr="00B46754" w:rsidRDefault="0059762C" w:rsidP="003B4022">
      <w:r w:rsidRPr="00B46754">
        <w:t xml:space="preserve">The REX </w:t>
      </w:r>
      <w:r w:rsidR="00AF2304" w:rsidRPr="00B46754">
        <w:t>S</w:t>
      </w:r>
      <w:r w:rsidRPr="00B46754">
        <w:t xml:space="preserve">ection </w:t>
      </w:r>
      <w:r w:rsidR="00135BDA" w:rsidRPr="00B46754">
        <w:t xml:space="preserve">is attentive </w:t>
      </w:r>
      <w:r w:rsidRPr="00B46754">
        <w:t xml:space="preserve">to the </w:t>
      </w:r>
      <w:r w:rsidRPr="00B46754">
        <w:rPr>
          <w:b/>
        </w:rPr>
        <w:t>priorities established by the Commission, the European Parliament and the Council</w:t>
      </w:r>
      <w:r w:rsidRPr="00B46754">
        <w:t xml:space="preserve"> in order to ensure consistent and supportive </w:t>
      </w:r>
      <w:r w:rsidR="003F21F8" w:rsidRPr="00B46754">
        <w:t>action</w:t>
      </w:r>
      <w:r w:rsidRPr="00B46754">
        <w:t xml:space="preserve"> </w:t>
      </w:r>
      <w:r w:rsidR="00297B08" w:rsidRPr="00B46754">
        <w:t>by</w:t>
      </w:r>
      <w:r w:rsidRPr="00B46754">
        <w:t xml:space="preserve"> </w:t>
      </w:r>
      <w:r w:rsidR="003F21F8" w:rsidRPr="00B46754">
        <w:t xml:space="preserve">organised </w:t>
      </w:r>
      <w:r w:rsidRPr="00B46754">
        <w:t>civil society.</w:t>
      </w:r>
    </w:p>
    <w:p w14:paraId="374E3CE6" w14:textId="77777777" w:rsidR="009D0763" w:rsidRPr="00B46754" w:rsidRDefault="009D0763" w:rsidP="003B4022"/>
    <w:p w14:paraId="4F83050B" w14:textId="3D73504E" w:rsidR="009D0763" w:rsidRPr="00B46754" w:rsidRDefault="009D0763" w:rsidP="005762BB">
      <w:r w:rsidRPr="00B46754">
        <w:t xml:space="preserve">It is therefore necessary to update the REX </w:t>
      </w:r>
      <w:r w:rsidR="00AF2304" w:rsidRPr="00B46754">
        <w:t>S</w:t>
      </w:r>
      <w:r w:rsidRPr="00B46754">
        <w:t xml:space="preserve">ection work programme to reflect new priorities established by the </w:t>
      </w:r>
      <w:r w:rsidR="00FB4C04" w:rsidRPr="00B46754">
        <w:t>EU institutions</w:t>
      </w:r>
      <w:r w:rsidR="00CD5710" w:rsidRPr="00B46754">
        <w:t xml:space="preserve"> and </w:t>
      </w:r>
      <w:r w:rsidR="00864BFF" w:rsidRPr="00B46754">
        <w:t>new fields of activity</w:t>
      </w:r>
      <w:r w:rsidRPr="00B46754">
        <w:t xml:space="preserve"> related to</w:t>
      </w:r>
      <w:r w:rsidRPr="00B46754">
        <w:rPr>
          <w:b/>
        </w:rPr>
        <w:t xml:space="preserve"> international climate and energy diplomacy</w:t>
      </w:r>
      <w:r w:rsidR="008C3020" w:rsidRPr="00B46754">
        <w:rPr>
          <w:b/>
        </w:rPr>
        <w:t>, international aspects of EU global connectivity projects such as the Global Gateway</w:t>
      </w:r>
      <w:r w:rsidR="005762BB" w:rsidRPr="00B46754">
        <w:rPr>
          <w:b/>
        </w:rPr>
        <w:t xml:space="preserve">, the implementation of the </w:t>
      </w:r>
      <w:r w:rsidR="00F801E0" w:rsidRPr="00B46754">
        <w:rPr>
          <w:b/>
        </w:rPr>
        <w:t>Common Foreign and Security Policy (</w:t>
      </w:r>
      <w:r w:rsidR="005762BB" w:rsidRPr="00B46754">
        <w:rPr>
          <w:b/>
        </w:rPr>
        <w:t>CFSP</w:t>
      </w:r>
      <w:r w:rsidR="00F801E0" w:rsidRPr="00B46754">
        <w:rPr>
          <w:b/>
        </w:rPr>
        <w:t>)</w:t>
      </w:r>
      <w:r w:rsidR="005762BB" w:rsidRPr="00B46754">
        <w:rPr>
          <w:b/>
        </w:rPr>
        <w:t xml:space="preserve">, including the adoption of the EU </w:t>
      </w:r>
      <w:r w:rsidR="00F801E0" w:rsidRPr="00B46754">
        <w:rPr>
          <w:b/>
        </w:rPr>
        <w:t xml:space="preserve">Strategic Compass and the </w:t>
      </w:r>
      <w:r w:rsidR="00CD5710" w:rsidRPr="00B46754">
        <w:rPr>
          <w:b/>
        </w:rPr>
        <w:t>growing</w:t>
      </w:r>
      <w:r w:rsidRPr="00B46754">
        <w:rPr>
          <w:b/>
        </w:rPr>
        <w:t xml:space="preserve"> importance of the Indo-Pacific and </w:t>
      </w:r>
      <w:r w:rsidR="00CD5710" w:rsidRPr="00B46754">
        <w:rPr>
          <w:b/>
        </w:rPr>
        <w:t xml:space="preserve">the </w:t>
      </w:r>
      <w:r w:rsidRPr="00B46754">
        <w:rPr>
          <w:b/>
        </w:rPr>
        <w:t xml:space="preserve">Central Asia region. </w:t>
      </w:r>
    </w:p>
    <w:p w14:paraId="70654764" w14:textId="77777777" w:rsidR="00454E0D" w:rsidRPr="00B46754" w:rsidRDefault="00454E0D" w:rsidP="003B4022"/>
    <w:p w14:paraId="7870C3B5" w14:textId="4A2F7C9B" w:rsidR="00454E0D" w:rsidRPr="00B46754" w:rsidRDefault="00A01263" w:rsidP="00F42988">
      <w:r w:rsidRPr="00B46754">
        <w:t>T</w:t>
      </w:r>
      <w:r w:rsidR="00CF6330" w:rsidRPr="00B46754">
        <w:t xml:space="preserve">his work programme </w:t>
      </w:r>
      <w:r w:rsidR="003F21F8" w:rsidRPr="00B46754">
        <w:t>focus</w:t>
      </w:r>
      <w:r w:rsidRPr="00B46754">
        <w:t>es</w:t>
      </w:r>
      <w:r w:rsidR="00CF6330" w:rsidRPr="00B46754">
        <w:t xml:space="preserve"> </w:t>
      </w:r>
      <w:r w:rsidR="003F21F8" w:rsidRPr="00B46754">
        <w:t>on</w:t>
      </w:r>
      <w:r w:rsidR="00CF6330" w:rsidRPr="00B46754">
        <w:t xml:space="preserve"> </w:t>
      </w:r>
      <w:r w:rsidR="009D0763" w:rsidRPr="00B46754">
        <w:t>2022</w:t>
      </w:r>
      <w:r w:rsidRPr="00B46754">
        <w:t xml:space="preserve">, </w:t>
      </w:r>
      <w:r w:rsidR="00297B08" w:rsidRPr="00B46754">
        <w:t xml:space="preserve">in order </w:t>
      </w:r>
      <w:r w:rsidRPr="00B46754">
        <w:t>to illustrate the type and number of activities REX organises in any given year</w:t>
      </w:r>
      <w:r w:rsidR="00CF6330" w:rsidRPr="00B46754">
        <w:t xml:space="preserve">. </w:t>
      </w:r>
      <w:r w:rsidR="00454E0D" w:rsidRPr="00B46754">
        <w:t xml:space="preserve">In geographical and thematic terms, </w:t>
      </w:r>
      <w:r w:rsidR="00A72386" w:rsidRPr="00B46754">
        <w:t xml:space="preserve">the REX </w:t>
      </w:r>
      <w:r w:rsidR="00AF2304" w:rsidRPr="00B46754">
        <w:t>S</w:t>
      </w:r>
      <w:r w:rsidR="00A72386" w:rsidRPr="00B46754">
        <w:t>ection will prioriti</w:t>
      </w:r>
      <w:r w:rsidRPr="00B46754">
        <w:t>se</w:t>
      </w:r>
      <w:r w:rsidR="00A72386" w:rsidRPr="00B46754">
        <w:t xml:space="preserve"> issues related to</w:t>
      </w:r>
      <w:r w:rsidR="003F21F8" w:rsidRPr="00B46754">
        <w:t>: 1)</w:t>
      </w:r>
      <w:r w:rsidR="00F712F7" w:rsidRPr="00B46754">
        <w:t> </w:t>
      </w:r>
      <w:r w:rsidR="009D0763" w:rsidRPr="00B46754">
        <w:rPr>
          <w:b/>
        </w:rPr>
        <w:t xml:space="preserve">EU </w:t>
      </w:r>
      <w:r w:rsidR="00700B1D" w:rsidRPr="00B46754">
        <w:rPr>
          <w:b/>
        </w:rPr>
        <w:t>neighbourhood</w:t>
      </w:r>
      <w:r w:rsidR="00297B08" w:rsidRPr="00B46754">
        <w:t>;</w:t>
      </w:r>
      <w:r w:rsidR="003F21F8" w:rsidRPr="00B46754">
        <w:t xml:space="preserve"> 2)</w:t>
      </w:r>
      <w:r w:rsidR="00F712F7" w:rsidRPr="00B46754">
        <w:t> </w:t>
      </w:r>
      <w:r w:rsidR="00297B08" w:rsidRPr="00B46754">
        <w:rPr>
          <w:b/>
        </w:rPr>
        <w:t>i</w:t>
      </w:r>
      <w:r w:rsidR="00A72386" w:rsidRPr="00B46754">
        <w:rPr>
          <w:b/>
        </w:rPr>
        <w:t>nternational</w:t>
      </w:r>
      <w:r w:rsidR="00A72386" w:rsidRPr="00B46754">
        <w:t xml:space="preserve"> </w:t>
      </w:r>
      <w:r w:rsidR="003B4022" w:rsidRPr="00B46754">
        <w:rPr>
          <w:b/>
        </w:rPr>
        <w:t>trade</w:t>
      </w:r>
      <w:r w:rsidR="00297B08" w:rsidRPr="00B46754">
        <w:t xml:space="preserve">; </w:t>
      </w:r>
      <w:r w:rsidR="003F21F8" w:rsidRPr="00B46754">
        <w:t>3)</w:t>
      </w:r>
      <w:r w:rsidR="00F712F7" w:rsidRPr="00B46754">
        <w:t> </w:t>
      </w:r>
      <w:r w:rsidR="00454E0D" w:rsidRPr="00B46754">
        <w:rPr>
          <w:b/>
        </w:rPr>
        <w:t>Africa</w:t>
      </w:r>
      <w:r w:rsidR="00454E0D" w:rsidRPr="00B46754">
        <w:t xml:space="preserve"> </w:t>
      </w:r>
      <w:r w:rsidR="004E5FEC" w:rsidRPr="00B46754">
        <w:t>as part of the ACP</w:t>
      </w:r>
      <w:r w:rsidR="00CE2E24" w:rsidRPr="00B46754">
        <w:t>;</w:t>
      </w:r>
      <w:r w:rsidR="009E5AA0" w:rsidRPr="00B46754">
        <w:t xml:space="preserve"> and 4</w:t>
      </w:r>
      <w:r w:rsidR="009E5AA0" w:rsidRPr="00B46754">
        <w:rPr>
          <w:b/>
        </w:rPr>
        <w:t>) climate and energy diplomacy.</w:t>
      </w:r>
      <w:r w:rsidR="009E5AA0" w:rsidRPr="00B46754">
        <w:t xml:space="preserve"> </w:t>
      </w:r>
      <w:r w:rsidR="00F801E0" w:rsidRPr="00B46754">
        <w:t>Development</w:t>
      </w:r>
      <w:r w:rsidR="00864BFF" w:rsidRPr="00B46754">
        <w:t>s</w:t>
      </w:r>
      <w:r w:rsidR="00F801E0" w:rsidRPr="00B46754">
        <w:t xml:space="preserve"> in transatlantic relations</w:t>
      </w:r>
      <w:r w:rsidR="009E5AA0" w:rsidRPr="00B46754">
        <w:t xml:space="preserve"> and in</w:t>
      </w:r>
      <w:r w:rsidR="00F801E0" w:rsidRPr="00B46754">
        <w:t xml:space="preserve"> </w:t>
      </w:r>
      <w:r w:rsidR="00E41BE9" w:rsidRPr="00B46754">
        <w:t xml:space="preserve">Latin America </w:t>
      </w:r>
      <w:r w:rsidR="004E5FEC" w:rsidRPr="00B46754">
        <w:t>will be closely monitored</w:t>
      </w:r>
      <w:r w:rsidR="003F21F8" w:rsidRPr="00B46754">
        <w:t>.</w:t>
      </w:r>
      <w:r w:rsidR="0077731E" w:rsidRPr="00B46754">
        <w:t xml:space="preserve"> The Section will also evaluate the prospects for developing activities regarding </w:t>
      </w:r>
      <w:r w:rsidR="00692BE5" w:rsidRPr="00B46754">
        <w:t xml:space="preserve">the </w:t>
      </w:r>
      <w:r w:rsidR="0077731E" w:rsidRPr="00B46754">
        <w:t>Indo-Pacific and Central Asia region</w:t>
      </w:r>
      <w:r w:rsidR="00692BE5" w:rsidRPr="00B46754">
        <w:t>s</w:t>
      </w:r>
      <w:r w:rsidR="0077731E" w:rsidRPr="00B46754">
        <w:t xml:space="preserve"> in line with the </w:t>
      </w:r>
      <w:r w:rsidR="00692BE5" w:rsidRPr="00B46754">
        <w:t xml:space="preserve">priorities of the </w:t>
      </w:r>
      <w:r w:rsidR="0077731E" w:rsidRPr="00B46754">
        <w:t>Commission and the EEAS.</w:t>
      </w:r>
    </w:p>
    <w:p w14:paraId="1910E4AD" w14:textId="77777777" w:rsidR="008B6F26" w:rsidRPr="00B46754" w:rsidRDefault="008B6F26" w:rsidP="00F42988"/>
    <w:p w14:paraId="3821864F" w14:textId="16522059" w:rsidR="008B6F26" w:rsidRPr="00B46754" w:rsidRDefault="008B6F26" w:rsidP="00F42988">
      <w:r w:rsidRPr="00B46754">
        <w:t>The REX Section will pay special attention to specific horizontal issues concerning the external dimension of internal EU policies</w:t>
      </w:r>
      <w:r w:rsidR="00965F8B" w:rsidRPr="00B46754">
        <w:t>.</w:t>
      </w:r>
      <w:r w:rsidRPr="00B46754">
        <w:t xml:space="preserve"> </w:t>
      </w:r>
      <w:r w:rsidR="00965F8B" w:rsidRPr="00B46754">
        <w:t>B</w:t>
      </w:r>
      <w:r w:rsidR="0077731E" w:rsidRPr="00B46754">
        <w:t xml:space="preserve">eyond </w:t>
      </w:r>
      <w:r w:rsidR="00965F8B" w:rsidRPr="00B46754">
        <w:t>stat</w:t>
      </w:r>
      <w:r w:rsidR="00CE2E24" w:rsidRPr="00B46754">
        <w:t xml:space="preserve">ed </w:t>
      </w:r>
      <w:r w:rsidR="0077731E" w:rsidRPr="00B46754">
        <w:t xml:space="preserve">priorities, </w:t>
      </w:r>
      <w:r w:rsidR="00CE2E24" w:rsidRPr="00B46754">
        <w:t xml:space="preserve">work might </w:t>
      </w:r>
      <w:r w:rsidR="00965F8B" w:rsidRPr="00B46754">
        <w:t xml:space="preserve">involve </w:t>
      </w:r>
      <w:r w:rsidR="0077731E" w:rsidRPr="00B46754">
        <w:t xml:space="preserve">additional new activities </w:t>
      </w:r>
      <w:r w:rsidR="0077731E" w:rsidRPr="00B46754">
        <w:lastRenderedPageBreak/>
        <w:t xml:space="preserve">in relation to the implementation of the CFSP, </w:t>
      </w:r>
      <w:r w:rsidRPr="00B46754">
        <w:t xml:space="preserve">migration and asylum policy and the link between European civil protection and humanitarian aid operations. Specific </w:t>
      </w:r>
      <w:r w:rsidR="000848D1" w:rsidRPr="00B46754">
        <w:t>s</w:t>
      </w:r>
      <w:r w:rsidRPr="00B46754">
        <w:t xml:space="preserve">ection meetings will be organised on these issues in relation </w:t>
      </w:r>
      <w:r w:rsidR="00965F8B" w:rsidRPr="00B46754">
        <w:t>to</w:t>
      </w:r>
      <w:r w:rsidRPr="00B46754">
        <w:t xml:space="preserve"> the adoption of the opinions on "Responding to state-sponsored instrumentalisation of migrants at the EU</w:t>
      </w:r>
      <w:r w:rsidR="000F734D" w:rsidRPr="00B46754">
        <w:t>'s</w:t>
      </w:r>
      <w:r w:rsidRPr="00B46754">
        <w:t xml:space="preserve"> external border" and "Improvement of the EU capacity to act in case of extreme events outside of its territory"</w:t>
      </w:r>
      <w:r w:rsidR="00700B1D" w:rsidRPr="00B46754">
        <w:t>.</w:t>
      </w:r>
    </w:p>
    <w:p w14:paraId="792A46C8" w14:textId="77777777" w:rsidR="008B6F26" w:rsidRPr="00B46754" w:rsidRDefault="008B6F26" w:rsidP="00F42988"/>
    <w:p w14:paraId="65EA6ECD" w14:textId="5AA789A3" w:rsidR="004E5FEC" w:rsidRPr="00B46754" w:rsidRDefault="004E5FEC" w:rsidP="004E5FEC">
      <w:pPr>
        <w:keepNext/>
      </w:pPr>
      <w:r w:rsidRPr="00B46754">
        <w:t>Travelling activities will have to take into account the current C</w:t>
      </w:r>
      <w:r w:rsidR="00AC5554" w:rsidRPr="00B46754">
        <w:t>OVID</w:t>
      </w:r>
      <w:r w:rsidRPr="00B46754">
        <w:t>-19 pandemic</w:t>
      </w:r>
      <w:r w:rsidR="00E41BE9" w:rsidRPr="00B46754">
        <w:t>.</w:t>
      </w:r>
    </w:p>
    <w:p w14:paraId="1C1E73E4" w14:textId="6F38E537" w:rsidR="00F712F7" w:rsidRPr="00B46754" w:rsidRDefault="00F712F7">
      <w:pPr>
        <w:spacing w:after="160" w:line="259" w:lineRule="auto"/>
        <w:jc w:val="left"/>
      </w:pPr>
    </w:p>
    <w:p w14:paraId="5750BD48" w14:textId="47C01BDF" w:rsidR="00454E0D" w:rsidRPr="006D1A48" w:rsidRDefault="006D1A48" w:rsidP="00F42988">
      <w:pPr>
        <w:pStyle w:val="Heading1"/>
        <w:rPr>
          <w:b/>
        </w:rPr>
      </w:pPr>
      <w:r>
        <w:rPr>
          <w:b/>
        </w:rPr>
        <w:t xml:space="preserve"> </w:t>
      </w:r>
      <w:r w:rsidR="00305D85" w:rsidRPr="006D1A48">
        <w:rPr>
          <w:b/>
        </w:rPr>
        <w:t>LEGISLATIVE</w:t>
      </w:r>
      <w:r w:rsidR="00454E0D" w:rsidRPr="006D1A48">
        <w:rPr>
          <w:b/>
        </w:rPr>
        <w:t xml:space="preserve"> WORK</w:t>
      </w:r>
    </w:p>
    <w:p w14:paraId="4F7A499F" w14:textId="77777777" w:rsidR="00454E0D" w:rsidRPr="006D1A48" w:rsidRDefault="00454E0D" w:rsidP="00F42988"/>
    <w:p w14:paraId="1293A703" w14:textId="13EA713C" w:rsidR="00454E0D" w:rsidRPr="00B46754" w:rsidRDefault="006E0984" w:rsidP="00F42988">
      <w:r w:rsidRPr="00B46754">
        <w:t>T</w:t>
      </w:r>
      <w:r w:rsidR="00454E0D" w:rsidRPr="00B46754">
        <w:t xml:space="preserve">he </w:t>
      </w:r>
      <w:r w:rsidR="00AF2304" w:rsidRPr="00B46754">
        <w:t>S</w:t>
      </w:r>
      <w:r w:rsidR="00454E0D" w:rsidRPr="00B46754">
        <w:t xml:space="preserve">ection's </w:t>
      </w:r>
      <w:r w:rsidR="00305D85" w:rsidRPr="00B46754">
        <w:t>legislative</w:t>
      </w:r>
      <w:r w:rsidR="00454E0D" w:rsidRPr="00B46754">
        <w:t xml:space="preserve"> work (opinions and information reports) will be</w:t>
      </w:r>
      <w:r w:rsidR="00297B08" w:rsidRPr="00B46754">
        <w:t xml:space="preserve"> </w:t>
      </w:r>
      <w:r w:rsidR="00454E0D" w:rsidRPr="00B46754">
        <w:t xml:space="preserve">consistent with the work planned by different REX standing </w:t>
      </w:r>
      <w:r w:rsidR="00700B1D" w:rsidRPr="00B46754">
        <w:t>bodies</w:t>
      </w:r>
      <w:r w:rsidR="00454E0D" w:rsidRPr="00B46754">
        <w:t xml:space="preserve">, the </w:t>
      </w:r>
      <w:r w:rsidR="00AF2304" w:rsidRPr="00B46754">
        <w:t>S</w:t>
      </w:r>
      <w:r w:rsidR="00454E0D" w:rsidRPr="00B46754">
        <w:t xml:space="preserve">ection's institutional obligations, the Commission Work Programme, the </w:t>
      </w:r>
      <w:r w:rsidR="00D13C92" w:rsidRPr="00B46754">
        <w:t>referrals</w:t>
      </w:r>
      <w:r w:rsidR="00454E0D" w:rsidRPr="00B46754">
        <w:t xml:space="preserve"> of the Council presidencies</w:t>
      </w:r>
      <w:r w:rsidR="00824FBE" w:rsidRPr="00B46754">
        <w:t xml:space="preserve">, the </w:t>
      </w:r>
      <w:r w:rsidR="0072227C" w:rsidRPr="00B46754">
        <w:t xml:space="preserve">work of the </w:t>
      </w:r>
      <w:r w:rsidR="00824FBE" w:rsidRPr="00B46754">
        <w:t>Commission</w:t>
      </w:r>
      <w:r w:rsidR="00454E0D" w:rsidRPr="00B46754">
        <w:t xml:space="preserve"> </w:t>
      </w:r>
      <w:r w:rsidR="00A72386" w:rsidRPr="00B46754">
        <w:t xml:space="preserve">and the European Parliament </w:t>
      </w:r>
      <w:r w:rsidR="00454E0D" w:rsidRPr="00B46754">
        <w:t xml:space="preserve">and the EESC president's international </w:t>
      </w:r>
      <w:r w:rsidR="00D13C92" w:rsidRPr="00B46754">
        <w:t>priorities</w:t>
      </w:r>
      <w:r w:rsidR="004B1E91" w:rsidRPr="00B46754">
        <w:t>.</w:t>
      </w:r>
      <w:r w:rsidR="005F21B7" w:rsidRPr="00B46754">
        <w:t xml:space="preserve"> </w:t>
      </w:r>
      <w:r w:rsidR="00454E0D" w:rsidRPr="00B46754">
        <w:t>Specific attention will be given</w:t>
      </w:r>
      <w:r w:rsidR="002C1426" w:rsidRPr="00B46754">
        <w:t xml:space="preserve"> </w:t>
      </w:r>
      <w:r w:rsidR="00454E0D" w:rsidRPr="00B46754">
        <w:t>to:</w:t>
      </w:r>
    </w:p>
    <w:p w14:paraId="457ADB75" w14:textId="77777777" w:rsidR="003B3E3F" w:rsidRPr="00B46754" w:rsidRDefault="003B3E3F" w:rsidP="00D13C92">
      <w:pPr>
        <w:pStyle w:val="ListParagraph"/>
        <w:ind w:left="511"/>
      </w:pPr>
    </w:p>
    <w:p w14:paraId="1541E848" w14:textId="7F40EA3B" w:rsidR="00454E0D" w:rsidRPr="00B46754" w:rsidRDefault="002C1426" w:rsidP="00F712F7">
      <w:pPr>
        <w:pStyle w:val="ListParagraph"/>
        <w:numPr>
          <w:ilvl w:val="0"/>
          <w:numId w:val="8"/>
        </w:numPr>
        <w:tabs>
          <w:tab w:val="clear" w:pos="142"/>
        </w:tabs>
        <w:ind w:left="567" w:hanging="567"/>
      </w:pPr>
      <w:r w:rsidRPr="00B46754">
        <w:t xml:space="preserve">the development of the Eastern Partnership </w:t>
      </w:r>
      <w:r w:rsidR="008B6F26" w:rsidRPr="00B46754">
        <w:t>policy</w:t>
      </w:r>
      <w:r w:rsidR="008C3020" w:rsidRPr="00B46754">
        <w:t xml:space="preserve"> with </w:t>
      </w:r>
      <w:r w:rsidR="0081140C" w:rsidRPr="00B46754">
        <w:t xml:space="preserve">a </w:t>
      </w:r>
      <w:r w:rsidR="008C3020" w:rsidRPr="00B46754">
        <w:t>particular focus on Belarus</w:t>
      </w:r>
      <w:r w:rsidR="00454E0D" w:rsidRPr="00B46754">
        <w:t>;</w:t>
      </w:r>
    </w:p>
    <w:p w14:paraId="1C78BE4B" w14:textId="231C0D77" w:rsidR="002E1DC4" w:rsidRPr="00B46754" w:rsidRDefault="002E1DC4" w:rsidP="00F712F7">
      <w:pPr>
        <w:pStyle w:val="ListParagraph"/>
        <w:numPr>
          <w:ilvl w:val="0"/>
          <w:numId w:val="8"/>
        </w:numPr>
        <w:tabs>
          <w:tab w:val="clear" w:pos="142"/>
        </w:tabs>
        <w:ind w:left="567" w:hanging="567"/>
      </w:pPr>
      <w:r w:rsidRPr="00B46754">
        <w:t xml:space="preserve">the importance of </w:t>
      </w:r>
      <w:r w:rsidR="00B41637" w:rsidRPr="00B46754">
        <w:t xml:space="preserve">a just </w:t>
      </w:r>
      <w:r w:rsidRPr="00B46754">
        <w:t>digital transition, with a particular focus on the EU</w:t>
      </w:r>
      <w:r w:rsidR="0081140C" w:rsidRPr="00B46754">
        <w:t>'s</w:t>
      </w:r>
      <w:r w:rsidRPr="00B46754">
        <w:t xml:space="preserve"> Southern Neighbours</w:t>
      </w:r>
      <w:r w:rsidR="00700B1D" w:rsidRPr="00B46754">
        <w:t>;</w:t>
      </w:r>
      <w:r w:rsidRPr="00B46754">
        <w:t xml:space="preserve"> </w:t>
      </w:r>
    </w:p>
    <w:p w14:paraId="5F28F632" w14:textId="77777777" w:rsidR="002E1DC4" w:rsidRPr="00B46754" w:rsidRDefault="002E1DC4" w:rsidP="00F712F7">
      <w:pPr>
        <w:pStyle w:val="ListParagraph"/>
        <w:numPr>
          <w:ilvl w:val="0"/>
          <w:numId w:val="8"/>
        </w:numPr>
        <w:tabs>
          <w:tab w:val="clear" w:pos="142"/>
        </w:tabs>
        <w:ind w:left="567" w:hanging="567"/>
      </w:pPr>
      <w:r w:rsidRPr="00B46754">
        <w:t xml:space="preserve">the </w:t>
      </w:r>
      <w:r w:rsidR="00700B1D" w:rsidRPr="00B46754">
        <w:t>situation</w:t>
      </w:r>
      <w:r w:rsidRPr="00B46754">
        <w:t xml:space="preserve"> in the Western Balkans, with a particular focus on youth and innovation policy</w:t>
      </w:r>
      <w:r w:rsidR="00700B1D" w:rsidRPr="00B46754">
        <w:t>;</w:t>
      </w:r>
    </w:p>
    <w:p w14:paraId="4179C9C9" w14:textId="77777777" w:rsidR="003B3E3F" w:rsidRPr="00B46754" w:rsidRDefault="003B3E3F" w:rsidP="00D13C92">
      <w:pPr>
        <w:pStyle w:val="ListParagraph"/>
        <w:numPr>
          <w:ilvl w:val="0"/>
          <w:numId w:val="8"/>
        </w:numPr>
        <w:tabs>
          <w:tab w:val="clear" w:pos="142"/>
        </w:tabs>
        <w:ind w:left="567" w:hanging="567"/>
      </w:pPr>
      <w:r w:rsidRPr="00B46754">
        <w:t>the revision of the Cotonou Agreement (the new OACPS);</w:t>
      </w:r>
    </w:p>
    <w:p w14:paraId="783EF3E4" w14:textId="76E23A8A" w:rsidR="00454E0D" w:rsidRPr="00B46754" w:rsidRDefault="00454E0D" w:rsidP="00F712F7">
      <w:pPr>
        <w:pStyle w:val="ListParagraph"/>
        <w:numPr>
          <w:ilvl w:val="0"/>
          <w:numId w:val="9"/>
        </w:numPr>
        <w:tabs>
          <w:tab w:val="clear" w:pos="0"/>
        </w:tabs>
        <w:ind w:left="567" w:hanging="567"/>
      </w:pPr>
      <w:r w:rsidRPr="00B46754">
        <w:t xml:space="preserve">the implementation of the </w:t>
      </w:r>
      <w:r w:rsidR="00CC6862" w:rsidRPr="00B46754">
        <w:t xml:space="preserve">European Green Deal and the UN </w:t>
      </w:r>
      <w:r w:rsidRPr="00B46754">
        <w:t>Sustainable Development Goals</w:t>
      </w:r>
      <w:r w:rsidR="008E4A98" w:rsidRPr="00B46754">
        <w:t>, where necessary in cooperation with the NAT and TEN Sections</w:t>
      </w:r>
      <w:r w:rsidR="00792468" w:rsidRPr="00B46754">
        <w:t xml:space="preserve">, </w:t>
      </w:r>
      <w:r w:rsidR="006758C2" w:rsidRPr="00B46754">
        <w:t>with a</w:t>
      </w:r>
      <w:r w:rsidR="00792468" w:rsidRPr="00B46754">
        <w:t xml:space="preserve"> particular </w:t>
      </w:r>
      <w:r w:rsidR="006758C2" w:rsidRPr="00B46754">
        <w:t xml:space="preserve">focus on </w:t>
      </w:r>
      <w:r w:rsidR="00792468" w:rsidRPr="00B46754">
        <w:t xml:space="preserve">issues related to </w:t>
      </w:r>
      <w:r w:rsidR="00B41637" w:rsidRPr="00B46754">
        <w:t xml:space="preserve">a sustainable </w:t>
      </w:r>
      <w:r w:rsidR="00792468" w:rsidRPr="00B46754">
        <w:t xml:space="preserve">climate and energy diplomacy, </w:t>
      </w:r>
      <w:r w:rsidR="00B41637" w:rsidRPr="00B46754">
        <w:t xml:space="preserve">a just </w:t>
      </w:r>
      <w:r w:rsidR="002E1DC4" w:rsidRPr="00B46754">
        <w:t xml:space="preserve">energy transition, </w:t>
      </w:r>
      <w:r w:rsidR="006758C2" w:rsidRPr="00B46754">
        <w:t xml:space="preserve">and </w:t>
      </w:r>
      <w:r w:rsidR="00792468" w:rsidRPr="00B46754">
        <w:t>the importance of water in external relations</w:t>
      </w:r>
      <w:r w:rsidRPr="00B46754">
        <w:t xml:space="preserve">; </w:t>
      </w:r>
    </w:p>
    <w:p w14:paraId="221F63CC" w14:textId="5FECC92D" w:rsidR="008C3020" w:rsidRPr="00B46754" w:rsidRDefault="008C3020" w:rsidP="00F712F7">
      <w:pPr>
        <w:pStyle w:val="ListParagraph"/>
        <w:numPr>
          <w:ilvl w:val="0"/>
          <w:numId w:val="9"/>
        </w:numPr>
        <w:tabs>
          <w:tab w:val="clear" w:pos="0"/>
        </w:tabs>
        <w:ind w:left="567" w:hanging="567"/>
      </w:pPr>
      <w:r w:rsidRPr="00B46754">
        <w:t xml:space="preserve">the implementation of the EU Global Gateway Strategy and the EU Indo-Pacific Strategy and their impact on relations with Asian countries; </w:t>
      </w:r>
    </w:p>
    <w:p w14:paraId="2944473A" w14:textId="77777777" w:rsidR="007B072B" w:rsidRPr="00B46754" w:rsidRDefault="007B072B" w:rsidP="00F712F7">
      <w:pPr>
        <w:pStyle w:val="ListParagraph"/>
        <w:numPr>
          <w:ilvl w:val="0"/>
          <w:numId w:val="9"/>
        </w:numPr>
        <w:tabs>
          <w:tab w:val="clear" w:pos="0"/>
        </w:tabs>
        <w:ind w:left="567" w:hanging="567"/>
      </w:pPr>
      <w:r w:rsidRPr="00B46754">
        <w:t>the capacity of the EU to react to extreme events outside its territory</w:t>
      </w:r>
      <w:r w:rsidR="0043177E" w:rsidRPr="00B46754">
        <w:t>;</w:t>
      </w:r>
    </w:p>
    <w:p w14:paraId="3B6D45CD" w14:textId="77777777" w:rsidR="00454E0D" w:rsidRPr="00B46754" w:rsidRDefault="00454E0D" w:rsidP="00A650B1">
      <w:pPr>
        <w:pStyle w:val="ListParagraph"/>
        <w:numPr>
          <w:ilvl w:val="0"/>
          <w:numId w:val="11"/>
        </w:numPr>
        <w:tabs>
          <w:tab w:val="clear" w:pos="0"/>
        </w:tabs>
        <w:ind w:left="567" w:hanging="567"/>
      </w:pPr>
      <w:r w:rsidRPr="00B46754">
        <w:t xml:space="preserve">the Global Strategy for the </w:t>
      </w:r>
      <w:r w:rsidR="006B7BB1" w:rsidRPr="00B46754">
        <w:t xml:space="preserve">CFSP </w:t>
      </w:r>
      <w:r w:rsidR="008C3020" w:rsidRPr="00B46754">
        <w:t>and the adoption of the European Strategic Compass</w:t>
      </w:r>
      <w:r w:rsidRPr="00B46754">
        <w:t>;</w:t>
      </w:r>
    </w:p>
    <w:p w14:paraId="6A1B991F" w14:textId="77777777" w:rsidR="007B072B" w:rsidRPr="00B46754" w:rsidRDefault="007B072B" w:rsidP="00A650B1">
      <w:pPr>
        <w:pStyle w:val="ListParagraph"/>
        <w:numPr>
          <w:ilvl w:val="0"/>
          <w:numId w:val="11"/>
        </w:numPr>
        <w:tabs>
          <w:tab w:val="clear" w:pos="0"/>
        </w:tabs>
        <w:ind w:left="567" w:hanging="567"/>
      </w:pPr>
      <w:r w:rsidRPr="00B46754">
        <w:t>the implementation of the EU-US Trade and Technology Council</w:t>
      </w:r>
      <w:r w:rsidR="0043177E" w:rsidRPr="00B46754">
        <w:t>;</w:t>
      </w:r>
    </w:p>
    <w:p w14:paraId="3FCE1753" w14:textId="689621D2" w:rsidR="009E5AA0" w:rsidRPr="00B46754" w:rsidRDefault="00454E0D" w:rsidP="009E5AA0">
      <w:pPr>
        <w:pStyle w:val="ListParagraph"/>
        <w:numPr>
          <w:ilvl w:val="0"/>
          <w:numId w:val="14"/>
        </w:numPr>
        <w:tabs>
          <w:tab w:val="clear" w:pos="0"/>
        </w:tabs>
        <w:ind w:left="567" w:hanging="567"/>
      </w:pPr>
      <w:r w:rsidRPr="00B46754">
        <w:t xml:space="preserve">the </w:t>
      </w:r>
      <w:r w:rsidR="00B400C2" w:rsidRPr="00B46754">
        <w:t>monitoring</w:t>
      </w:r>
      <w:r w:rsidRPr="00B46754">
        <w:t xml:space="preserve"> of implementation </w:t>
      </w:r>
      <w:r w:rsidR="00B41637" w:rsidRPr="00B46754">
        <w:t xml:space="preserve">and enforcement </w:t>
      </w:r>
      <w:r w:rsidRPr="00B46754">
        <w:t xml:space="preserve">of EU </w:t>
      </w:r>
      <w:r w:rsidR="003B3E3F" w:rsidRPr="00B46754">
        <w:t>trade and association agreements</w:t>
      </w:r>
      <w:r w:rsidRPr="00B46754">
        <w:t xml:space="preserve"> by the </w:t>
      </w:r>
      <w:r w:rsidR="00B41637" w:rsidRPr="00B46754">
        <w:t>dedicated</w:t>
      </w:r>
      <w:r w:rsidRPr="00B46754">
        <w:t xml:space="preserve"> </w:t>
      </w:r>
      <w:r w:rsidR="009E5AA0" w:rsidRPr="00B46754">
        <w:t>EU Domestic Advisory Groups</w:t>
      </w:r>
      <w:r w:rsidR="00B41637" w:rsidRPr="00B46754">
        <w:t xml:space="preserve"> and civil society bodies;</w:t>
      </w:r>
    </w:p>
    <w:p w14:paraId="6061958E" w14:textId="7358BD5D" w:rsidR="002C1426" w:rsidRPr="00B46754" w:rsidRDefault="002C1426" w:rsidP="009E5AA0">
      <w:pPr>
        <w:pStyle w:val="ListParagraph"/>
        <w:numPr>
          <w:ilvl w:val="0"/>
          <w:numId w:val="14"/>
        </w:numPr>
        <w:tabs>
          <w:tab w:val="clear" w:pos="0"/>
        </w:tabs>
        <w:ind w:left="567" w:hanging="567"/>
      </w:pPr>
      <w:r w:rsidRPr="00B46754">
        <w:t xml:space="preserve">issues related to </w:t>
      </w:r>
      <w:r w:rsidR="000E7A66" w:rsidRPr="00B46754">
        <w:t>developments concerning</w:t>
      </w:r>
      <w:r w:rsidR="00B41637" w:rsidRPr="00B46754">
        <w:t xml:space="preserve"> </w:t>
      </w:r>
      <w:r w:rsidR="006758C2" w:rsidRPr="00B46754">
        <w:t>the</w:t>
      </w:r>
      <w:r w:rsidR="00B41637" w:rsidRPr="00B46754">
        <w:t xml:space="preserve"> potential </w:t>
      </w:r>
      <w:r w:rsidR="009E5AA0" w:rsidRPr="00B46754">
        <w:t xml:space="preserve">establishment of a </w:t>
      </w:r>
      <w:r w:rsidR="002E1DC4" w:rsidRPr="00B46754">
        <w:t>Multilateral Investment Court</w:t>
      </w:r>
      <w:r w:rsidR="0043177E" w:rsidRPr="00B46754">
        <w:t>;</w:t>
      </w:r>
      <w:r w:rsidR="002E1DC4" w:rsidRPr="00B46754">
        <w:t xml:space="preserve"> </w:t>
      </w:r>
    </w:p>
    <w:p w14:paraId="1AB35097" w14:textId="092F84BB" w:rsidR="002E1DC4" w:rsidRPr="00B46754" w:rsidRDefault="002C1426" w:rsidP="00F712F7">
      <w:pPr>
        <w:pStyle w:val="ListParagraph"/>
        <w:numPr>
          <w:ilvl w:val="0"/>
          <w:numId w:val="14"/>
        </w:numPr>
        <w:tabs>
          <w:tab w:val="clear" w:pos="0"/>
        </w:tabs>
        <w:ind w:left="567" w:hanging="567"/>
      </w:pPr>
      <w:r w:rsidRPr="00B46754">
        <w:t>the geopolitica</w:t>
      </w:r>
      <w:r w:rsidR="00223345" w:rsidRPr="00B46754">
        <w:t>l</w:t>
      </w:r>
      <w:r w:rsidRPr="00B46754">
        <w:t>, economic and social impact of the post-C</w:t>
      </w:r>
      <w:r w:rsidR="000E7A66" w:rsidRPr="00B46754">
        <w:t>OVID</w:t>
      </w:r>
      <w:r w:rsidRPr="00B46754">
        <w:t xml:space="preserve"> recovery, particular</w:t>
      </w:r>
      <w:r w:rsidR="00460960" w:rsidRPr="00B46754">
        <w:t>ly</w:t>
      </w:r>
      <w:r w:rsidRPr="00B46754">
        <w:t xml:space="preserve"> in </w:t>
      </w:r>
      <w:r w:rsidR="00460960" w:rsidRPr="00B46754">
        <w:t xml:space="preserve">the </w:t>
      </w:r>
      <w:r w:rsidRPr="00B46754">
        <w:t>regions most affected by the pandemic such as Latin America</w:t>
      </w:r>
      <w:r w:rsidR="0043177E" w:rsidRPr="00B46754">
        <w:t>;</w:t>
      </w:r>
      <w:r w:rsidR="000E7A66" w:rsidRPr="00B46754">
        <w:t xml:space="preserve"> and</w:t>
      </w:r>
      <w:r w:rsidRPr="00B46754">
        <w:t xml:space="preserve"> </w:t>
      </w:r>
    </w:p>
    <w:p w14:paraId="6C2768D3" w14:textId="77777777" w:rsidR="00454E0D" w:rsidRPr="00B46754" w:rsidRDefault="002E1DC4" w:rsidP="00F712F7">
      <w:pPr>
        <w:pStyle w:val="ListParagraph"/>
        <w:numPr>
          <w:ilvl w:val="0"/>
          <w:numId w:val="14"/>
        </w:numPr>
        <w:tabs>
          <w:tab w:val="clear" w:pos="0"/>
        </w:tabs>
        <w:ind w:left="567" w:hanging="567"/>
      </w:pPr>
      <w:r w:rsidRPr="00B46754">
        <w:t>the importance of cultural diplomacy in international relations</w:t>
      </w:r>
      <w:r w:rsidR="0043177E" w:rsidRPr="00B46754">
        <w:t>.</w:t>
      </w:r>
    </w:p>
    <w:p w14:paraId="3EED5ACB" w14:textId="77777777" w:rsidR="00454E0D" w:rsidRPr="00B46754" w:rsidRDefault="00454E0D" w:rsidP="00A650B1">
      <w:pPr>
        <w:pStyle w:val="ListParagraph"/>
        <w:ind w:left="567"/>
      </w:pPr>
    </w:p>
    <w:p w14:paraId="32C0E634" w14:textId="77777777" w:rsidR="00B2613E" w:rsidRPr="00B46754" w:rsidRDefault="00B2613E" w:rsidP="00F712F7"/>
    <w:p w14:paraId="2D4C252B" w14:textId="77777777" w:rsidR="00AF5A5F" w:rsidRPr="00B46754" w:rsidRDefault="00AF5A5F" w:rsidP="00F712F7">
      <w:pPr>
        <w:spacing w:after="160" w:line="259" w:lineRule="auto"/>
        <w:rPr>
          <w:kern w:val="28"/>
        </w:rPr>
      </w:pPr>
      <w:bookmarkStart w:id="0" w:name="_Toc469305696"/>
      <w:r w:rsidRPr="00B46754">
        <w:br w:type="page"/>
      </w:r>
    </w:p>
    <w:p w14:paraId="5D3AB903" w14:textId="77777777" w:rsidR="00D575D5" w:rsidRPr="00B46754" w:rsidRDefault="00B263B7" w:rsidP="00AF2304">
      <w:pPr>
        <w:pStyle w:val="Heading1"/>
        <w:numPr>
          <w:ilvl w:val="0"/>
          <w:numId w:val="0"/>
        </w:numPr>
        <w:rPr>
          <w:b/>
        </w:rPr>
      </w:pPr>
      <w:r w:rsidRPr="00B46754">
        <w:rPr>
          <w:b/>
        </w:rPr>
        <w:lastRenderedPageBreak/>
        <w:t>3</w:t>
      </w:r>
      <w:r w:rsidR="00D575D5" w:rsidRPr="00B46754">
        <w:rPr>
          <w:b/>
        </w:rPr>
        <w:t xml:space="preserve">. </w:t>
      </w:r>
      <w:r w:rsidRPr="00B46754">
        <w:rPr>
          <w:b/>
        </w:rPr>
        <w:t>EXPECTED NEW WORK IN PRIORITY AREAS</w:t>
      </w:r>
      <w:r w:rsidR="00D575D5" w:rsidRPr="00B46754">
        <w:rPr>
          <w:b/>
        </w:rPr>
        <w:t xml:space="preserve"> </w:t>
      </w:r>
    </w:p>
    <w:p w14:paraId="30D8927D" w14:textId="77777777" w:rsidR="00D575D5" w:rsidRPr="00B46754" w:rsidRDefault="00D575D5" w:rsidP="00A650B1"/>
    <w:bookmarkEnd w:id="0"/>
    <w:p w14:paraId="7F789C8C" w14:textId="4D22EFAB" w:rsidR="00AD6EF5" w:rsidRPr="00B46754" w:rsidRDefault="00AD6EF5" w:rsidP="00A650B1">
      <w:r w:rsidRPr="00B46754">
        <w:t xml:space="preserve">This </w:t>
      </w:r>
      <w:r w:rsidR="00CC746C" w:rsidRPr="00B46754">
        <w:t>s</w:t>
      </w:r>
      <w:r w:rsidRPr="00B46754">
        <w:t xml:space="preserve">ection </w:t>
      </w:r>
      <w:r w:rsidR="00E11830" w:rsidRPr="00B46754">
        <w:t>summarise</w:t>
      </w:r>
      <w:r w:rsidR="00CC746C" w:rsidRPr="00B46754">
        <w:t>s</w:t>
      </w:r>
      <w:r w:rsidRPr="00B46754">
        <w:t xml:space="preserve"> expected new work in priorit</w:t>
      </w:r>
      <w:r w:rsidR="00CC746C" w:rsidRPr="00B46754">
        <w:t>y</w:t>
      </w:r>
      <w:r w:rsidRPr="00B46754">
        <w:t xml:space="preserve"> areas, mentioning some of the key activities. </w:t>
      </w:r>
      <w:r w:rsidR="000E7A66" w:rsidRPr="00B46754">
        <w:t>Depending on their nature, s</w:t>
      </w:r>
      <w:r w:rsidRPr="00B46754">
        <w:t xml:space="preserve">ome of these activities will be conducted </w:t>
      </w:r>
      <w:r w:rsidR="00CD2C10" w:rsidRPr="00B46754">
        <w:t>by</w:t>
      </w:r>
      <w:r w:rsidRPr="00B46754">
        <w:t xml:space="preserve"> the relevant REX bodies</w:t>
      </w:r>
      <w:r w:rsidR="000E7A66" w:rsidRPr="00B46754">
        <w:t>;</w:t>
      </w:r>
      <w:r w:rsidRPr="00B46754">
        <w:t xml:space="preserve"> other</w:t>
      </w:r>
      <w:r w:rsidR="000E7A66" w:rsidRPr="00B46754">
        <w:t>s</w:t>
      </w:r>
      <w:r w:rsidRPr="00B46754">
        <w:t xml:space="preserve"> will take place at Section level due to their horizontal nature, importance, link to </w:t>
      </w:r>
      <w:r w:rsidR="004C4656" w:rsidRPr="00B46754">
        <w:t>legislative</w:t>
      </w:r>
      <w:r w:rsidRPr="00B46754">
        <w:t xml:space="preserve"> work or absence of </w:t>
      </w:r>
      <w:r w:rsidR="00CD2C10" w:rsidRPr="00B46754">
        <w:t xml:space="preserve">a </w:t>
      </w:r>
      <w:r w:rsidRPr="00B46754">
        <w:t xml:space="preserve">dedicated REX body. </w:t>
      </w:r>
      <w:r w:rsidR="00A650B1" w:rsidRPr="00B46754">
        <w:t xml:space="preserve">The list is not exhaustive and could be </w:t>
      </w:r>
      <w:r w:rsidR="0043177E" w:rsidRPr="00B46754">
        <w:t>modified</w:t>
      </w:r>
      <w:r w:rsidR="00A650B1" w:rsidRPr="00B46754">
        <w:t xml:space="preserve"> in order to reflect new international developments and changes in priorities.</w:t>
      </w:r>
    </w:p>
    <w:p w14:paraId="511AB094" w14:textId="77777777" w:rsidR="00AD6EF5" w:rsidRPr="00B46754" w:rsidRDefault="00AD6EF5" w:rsidP="00A650B1"/>
    <w:p w14:paraId="07F4F237" w14:textId="63C1BEBA" w:rsidR="00AD6EF5" w:rsidRPr="00B46754" w:rsidRDefault="00AD6EF5" w:rsidP="00A650B1">
      <w:pPr>
        <w:rPr>
          <w:b/>
        </w:rPr>
      </w:pPr>
      <w:r w:rsidRPr="00B46754">
        <w:rPr>
          <w:b/>
        </w:rPr>
        <w:t xml:space="preserve">3.1. </w:t>
      </w:r>
      <w:r w:rsidR="00E11830" w:rsidRPr="00B46754">
        <w:rPr>
          <w:b/>
        </w:rPr>
        <w:t xml:space="preserve">EU neighbourhood </w:t>
      </w:r>
      <w:r w:rsidR="009E5AA0" w:rsidRPr="00B46754">
        <w:rPr>
          <w:b/>
        </w:rPr>
        <w:t xml:space="preserve">(with </w:t>
      </w:r>
      <w:r w:rsidR="00235A2C" w:rsidRPr="00B46754">
        <w:rPr>
          <w:b/>
        </w:rPr>
        <w:t xml:space="preserve">a </w:t>
      </w:r>
      <w:r w:rsidR="009E5AA0" w:rsidRPr="00B46754">
        <w:rPr>
          <w:b/>
        </w:rPr>
        <w:t>particular focus on the Western Balkans and the Eastern Partnership)</w:t>
      </w:r>
    </w:p>
    <w:p w14:paraId="5AFCD04A" w14:textId="77777777" w:rsidR="00E11830" w:rsidRPr="00B46754" w:rsidRDefault="00E11830" w:rsidP="00A650B1"/>
    <w:p w14:paraId="2FCF9C72" w14:textId="795C37F2" w:rsidR="00EB5048" w:rsidRPr="00B46754" w:rsidRDefault="00E11830" w:rsidP="00A650B1">
      <w:r w:rsidRPr="00B46754">
        <w:t>The stability and prosperity of the EU neighbourhood is key for the future of the European Union. Enhanced EU engagement with the Western Balkans and strengthened partnerships with our neighbours to the East and South have always been a priority for the</w:t>
      </w:r>
      <w:r w:rsidR="00EB5048" w:rsidRPr="00B46754">
        <w:t xml:space="preserve"> </w:t>
      </w:r>
      <w:r w:rsidR="00DE688D" w:rsidRPr="00B46754">
        <w:t>E</w:t>
      </w:r>
      <w:r w:rsidR="00EB5048" w:rsidRPr="00B46754">
        <w:t xml:space="preserve">U. The </w:t>
      </w:r>
      <w:r w:rsidR="00235A2C" w:rsidRPr="00B46754">
        <w:t xml:space="preserve">upcoming French Presidency has specifically mentioned the </w:t>
      </w:r>
      <w:r w:rsidRPr="00B46754">
        <w:t>Western Balkans a</w:t>
      </w:r>
      <w:r w:rsidR="00235A2C" w:rsidRPr="00B46754">
        <w:t>s a</w:t>
      </w:r>
      <w:r w:rsidR="00EB5048" w:rsidRPr="00B46754">
        <w:t xml:space="preserve"> priority area</w:t>
      </w:r>
      <w:r w:rsidRPr="00B46754">
        <w:t xml:space="preserve">. </w:t>
      </w:r>
    </w:p>
    <w:p w14:paraId="4AB19B07" w14:textId="77777777" w:rsidR="00C22E17" w:rsidRPr="00B46754" w:rsidRDefault="00C22E17" w:rsidP="00A650B1"/>
    <w:p w14:paraId="1A953EAD" w14:textId="77777777" w:rsidR="00C22E17" w:rsidRPr="00B46754" w:rsidRDefault="00C22E17" w:rsidP="00A650B1">
      <w:r w:rsidRPr="00B46754">
        <w:t>The Section will continue its well-established activities and dialogue with partners in the Eastern and Southern Neighbourhood.</w:t>
      </w:r>
    </w:p>
    <w:p w14:paraId="6A92323C" w14:textId="77777777" w:rsidR="00EB5048" w:rsidRPr="00B46754" w:rsidRDefault="00EB5048" w:rsidP="00A650B1"/>
    <w:p w14:paraId="059E1B44" w14:textId="198EBF0B" w:rsidR="00E11830" w:rsidRPr="00B46754" w:rsidRDefault="00C90565" w:rsidP="00A650B1">
      <w:r w:rsidRPr="00B46754">
        <w:t xml:space="preserve">In the wake of </w:t>
      </w:r>
      <w:r w:rsidR="00EB5048" w:rsidRPr="00B46754">
        <w:t>Brexit, the C</w:t>
      </w:r>
      <w:r w:rsidR="000E7A66" w:rsidRPr="00B46754">
        <w:t>OVID</w:t>
      </w:r>
      <w:r w:rsidR="00EB5048" w:rsidRPr="00B46754">
        <w:t xml:space="preserve">-19 crisis and the increased impact of climate and energy challenges showed that the EU </w:t>
      </w:r>
      <w:r w:rsidRPr="00B46754">
        <w:t xml:space="preserve">needs to </w:t>
      </w:r>
      <w:r w:rsidR="00EB5048" w:rsidRPr="00B46754">
        <w:t xml:space="preserve">work together with all </w:t>
      </w:r>
      <w:r w:rsidRPr="00B46754">
        <w:t xml:space="preserve">of its </w:t>
      </w:r>
      <w:r w:rsidR="00EB5048" w:rsidRPr="00B46754">
        <w:t xml:space="preserve"> neighbours</w:t>
      </w:r>
      <w:r w:rsidRPr="00B46754">
        <w:t>,</w:t>
      </w:r>
      <w:r w:rsidR="00D13C92" w:rsidRPr="00B46754">
        <w:t xml:space="preserve"> including</w:t>
      </w:r>
      <w:r w:rsidR="00EB5048" w:rsidRPr="00B46754">
        <w:t xml:space="preserve"> </w:t>
      </w:r>
      <w:r w:rsidR="000E7A66" w:rsidRPr="00B46754">
        <w:t xml:space="preserve">the </w:t>
      </w:r>
      <w:r w:rsidR="00EB5048" w:rsidRPr="00B46754">
        <w:t xml:space="preserve">UK, Turkey and the EEA </w:t>
      </w:r>
      <w:r w:rsidR="00CC746C" w:rsidRPr="00B46754">
        <w:t xml:space="preserve">EFTA </w:t>
      </w:r>
      <w:r w:rsidR="00EB5048" w:rsidRPr="00B46754">
        <w:t>countries, despite some difficult</w:t>
      </w:r>
      <w:r w:rsidRPr="00B46754">
        <w:t>ies in</w:t>
      </w:r>
      <w:r w:rsidR="00EB5048" w:rsidRPr="00B46754">
        <w:t xml:space="preserve"> relations and internal problems in some of the</w:t>
      </w:r>
      <w:r w:rsidRPr="00B46754">
        <w:t>se countries</w:t>
      </w:r>
      <w:r w:rsidR="00EB5048" w:rsidRPr="00B46754">
        <w:t xml:space="preserve">. </w:t>
      </w:r>
    </w:p>
    <w:p w14:paraId="1D88AFA9" w14:textId="77777777" w:rsidR="00EB5048" w:rsidRPr="00B46754" w:rsidRDefault="00EB5048" w:rsidP="00A650B1"/>
    <w:p w14:paraId="1FC7A377" w14:textId="08E0FA42" w:rsidR="00EB5048" w:rsidRPr="00B46754" w:rsidRDefault="00EB5048" w:rsidP="00A650B1">
      <w:r w:rsidRPr="00B46754">
        <w:t xml:space="preserve">The REX Section is planning a number of activities </w:t>
      </w:r>
      <w:r w:rsidR="00C90565" w:rsidRPr="00B46754">
        <w:t xml:space="preserve">aimed at </w:t>
      </w:r>
      <w:r w:rsidRPr="00B46754">
        <w:t>the EU neighbourhood countries</w:t>
      </w:r>
      <w:r w:rsidR="00C90565" w:rsidRPr="00B46754">
        <w:t>. The activities</w:t>
      </w:r>
      <w:r w:rsidRPr="00B46754">
        <w:t xml:space="preserve"> will be developed through the dedicated bodies or at Section level.</w:t>
      </w:r>
    </w:p>
    <w:p w14:paraId="48D6C121" w14:textId="77777777" w:rsidR="00EB5048" w:rsidRPr="00B46754" w:rsidRDefault="00EB5048" w:rsidP="00A650B1"/>
    <w:p w14:paraId="71BBF1F7" w14:textId="639FFC90" w:rsidR="00EE1978" w:rsidRPr="00B46754" w:rsidRDefault="00EE1978" w:rsidP="00EE1978">
      <w:pPr>
        <w:rPr>
          <w:rFonts w:ascii="Times New Roman Italic" w:hAnsi="Times New Roman Italic"/>
          <w:b/>
          <w:smallCaps/>
        </w:rPr>
      </w:pPr>
      <w:r w:rsidRPr="00B46754">
        <w:rPr>
          <w:rFonts w:ascii="Times New Roman Italic" w:hAnsi="Times New Roman Italic"/>
          <w:b/>
          <w:smallCaps/>
        </w:rPr>
        <w:t xml:space="preserve">ACTIVITIES </w:t>
      </w:r>
      <w:r w:rsidR="00A52F01" w:rsidRPr="00B46754">
        <w:rPr>
          <w:rFonts w:ascii="Times New Roman Italic" w:hAnsi="Times New Roman Italic"/>
          <w:b/>
          <w:smallCaps/>
        </w:rPr>
        <w:t>SCHEDULED FOR</w:t>
      </w:r>
      <w:r w:rsidRPr="00B46754">
        <w:rPr>
          <w:rFonts w:ascii="Times New Roman Italic" w:hAnsi="Times New Roman Italic"/>
          <w:b/>
          <w:smallCaps/>
        </w:rPr>
        <w:t xml:space="preserve"> 2022:</w:t>
      </w:r>
    </w:p>
    <w:p w14:paraId="523E8EE9" w14:textId="77777777" w:rsidR="00EE1978" w:rsidRPr="00B46754" w:rsidRDefault="00EE1978" w:rsidP="00EE1978">
      <w:pPr>
        <w:ind w:left="426"/>
        <w:rPr>
          <w:lang w:eastAsia="en-GB" w:bidi="en-GB"/>
        </w:rPr>
      </w:pPr>
    </w:p>
    <w:p w14:paraId="44FD55FD" w14:textId="44DA3142" w:rsidR="00EE1978" w:rsidRPr="00B46754" w:rsidRDefault="000C196C" w:rsidP="00A650B1">
      <w:pPr>
        <w:pStyle w:val="ListParagraph"/>
        <w:numPr>
          <w:ilvl w:val="0"/>
          <w:numId w:val="55"/>
        </w:numPr>
      </w:pPr>
      <w:r w:rsidRPr="00B46754">
        <w:t>I</w:t>
      </w:r>
      <w:r w:rsidR="00EE1978" w:rsidRPr="00B46754">
        <w:t xml:space="preserve">naugural meetings of the EU-North Macedonia and EU-Albania Civil Society </w:t>
      </w:r>
      <w:r w:rsidR="005A18D3" w:rsidRPr="00B46754">
        <w:t>Joint Consultative Committees (</w:t>
      </w:r>
      <w:r w:rsidR="00EE1978" w:rsidRPr="00B46754">
        <w:t>JCC</w:t>
      </w:r>
      <w:r w:rsidR="005A18D3" w:rsidRPr="00B46754">
        <w:t>s)</w:t>
      </w:r>
      <w:r w:rsidR="00EE1978" w:rsidRPr="00B46754">
        <w:t xml:space="preserve"> (</w:t>
      </w:r>
      <w:r w:rsidR="00EE1978" w:rsidRPr="002878DB">
        <w:rPr>
          <w:i/>
        </w:rPr>
        <w:t xml:space="preserve">depending on the </w:t>
      </w:r>
      <w:r w:rsidRPr="002878DB">
        <w:rPr>
          <w:i/>
        </w:rPr>
        <w:t xml:space="preserve">EU Council </w:t>
      </w:r>
      <w:r w:rsidR="00EE1978" w:rsidRPr="002878DB">
        <w:rPr>
          <w:i/>
        </w:rPr>
        <w:t>decision on the opening of first chapters of accession negotiations</w:t>
      </w:r>
      <w:r w:rsidR="00EE1978" w:rsidRPr="00B46754">
        <w:t>)</w:t>
      </w:r>
      <w:r w:rsidR="00423851" w:rsidRPr="00B46754">
        <w:t>;</w:t>
      </w:r>
    </w:p>
    <w:p w14:paraId="45D8A07A" w14:textId="614B92F8" w:rsidR="00EE1978" w:rsidRPr="00B46754" w:rsidRDefault="000C196C" w:rsidP="00A650B1">
      <w:pPr>
        <w:pStyle w:val="ListParagraph"/>
        <w:numPr>
          <w:ilvl w:val="0"/>
          <w:numId w:val="55"/>
        </w:numPr>
      </w:pPr>
      <w:r w:rsidRPr="006D1A48">
        <w:t>T</w:t>
      </w:r>
      <w:r w:rsidR="00EE1978" w:rsidRPr="00717417">
        <w:t>wo</w:t>
      </w:r>
      <w:r w:rsidR="0002280B" w:rsidRPr="00B46754">
        <w:t xml:space="preserve"> to four </w:t>
      </w:r>
      <w:r w:rsidR="00FA5D1D" w:rsidRPr="00B46754">
        <w:t xml:space="preserve">Follow-up Committee </w:t>
      </w:r>
      <w:r w:rsidR="0002280B" w:rsidRPr="00B46754">
        <w:t>meetings</w:t>
      </w:r>
      <w:r w:rsidR="00EE1978" w:rsidRPr="00B46754">
        <w:t xml:space="preserve"> </w:t>
      </w:r>
      <w:r w:rsidR="0002280B" w:rsidRPr="00B46754">
        <w:t>related to the EU neighbourhood – Western Balkans, Euromed, Eastern Partnership, UK, Russia</w:t>
      </w:r>
      <w:r w:rsidR="00423851" w:rsidRPr="00B46754">
        <w:t>;</w:t>
      </w:r>
    </w:p>
    <w:p w14:paraId="229152CC" w14:textId="2A2E5836" w:rsidR="00EE1978" w:rsidRPr="00B46754" w:rsidRDefault="005A18D3" w:rsidP="00A650B1">
      <w:pPr>
        <w:pStyle w:val="ListParagraph"/>
        <w:numPr>
          <w:ilvl w:val="0"/>
          <w:numId w:val="55"/>
        </w:numPr>
      </w:pPr>
      <w:r w:rsidRPr="00B46754">
        <w:t>Fact-finding m</w:t>
      </w:r>
      <w:r w:rsidR="008F3F33" w:rsidRPr="00B46754">
        <w:t>ission to Kosovo</w:t>
      </w:r>
      <w:r w:rsidR="00D53674" w:rsidRPr="00B46754">
        <w:rPr>
          <w:rStyle w:val="FootnoteReference"/>
        </w:rPr>
        <w:footnoteReference w:id="2"/>
      </w:r>
      <w:r w:rsidR="00423851" w:rsidRPr="00B46754">
        <w:t>;</w:t>
      </w:r>
    </w:p>
    <w:p w14:paraId="3C2213DB" w14:textId="05A81B0F" w:rsidR="006424C8" w:rsidRPr="00B46754" w:rsidRDefault="00EE1978" w:rsidP="005872B7">
      <w:pPr>
        <w:pStyle w:val="ListParagraph"/>
        <w:numPr>
          <w:ilvl w:val="0"/>
          <w:numId w:val="55"/>
        </w:numPr>
      </w:pPr>
      <w:r w:rsidRPr="006D1A48">
        <w:t>High</w:t>
      </w:r>
      <w:r w:rsidR="00FA5D1D" w:rsidRPr="006D1A48">
        <w:t>-</w:t>
      </w:r>
      <w:r w:rsidRPr="00B46754">
        <w:t>Level Western Balkans Conference (Czech Republic)</w:t>
      </w:r>
      <w:r w:rsidR="00423851" w:rsidRPr="00B46754">
        <w:t>;</w:t>
      </w:r>
    </w:p>
    <w:p w14:paraId="026097CC" w14:textId="57E12501" w:rsidR="008F3F33" w:rsidRPr="00B46754" w:rsidRDefault="008F3F33" w:rsidP="005872B7">
      <w:pPr>
        <w:pStyle w:val="ListParagraph"/>
        <w:numPr>
          <w:ilvl w:val="0"/>
          <w:numId w:val="55"/>
        </w:numPr>
      </w:pPr>
      <w:r w:rsidRPr="00B46754">
        <w:t>Meetings</w:t>
      </w:r>
      <w:r w:rsidR="00694AD4" w:rsidRPr="00B46754">
        <w:t>:</w:t>
      </w:r>
      <w:r w:rsidRPr="00B46754">
        <w:t xml:space="preserve"> EU-Montenegro, EU-Serbia and EU-Turkey JCC</w:t>
      </w:r>
      <w:r w:rsidR="00423851" w:rsidRPr="00B46754">
        <w:t>;</w:t>
      </w:r>
    </w:p>
    <w:p w14:paraId="4EAC1B6A" w14:textId="2B445D3C" w:rsidR="008F3F33" w:rsidRPr="00B46754" w:rsidRDefault="008F3F33" w:rsidP="00A650B1">
      <w:pPr>
        <w:pStyle w:val="ListParagraph"/>
        <w:numPr>
          <w:ilvl w:val="0"/>
          <w:numId w:val="55"/>
        </w:numPr>
      </w:pPr>
      <w:r w:rsidRPr="00B46754">
        <w:t xml:space="preserve">Opinion </w:t>
      </w:r>
      <w:r w:rsidR="00FA5D1D" w:rsidRPr="00B46754">
        <w:t>on y</w:t>
      </w:r>
      <w:r w:rsidRPr="00B46754">
        <w:t>outh and innovation in the Western Balkans</w:t>
      </w:r>
      <w:r w:rsidR="00423851" w:rsidRPr="00B46754">
        <w:t>;</w:t>
      </w:r>
    </w:p>
    <w:p w14:paraId="3BA49517" w14:textId="78B98F79" w:rsidR="008F3F33" w:rsidRPr="00B46754" w:rsidRDefault="008F3F33" w:rsidP="00A650B1">
      <w:pPr>
        <w:pStyle w:val="ListParagraph"/>
        <w:numPr>
          <w:ilvl w:val="0"/>
          <w:numId w:val="55"/>
        </w:numPr>
      </w:pPr>
      <w:r w:rsidRPr="00B46754">
        <w:t>Conference on Belarus</w:t>
      </w:r>
      <w:r w:rsidR="00423851" w:rsidRPr="00B46754">
        <w:t>;</w:t>
      </w:r>
    </w:p>
    <w:p w14:paraId="33F86D32" w14:textId="01C21C82" w:rsidR="006424C8" w:rsidRPr="00B46754" w:rsidRDefault="006424C8" w:rsidP="00A650B1">
      <w:pPr>
        <w:pStyle w:val="ListParagraph"/>
        <w:numPr>
          <w:ilvl w:val="0"/>
          <w:numId w:val="55"/>
        </w:numPr>
      </w:pPr>
      <w:r w:rsidRPr="00B46754">
        <w:t>Information report on media freedom in Belarus</w:t>
      </w:r>
      <w:r w:rsidR="00C22E17" w:rsidRPr="00B46754">
        <w:t xml:space="preserve"> and photo exhibition on Belarusian political prisoners</w:t>
      </w:r>
      <w:r w:rsidR="00423851" w:rsidRPr="00B46754">
        <w:t>;</w:t>
      </w:r>
    </w:p>
    <w:p w14:paraId="5C81E8D6" w14:textId="0ECC4AF8" w:rsidR="008F3F33" w:rsidRPr="00B46754" w:rsidRDefault="008F3F33" w:rsidP="00A650B1">
      <w:pPr>
        <w:pStyle w:val="ListParagraph"/>
        <w:numPr>
          <w:ilvl w:val="0"/>
          <w:numId w:val="55"/>
        </w:numPr>
      </w:pPr>
      <w:r w:rsidRPr="00B46754">
        <w:t>Work regarding the</w:t>
      </w:r>
      <w:r w:rsidR="006424C8" w:rsidRPr="00B46754">
        <w:t xml:space="preserve"> establishment</w:t>
      </w:r>
      <w:r w:rsidRPr="00B46754">
        <w:t xml:space="preserve"> </w:t>
      </w:r>
      <w:r w:rsidR="00CC746C" w:rsidRPr="00B46754">
        <w:t xml:space="preserve">of </w:t>
      </w:r>
      <w:r w:rsidRPr="00B46754">
        <w:t>EU-Armenia civil society platform under the EU-Armenia Comprehensive and Enhanced Partnership Agreement and exploratory mission to Armenia</w:t>
      </w:r>
      <w:r w:rsidR="00423851" w:rsidRPr="00B46754">
        <w:t>;</w:t>
      </w:r>
    </w:p>
    <w:p w14:paraId="7ECE3321" w14:textId="0DC7E22B" w:rsidR="008F3F33" w:rsidRPr="00B46754" w:rsidRDefault="008F3F33" w:rsidP="0002280B">
      <w:pPr>
        <w:pStyle w:val="ListParagraph"/>
        <w:numPr>
          <w:ilvl w:val="0"/>
          <w:numId w:val="55"/>
        </w:numPr>
      </w:pPr>
      <w:r w:rsidRPr="00B46754">
        <w:lastRenderedPageBreak/>
        <w:t>Meetings</w:t>
      </w:r>
      <w:r w:rsidR="00694AD4" w:rsidRPr="00B46754">
        <w:t>:</w:t>
      </w:r>
      <w:r w:rsidRPr="00B46754">
        <w:t xml:space="preserve"> EU-Moldova, EU-Georgia and EU-Ukraine </w:t>
      </w:r>
      <w:r w:rsidR="00C22E17" w:rsidRPr="00B46754">
        <w:t xml:space="preserve">Civil society platforms and Domestic </w:t>
      </w:r>
      <w:r w:rsidRPr="00B46754">
        <w:t>Advisory Groups (DAGs)</w:t>
      </w:r>
      <w:r w:rsidR="0002280B" w:rsidRPr="00B46754">
        <w:t>, EU-UK DAG</w:t>
      </w:r>
      <w:r w:rsidRPr="00B46754">
        <w:t xml:space="preserve"> </w:t>
      </w:r>
      <w:r w:rsidR="0002280B" w:rsidRPr="00B46754">
        <w:t xml:space="preserve">and </w:t>
      </w:r>
      <w:r w:rsidR="00694AD4" w:rsidRPr="00B46754">
        <w:t>i</w:t>
      </w:r>
      <w:r w:rsidR="0002280B" w:rsidRPr="00B46754">
        <w:t>naugural meeting of the EU-Morocco Joint Advisory Group in Marrakesh</w:t>
      </w:r>
      <w:r w:rsidR="00423851" w:rsidRPr="00B46754">
        <w:t>;</w:t>
      </w:r>
    </w:p>
    <w:p w14:paraId="478C6D94" w14:textId="77777777" w:rsidR="008F3F33" w:rsidRPr="00B46754" w:rsidRDefault="008F3F33" w:rsidP="00A650B1">
      <w:pPr>
        <w:pStyle w:val="ListParagraph"/>
        <w:numPr>
          <w:ilvl w:val="0"/>
          <w:numId w:val="55"/>
        </w:numPr>
      </w:pPr>
      <w:r w:rsidRPr="00B46754">
        <w:t>Participation of a REX delegation in the annual Eastern Partnership Civil Society Forum</w:t>
      </w:r>
    </w:p>
    <w:p w14:paraId="71549284" w14:textId="78845D85" w:rsidR="00AC6820" w:rsidRPr="00B46754" w:rsidRDefault="000F440C" w:rsidP="00A650B1">
      <w:pPr>
        <w:pStyle w:val="ListParagraph"/>
        <w:numPr>
          <w:ilvl w:val="0"/>
          <w:numId w:val="55"/>
        </w:numPr>
      </w:pPr>
      <w:r w:rsidRPr="00B46754">
        <w:t>Exploring potential</w:t>
      </w:r>
      <w:r w:rsidR="00AC6820" w:rsidRPr="00B46754">
        <w:t xml:space="preserve"> cooperation with the Organisation of the Black Sea Economic Cooperation (BSEC)</w:t>
      </w:r>
      <w:r w:rsidR="00423851" w:rsidRPr="00B46754">
        <w:t>;</w:t>
      </w:r>
    </w:p>
    <w:p w14:paraId="2AC85248" w14:textId="0E778C9A" w:rsidR="008F3F33" w:rsidRPr="00B46754" w:rsidRDefault="00694AD4" w:rsidP="0002280B">
      <w:pPr>
        <w:pStyle w:val="ListParagraph"/>
        <w:numPr>
          <w:ilvl w:val="0"/>
          <w:numId w:val="55"/>
        </w:numPr>
      </w:pPr>
      <w:r w:rsidRPr="002878DB">
        <w:t xml:space="preserve">Participation in </w:t>
      </w:r>
      <w:r w:rsidRPr="00B46754">
        <w:t>Three Seas Initiative meetings,</w:t>
      </w:r>
      <w:r w:rsidRPr="002878DB">
        <w:t xml:space="preserve"> i</w:t>
      </w:r>
      <w:r w:rsidR="005F1C1A" w:rsidRPr="002878DB">
        <w:t>n cooperation with the ECO Section</w:t>
      </w:r>
      <w:r w:rsidR="00423851" w:rsidRPr="002878DB">
        <w:t>;</w:t>
      </w:r>
      <w:r w:rsidR="005F1C1A" w:rsidRPr="002878DB">
        <w:t xml:space="preserve"> </w:t>
      </w:r>
    </w:p>
    <w:p w14:paraId="4E7FF67F" w14:textId="2D3076E1" w:rsidR="00CE647F" w:rsidRPr="00717417" w:rsidRDefault="00FC0D7C" w:rsidP="0002280B">
      <w:pPr>
        <w:pStyle w:val="ListParagraph"/>
        <w:numPr>
          <w:ilvl w:val="0"/>
          <w:numId w:val="55"/>
        </w:numPr>
      </w:pPr>
      <w:r w:rsidRPr="006D1A48">
        <w:t>Euromed Summit in Marrakesh</w:t>
      </w:r>
      <w:r w:rsidR="00423851" w:rsidRPr="006D1A48">
        <w:t>;</w:t>
      </w:r>
    </w:p>
    <w:p w14:paraId="1E203916" w14:textId="1EF2822D" w:rsidR="00AC6820" w:rsidRPr="00B46754" w:rsidRDefault="00FC0D7C" w:rsidP="00A0363D">
      <w:pPr>
        <w:pStyle w:val="ListParagraph"/>
        <w:numPr>
          <w:ilvl w:val="0"/>
          <w:numId w:val="55"/>
        </w:numPr>
      </w:pPr>
      <w:r w:rsidRPr="00B46754">
        <w:t>Information report</w:t>
      </w:r>
      <w:r w:rsidR="00A0363D" w:rsidRPr="00B46754">
        <w:t>s</w:t>
      </w:r>
      <w:r w:rsidRPr="00B46754">
        <w:t xml:space="preserve"> on digital transition in the Euro</w:t>
      </w:r>
      <w:r w:rsidR="00B05B1B" w:rsidRPr="00B46754">
        <w:t>-Mediterranean region</w:t>
      </w:r>
      <w:r w:rsidRPr="00B46754">
        <w:t xml:space="preserve"> and on energy</w:t>
      </w:r>
      <w:r w:rsidR="00B05B1B" w:rsidRPr="00B46754">
        <w:t xml:space="preserve"> </w:t>
      </w:r>
      <w:r w:rsidR="00A0363D" w:rsidRPr="00B46754">
        <w:t>policies and strategies</w:t>
      </w:r>
      <w:r w:rsidRPr="00B46754">
        <w:t xml:space="preserve"> in the </w:t>
      </w:r>
      <w:r w:rsidR="00B05B1B" w:rsidRPr="00B46754">
        <w:t xml:space="preserve">Mediterranean </w:t>
      </w:r>
      <w:r w:rsidRPr="00B46754">
        <w:t>region</w:t>
      </w:r>
      <w:r w:rsidR="00423851" w:rsidRPr="00B46754">
        <w:t>;</w:t>
      </w:r>
    </w:p>
    <w:p w14:paraId="489A4C39" w14:textId="57FC221F" w:rsidR="00FC0D7C" w:rsidRPr="00B46754" w:rsidRDefault="00AC6820" w:rsidP="0002280B">
      <w:pPr>
        <w:pStyle w:val="ListParagraph"/>
        <w:numPr>
          <w:ilvl w:val="0"/>
          <w:numId w:val="55"/>
        </w:numPr>
      </w:pPr>
      <w:r w:rsidRPr="00B46754">
        <w:t xml:space="preserve">Co-organisation of </w:t>
      </w:r>
      <w:r w:rsidR="00B05B1B" w:rsidRPr="00B46754">
        <w:t xml:space="preserve">a conference </w:t>
      </w:r>
      <w:r w:rsidRPr="00B46754">
        <w:t xml:space="preserve">with the Italian </w:t>
      </w:r>
      <w:r w:rsidR="00B05B1B" w:rsidRPr="00B46754">
        <w:t>National Council for Economics and Labour</w:t>
      </w:r>
      <w:r w:rsidRPr="00B46754">
        <w:t xml:space="preserve"> on energy </w:t>
      </w:r>
      <w:r w:rsidR="00A0363D" w:rsidRPr="00B46754">
        <w:t>policies and strategies</w:t>
      </w:r>
      <w:r w:rsidRPr="00B46754">
        <w:t xml:space="preserve"> in the Mediterranean</w:t>
      </w:r>
      <w:r w:rsidR="00B05B1B" w:rsidRPr="00B46754">
        <w:t xml:space="preserve"> region</w:t>
      </w:r>
      <w:r w:rsidR="007B4129" w:rsidRPr="00B46754">
        <w:t>, to be held</w:t>
      </w:r>
      <w:r w:rsidRPr="00B46754">
        <w:t xml:space="preserve"> in Rome</w:t>
      </w:r>
      <w:r w:rsidR="00423851" w:rsidRPr="00B46754">
        <w:t>;</w:t>
      </w:r>
    </w:p>
    <w:p w14:paraId="615EBC0E" w14:textId="0966F3F6" w:rsidR="00B05B1B" w:rsidRPr="00B46754" w:rsidRDefault="00B05B1B" w:rsidP="0002280B">
      <w:pPr>
        <w:pStyle w:val="ListParagraph"/>
        <w:numPr>
          <w:ilvl w:val="0"/>
          <w:numId w:val="55"/>
        </w:numPr>
      </w:pPr>
      <w:r w:rsidRPr="00B46754">
        <w:t>Two coordination meetings with the Union for the Mediterranean (UfM) Secretariat</w:t>
      </w:r>
      <w:r w:rsidR="0002280B" w:rsidRPr="00B46754">
        <w:t xml:space="preserve"> and participation in relevant UfM events</w:t>
      </w:r>
      <w:r w:rsidR="00423851" w:rsidRPr="00B46754">
        <w:t>;</w:t>
      </w:r>
    </w:p>
    <w:p w14:paraId="0A615974" w14:textId="3526825C" w:rsidR="00FC0D7C" w:rsidRPr="00B46754" w:rsidRDefault="00FC0D7C" w:rsidP="00FC0D7C">
      <w:pPr>
        <w:pStyle w:val="ListParagraph"/>
        <w:numPr>
          <w:ilvl w:val="0"/>
          <w:numId w:val="55"/>
        </w:numPr>
      </w:pPr>
      <w:r w:rsidRPr="00B46754">
        <w:t>Participation in the Mediterranean Week of Economic Leaders (MedaWeek 2022)</w:t>
      </w:r>
      <w:r w:rsidR="00423851" w:rsidRPr="00B46754">
        <w:t>;</w:t>
      </w:r>
    </w:p>
    <w:p w14:paraId="53B16DFD" w14:textId="7EB5EB4E" w:rsidR="00FC0D7C" w:rsidRPr="00B46754" w:rsidRDefault="00FC0D7C" w:rsidP="00FC0D7C">
      <w:pPr>
        <w:pStyle w:val="ListParagraph"/>
        <w:numPr>
          <w:ilvl w:val="0"/>
          <w:numId w:val="55"/>
        </w:numPr>
      </w:pPr>
      <w:r w:rsidRPr="00B46754">
        <w:t>Co-organisation of, and participation in, the Brussels Civil Society Forum (MAJALAT)</w:t>
      </w:r>
      <w:r w:rsidR="00423851" w:rsidRPr="00B46754">
        <w:t>;</w:t>
      </w:r>
    </w:p>
    <w:p w14:paraId="58D55B40" w14:textId="1F7873EC" w:rsidR="00FC0D7C" w:rsidRPr="00B46754" w:rsidRDefault="00FC0D7C" w:rsidP="00FC0D7C">
      <w:pPr>
        <w:pStyle w:val="ListParagraph"/>
        <w:numPr>
          <w:ilvl w:val="0"/>
          <w:numId w:val="55"/>
        </w:numPr>
      </w:pPr>
      <w:r w:rsidRPr="00B46754">
        <w:t>Involv</w:t>
      </w:r>
      <w:r w:rsidR="00F02126" w:rsidRPr="00B46754">
        <w:t>ement</w:t>
      </w:r>
      <w:r w:rsidRPr="00B46754">
        <w:t xml:space="preserve"> </w:t>
      </w:r>
      <w:r w:rsidR="00F02126" w:rsidRPr="00B46754">
        <w:t xml:space="preserve">of </w:t>
      </w:r>
      <w:r w:rsidRPr="00B46754">
        <w:t xml:space="preserve">the Euro-Mediterranean </w:t>
      </w:r>
      <w:r w:rsidR="00F02126" w:rsidRPr="00B46754">
        <w:t>D</w:t>
      </w:r>
      <w:r w:rsidRPr="00B46754">
        <w:t xml:space="preserve">isability </w:t>
      </w:r>
      <w:r w:rsidR="00F02126" w:rsidRPr="00B46754">
        <w:t>R</w:t>
      </w:r>
      <w:r w:rsidRPr="00B46754">
        <w:t xml:space="preserve">ights </w:t>
      </w:r>
      <w:r w:rsidR="00F02126" w:rsidRPr="00B46754">
        <w:t>N</w:t>
      </w:r>
      <w:r w:rsidRPr="00B46754">
        <w:t>etwork in the activities of the Euromed Follow-Up Committee</w:t>
      </w:r>
      <w:r w:rsidR="00423851" w:rsidRPr="00B46754">
        <w:t>;</w:t>
      </w:r>
    </w:p>
    <w:p w14:paraId="7093D9CF" w14:textId="24110CB1" w:rsidR="00EB5048" w:rsidRPr="00B46754" w:rsidRDefault="00EB5048" w:rsidP="00EB5048">
      <w:pPr>
        <w:pStyle w:val="ListParagraph"/>
        <w:numPr>
          <w:ilvl w:val="0"/>
          <w:numId w:val="55"/>
        </w:numPr>
      </w:pPr>
      <w:r w:rsidRPr="00B46754">
        <w:t>E</w:t>
      </w:r>
      <w:r w:rsidR="00CC746C" w:rsidRPr="00B46754">
        <w:t xml:space="preserve">uropean </w:t>
      </w:r>
      <w:r w:rsidRPr="00B46754">
        <w:t>E</w:t>
      </w:r>
      <w:r w:rsidR="00CC746C" w:rsidRPr="00B46754">
        <w:t xml:space="preserve">conomic </w:t>
      </w:r>
      <w:r w:rsidRPr="00B46754">
        <w:t>A</w:t>
      </w:r>
      <w:r w:rsidR="00CC746C" w:rsidRPr="00B46754">
        <w:t>rea</w:t>
      </w:r>
      <w:r w:rsidRPr="00B46754">
        <w:t xml:space="preserve"> Consultative Committee </w:t>
      </w:r>
      <w:r w:rsidR="00CC746C" w:rsidRPr="00B46754">
        <w:t xml:space="preserve">(EEA CC) </w:t>
      </w:r>
      <w:r w:rsidRPr="00B46754">
        <w:t xml:space="preserve">meeting in </w:t>
      </w:r>
      <w:r w:rsidR="00CC746C" w:rsidRPr="00B46754">
        <w:t xml:space="preserve">Bergen, </w:t>
      </w:r>
      <w:r w:rsidRPr="00B46754">
        <w:t>Norway</w:t>
      </w:r>
      <w:r w:rsidR="00423851" w:rsidRPr="00B46754">
        <w:t>;</w:t>
      </w:r>
    </w:p>
    <w:p w14:paraId="72457411" w14:textId="5970295C" w:rsidR="008F3F33" w:rsidRPr="00B46754" w:rsidRDefault="00EB5048" w:rsidP="00A650B1">
      <w:pPr>
        <w:pStyle w:val="ListParagraph"/>
        <w:numPr>
          <w:ilvl w:val="0"/>
          <w:numId w:val="55"/>
        </w:numPr>
      </w:pPr>
      <w:r w:rsidRPr="00B46754">
        <w:t xml:space="preserve">EEA </w:t>
      </w:r>
      <w:r w:rsidR="00CC746C" w:rsidRPr="00B46754">
        <w:t xml:space="preserve">CC </w:t>
      </w:r>
      <w:r w:rsidRPr="00B46754">
        <w:t>Bureau Meeting</w:t>
      </w:r>
      <w:r w:rsidR="00423851" w:rsidRPr="00B46754">
        <w:t>.</w:t>
      </w:r>
    </w:p>
    <w:p w14:paraId="6D8298B3" w14:textId="77777777" w:rsidR="00FC0D7C" w:rsidRPr="00B46754" w:rsidRDefault="00FC0D7C" w:rsidP="00FC0D7C">
      <w:pPr>
        <w:rPr>
          <w:rFonts w:ascii="Times New Roman Italic" w:hAnsi="Times New Roman Italic"/>
          <w:b/>
          <w:smallCaps/>
        </w:rPr>
      </w:pPr>
    </w:p>
    <w:p w14:paraId="4628F3DA" w14:textId="77777777" w:rsidR="00454E0D" w:rsidRPr="00B46754" w:rsidRDefault="00FC0D7C" w:rsidP="00A650B1">
      <w:pPr>
        <w:rPr>
          <w:b/>
        </w:rPr>
      </w:pPr>
      <w:r w:rsidRPr="00B46754">
        <w:rPr>
          <w:b/>
        </w:rPr>
        <w:t>3.2. International trade</w:t>
      </w:r>
      <w:r w:rsidR="00454E0D" w:rsidRPr="00B46754">
        <w:rPr>
          <w:b/>
        </w:rPr>
        <w:t xml:space="preserve"> </w:t>
      </w:r>
    </w:p>
    <w:p w14:paraId="2C1FD088" w14:textId="77777777" w:rsidR="00FC0D7C" w:rsidRPr="00B46754" w:rsidRDefault="00FC0D7C" w:rsidP="00A650B1"/>
    <w:p w14:paraId="5B8FBF2E" w14:textId="29CF98B0" w:rsidR="00FC0D7C" w:rsidRPr="00B46754" w:rsidRDefault="00FC0D7C" w:rsidP="00FC0D7C">
      <w:r w:rsidRPr="00B46754">
        <w:t xml:space="preserve">Many </w:t>
      </w:r>
      <w:r w:rsidR="003B695F" w:rsidRPr="00B46754">
        <w:t>developments</w:t>
      </w:r>
      <w:r w:rsidRPr="00B46754">
        <w:t xml:space="preserve"> in the international trade order that started in 2021 will continue in 2022</w:t>
      </w:r>
      <w:r w:rsidR="004832FC" w:rsidRPr="00B46754">
        <w:t>:</w:t>
      </w:r>
      <w:r w:rsidRPr="00B46754">
        <w:t xml:space="preserve"> the reform of the WTO towards more sustainability and efficiency</w:t>
      </w:r>
      <w:r w:rsidR="003B695F" w:rsidRPr="00B46754">
        <w:t>;</w:t>
      </w:r>
      <w:r w:rsidRPr="00B46754">
        <w:t xml:space="preserve"> the early review of the 15-point action plan on </w:t>
      </w:r>
      <w:r w:rsidR="003B695F" w:rsidRPr="00B46754">
        <w:t xml:space="preserve">the EU’s </w:t>
      </w:r>
      <w:r w:rsidRPr="00B46754">
        <w:t>Trade and Sustainable Development chapters</w:t>
      </w:r>
      <w:r w:rsidR="003B695F" w:rsidRPr="00B46754">
        <w:t xml:space="preserve"> (</w:t>
      </w:r>
      <w:r w:rsidR="003C045E" w:rsidRPr="00B46754">
        <w:t>"</w:t>
      </w:r>
      <w:r w:rsidR="003B695F" w:rsidRPr="00B46754">
        <w:t>TSD Review</w:t>
      </w:r>
      <w:r w:rsidR="003C045E" w:rsidRPr="00B46754">
        <w:t>"</w:t>
      </w:r>
      <w:r w:rsidR="003B695F" w:rsidRPr="00B46754">
        <w:t>);</w:t>
      </w:r>
      <w:r w:rsidR="003C045E" w:rsidRPr="00B46754">
        <w:t xml:space="preserve"> and</w:t>
      </w:r>
      <w:r w:rsidRPr="00B46754">
        <w:t xml:space="preserve"> close </w:t>
      </w:r>
      <w:r w:rsidR="003B695F" w:rsidRPr="00B46754">
        <w:t>collaboration</w:t>
      </w:r>
      <w:r w:rsidRPr="00B46754">
        <w:t xml:space="preserve"> with the EU Chief Trade Enforcement Officer</w:t>
      </w:r>
      <w:r w:rsidR="003B695F" w:rsidRPr="00B46754">
        <w:t>.</w:t>
      </w:r>
      <w:r w:rsidRPr="00B46754">
        <w:t xml:space="preserve"> Expectations are high and </w:t>
      </w:r>
      <w:r w:rsidR="003C045E" w:rsidRPr="00B46754">
        <w:t xml:space="preserve">the </w:t>
      </w:r>
      <w:r w:rsidRPr="00B46754">
        <w:t xml:space="preserve">challenges manifold. The REX </w:t>
      </w:r>
      <w:r w:rsidR="00AF2304" w:rsidRPr="00B46754">
        <w:t>S</w:t>
      </w:r>
      <w:r w:rsidRPr="00B46754">
        <w:t>ection will seek to raise the views and concerns of civil society in all these areas. It will also work towards communicating more effectively on international trade and its positive or negative impact on people and businesses and will call for further involvement of civil society in international trade</w:t>
      </w:r>
      <w:r w:rsidR="003C045E" w:rsidRPr="00B46754">
        <w:t>,</w:t>
      </w:r>
      <w:r w:rsidRPr="00B46754">
        <w:t xml:space="preserve"> in particular at WTO level.</w:t>
      </w:r>
    </w:p>
    <w:p w14:paraId="34A63662" w14:textId="77777777" w:rsidR="00FC0D7C" w:rsidRPr="00B46754" w:rsidRDefault="00FC0D7C" w:rsidP="00FC0D7C"/>
    <w:p w14:paraId="443DD772" w14:textId="11647740" w:rsidR="002A07A4" w:rsidRPr="00B46754" w:rsidRDefault="00FC0D7C" w:rsidP="00A650B1">
      <w:r w:rsidRPr="00B46754">
        <w:t xml:space="preserve">Monitoring the implementation and enforcement of trade agreements by civil society will remain a key focus area. The </w:t>
      </w:r>
      <w:r w:rsidR="00AF2304" w:rsidRPr="00B46754">
        <w:t>S</w:t>
      </w:r>
      <w:r w:rsidRPr="00B46754">
        <w:t xml:space="preserve">ection will continue to </w:t>
      </w:r>
      <w:r w:rsidR="00F76854" w:rsidRPr="00B46754">
        <w:t xml:space="preserve">closely </w:t>
      </w:r>
      <w:r w:rsidRPr="00B46754">
        <w:t>monitor EU trade negotiations</w:t>
      </w:r>
      <w:r w:rsidR="00F76854" w:rsidRPr="00B46754">
        <w:t>,</w:t>
      </w:r>
      <w:r w:rsidRPr="00B46754">
        <w:t xml:space="preserve"> currently underway at bilateral and regional level</w:t>
      </w:r>
      <w:r w:rsidR="00F76854" w:rsidRPr="00B46754">
        <w:t>,</w:t>
      </w:r>
      <w:r w:rsidR="008A7745" w:rsidRPr="00B46754">
        <w:t xml:space="preserve"> and their </w:t>
      </w:r>
      <w:r w:rsidR="00F76854" w:rsidRPr="00B46754">
        <w:t>subsequent</w:t>
      </w:r>
      <w:r w:rsidR="008A7745" w:rsidRPr="00B46754">
        <w:t xml:space="preserve"> ratification process</w:t>
      </w:r>
      <w:r w:rsidRPr="00B46754">
        <w:t xml:space="preserve">. The REX secretariat will continue to provide the administrative and policy support for </w:t>
      </w:r>
      <w:r w:rsidR="00E75B36" w:rsidRPr="00B46754">
        <w:t>Domestic Advisory Groups (</w:t>
      </w:r>
      <w:r w:rsidRPr="00B46754">
        <w:t>DAGs</w:t>
      </w:r>
      <w:r w:rsidR="00E75B36" w:rsidRPr="00B46754">
        <w:t>)</w:t>
      </w:r>
      <w:r w:rsidR="008A7745" w:rsidRPr="00B46754">
        <w:t xml:space="preserve"> and </w:t>
      </w:r>
      <w:r w:rsidR="009D1B2E" w:rsidRPr="00B46754">
        <w:t>further develop</w:t>
      </w:r>
      <w:r w:rsidR="008A7745" w:rsidRPr="00B46754">
        <w:t xml:space="preserve"> </w:t>
      </w:r>
      <w:r w:rsidR="009D1B2E" w:rsidRPr="00B46754">
        <w:t>an</w:t>
      </w:r>
      <w:r w:rsidR="003B695F" w:rsidRPr="00B46754">
        <w:t xml:space="preserve"> overall platform for an improved All DAGs coordination</w:t>
      </w:r>
      <w:r w:rsidRPr="00B46754">
        <w:t xml:space="preserve">, </w:t>
      </w:r>
      <w:r w:rsidR="008A7745" w:rsidRPr="00B46754">
        <w:t>by</w:t>
      </w:r>
      <w:r w:rsidRPr="00B46754">
        <w:t xml:space="preserve"> addressing horizontal </w:t>
      </w:r>
      <w:r w:rsidR="008A7745" w:rsidRPr="00B46754">
        <w:t xml:space="preserve">challenges </w:t>
      </w:r>
      <w:r w:rsidRPr="00B46754">
        <w:t xml:space="preserve">such as resources and </w:t>
      </w:r>
      <w:r w:rsidR="008A7745" w:rsidRPr="00B46754">
        <w:t>crosscutting topics</w:t>
      </w:r>
      <w:r w:rsidR="00E75B36" w:rsidRPr="00B46754">
        <w:t xml:space="preserve">. </w:t>
      </w:r>
      <w:r w:rsidRPr="00B46754">
        <w:t xml:space="preserve">The </w:t>
      </w:r>
      <w:r w:rsidR="00AF2304" w:rsidRPr="00B46754">
        <w:t>S</w:t>
      </w:r>
      <w:r w:rsidRPr="00B46754">
        <w:t>ection will also follow the WTO</w:t>
      </w:r>
      <w:r w:rsidR="009D1B2E" w:rsidRPr="00B46754">
        <w:t xml:space="preserve"> work</w:t>
      </w:r>
      <w:r w:rsidRPr="00B46754">
        <w:t xml:space="preserve"> and reform process, </w:t>
      </w:r>
      <w:r w:rsidR="009D1B2E" w:rsidRPr="00B46754">
        <w:t xml:space="preserve">by </w:t>
      </w:r>
      <w:r w:rsidRPr="00B46754">
        <w:t xml:space="preserve">participating as a civil society advisor in the WTO Ministerial Conferences or </w:t>
      </w:r>
      <w:r w:rsidR="009D1B2E" w:rsidRPr="00B46754">
        <w:t xml:space="preserve">actively contributing through organised </w:t>
      </w:r>
      <w:r w:rsidRPr="00B46754">
        <w:t>work</w:t>
      </w:r>
      <w:r w:rsidR="009D1B2E" w:rsidRPr="00B46754">
        <w:t>ing sessions</w:t>
      </w:r>
      <w:r w:rsidRPr="00B46754">
        <w:t xml:space="preserve"> at </w:t>
      </w:r>
      <w:r w:rsidR="009D1B2E" w:rsidRPr="00B46754">
        <w:t xml:space="preserve">the annual </w:t>
      </w:r>
      <w:r w:rsidRPr="00B46754">
        <w:t>WTO Public For</w:t>
      </w:r>
      <w:r w:rsidR="008A7745" w:rsidRPr="00B46754">
        <w:t>a</w:t>
      </w:r>
      <w:r w:rsidRPr="00B46754">
        <w:t>.</w:t>
      </w:r>
    </w:p>
    <w:p w14:paraId="17D9F801" w14:textId="77777777" w:rsidR="002A07A4" w:rsidRPr="00B46754" w:rsidRDefault="002A07A4" w:rsidP="00A650B1"/>
    <w:p w14:paraId="7FB823B8" w14:textId="5DBDA4F5" w:rsidR="00FC0D7C" w:rsidRPr="00B46754" w:rsidRDefault="005675DF" w:rsidP="00A650B1">
      <w:pPr>
        <w:rPr>
          <w:b/>
          <w:i/>
        </w:rPr>
      </w:pPr>
      <w:r w:rsidRPr="00B46754">
        <w:rPr>
          <w:b/>
          <w:i/>
        </w:rPr>
        <w:t xml:space="preserve">ACTIVITIES </w:t>
      </w:r>
      <w:r w:rsidR="00FD2AB6" w:rsidRPr="00B46754">
        <w:rPr>
          <w:b/>
          <w:i/>
        </w:rPr>
        <w:t>SCHEDULED FOR</w:t>
      </w:r>
      <w:r w:rsidRPr="00B46754">
        <w:rPr>
          <w:b/>
          <w:i/>
        </w:rPr>
        <w:t xml:space="preserve"> 2022: </w:t>
      </w:r>
    </w:p>
    <w:p w14:paraId="563F4E64" w14:textId="77777777" w:rsidR="005675DF" w:rsidRPr="00B46754" w:rsidRDefault="005675DF" w:rsidP="00A650B1"/>
    <w:p w14:paraId="55AF389B" w14:textId="54BF7766" w:rsidR="005675DF" w:rsidRPr="00717417" w:rsidRDefault="005675DF" w:rsidP="00A650B1">
      <w:pPr>
        <w:pStyle w:val="ListParagraph"/>
        <w:numPr>
          <w:ilvl w:val="0"/>
          <w:numId w:val="56"/>
        </w:numPr>
      </w:pPr>
      <w:r w:rsidRPr="00B46754">
        <w:t>Conference on International trade and Sustainability</w:t>
      </w:r>
      <w:r w:rsidR="00713B35" w:rsidRPr="00B46754">
        <w:t>,</w:t>
      </w:r>
      <w:r w:rsidRPr="00B46754">
        <w:t xml:space="preserve"> </w:t>
      </w:r>
      <w:r w:rsidR="00E75B36" w:rsidRPr="00B46754">
        <w:t>in cooperation with the French Presidency of the Coun</w:t>
      </w:r>
      <w:r w:rsidR="00E75B36" w:rsidRPr="006D1A48">
        <w:t>cil and the European Commission</w:t>
      </w:r>
      <w:r w:rsidR="00D649CC" w:rsidRPr="006D1A48">
        <w:t>;</w:t>
      </w:r>
    </w:p>
    <w:p w14:paraId="3E1B69D3" w14:textId="4F6E2E35" w:rsidR="009D1B2E" w:rsidRPr="00B46754" w:rsidRDefault="009D1B2E" w:rsidP="009D1B2E">
      <w:pPr>
        <w:pStyle w:val="ListParagraph"/>
        <w:numPr>
          <w:ilvl w:val="0"/>
          <w:numId w:val="56"/>
        </w:numPr>
      </w:pPr>
      <w:r w:rsidRPr="00B46754">
        <w:lastRenderedPageBreak/>
        <w:t>Organisation of REX Section meeting</w:t>
      </w:r>
      <w:r w:rsidR="00245F6E" w:rsidRPr="00B46754">
        <w:t>s</w:t>
      </w:r>
      <w:r w:rsidRPr="00B46754">
        <w:t xml:space="preserve"> on digital trade and on </w:t>
      </w:r>
      <w:r w:rsidR="00245F6E" w:rsidRPr="00B46754">
        <w:t xml:space="preserve">the role of </w:t>
      </w:r>
      <w:r w:rsidRPr="00B46754">
        <w:t xml:space="preserve">civil society </w:t>
      </w:r>
      <w:r w:rsidR="00980AEC" w:rsidRPr="00B46754">
        <w:t>throughout trade agreements (</w:t>
      </w:r>
      <w:r w:rsidR="00980AEC" w:rsidRPr="00B46754">
        <w:rPr>
          <w:i/>
        </w:rPr>
        <w:t xml:space="preserve">postponed to 2022 – see </w:t>
      </w:r>
      <w:r w:rsidR="00245F6E" w:rsidRPr="00B46754">
        <w:rPr>
          <w:i/>
        </w:rPr>
        <w:t xml:space="preserve">opinion </w:t>
      </w:r>
      <w:r w:rsidR="00980AEC" w:rsidRPr="00B46754">
        <w:rPr>
          <w:i/>
        </w:rPr>
        <w:t>link below</w:t>
      </w:r>
      <w:r w:rsidR="00980AEC" w:rsidRPr="00B46754">
        <w:t>)</w:t>
      </w:r>
      <w:r w:rsidR="00D649CC" w:rsidRPr="00B46754">
        <w:t>;</w:t>
      </w:r>
    </w:p>
    <w:p w14:paraId="3CB7A37C" w14:textId="4D9C742A" w:rsidR="00980AEC" w:rsidRPr="00B46754" w:rsidRDefault="00A8025B" w:rsidP="00980AEC">
      <w:pPr>
        <w:pStyle w:val="ListParagraph"/>
        <w:numPr>
          <w:ilvl w:val="0"/>
          <w:numId w:val="56"/>
        </w:numPr>
      </w:pPr>
      <w:r w:rsidRPr="00B46754">
        <w:t>Drafting</w:t>
      </w:r>
      <w:r w:rsidR="00980AEC" w:rsidRPr="00B46754">
        <w:t xml:space="preserve"> and adoption of an opinion on a New </w:t>
      </w:r>
      <w:r w:rsidR="00063441" w:rsidRPr="00B46754">
        <w:t>f</w:t>
      </w:r>
      <w:r w:rsidR="00980AEC" w:rsidRPr="00B46754">
        <w:t xml:space="preserve">ramework for </w:t>
      </w:r>
      <w:r w:rsidR="00063441" w:rsidRPr="00B46754">
        <w:t>t</w:t>
      </w:r>
      <w:r w:rsidR="00980AEC" w:rsidRPr="00B46754">
        <w:t>rade agreements advocating for more transparent trade negotiations</w:t>
      </w:r>
      <w:r w:rsidR="00D649CC" w:rsidRPr="00B46754">
        <w:t>;</w:t>
      </w:r>
    </w:p>
    <w:p w14:paraId="6C07B219" w14:textId="2DDA6500" w:rsidR="00980AEC" w:rsidRPr="00B46754" w:rsidRDefault="00A8025B" w:rsidP="00980AEC">
      <w:pPr>
        <w:pStyle w:val="ListParagraph"/>
        <w:numPr>
          <w:ilvl w:val="0"/>
          <w:numId w:val="56"/>
        </w:numPr>
      </w:pPr>
      <w:r w:rsidRPr="00B46754">
        <w:t>Drafting</w:t>
      </w:r>
      <w:r w:rsidR="00980AEC" w:rsidRPr="00B46754">
        <w:t xml:space="preserve"> and adoption of an opinion on the </w:t>
      </w:r>
      <w:r w:rsidR="00063441" w:rsidRPr="00B46754">
        <w:t>N</w:t>
      </w:r>
      <w:r w:rsidR="00980AEC" w:rsidRPr="00B46754">
        <w:t xml:space="preserve">ew EU-US </w:t>
      </w:r>
      <w:r w:rsidR="00063441" w:rsidRPr="00B46754">
        <w:t>t</w:t>
      </w:r>
      <w:r w:rsidR="00980AEC" w:rsidRPr="00B46754">
        <w:t xml:space="preserve">rade and </w:t>
      </w:r>
      <w:r w:rsidR="00063441" w:rsidRPr="00B46754">
        <w:t>t</w:t>
      </w:r>
      <w:r w:rsidR="00980AEC" w:rsidRPr="00B46754">
        <w:t>echnology Council</w:t>
      </w:r>
      <w:r w:rsidR="00D649CC" w:rsidRPr="00B46754">
        <w:t>;</w:t>
      </w:r>
    </w:p>
    <w:p w14:paraId="7E48520E" w14:textId="2E616992" w:rsidR="00980AEC" w:rsidRPr="00B46754" w:rsidRDefault="00A8025B" w:rsidP="00980AEC">
      <w:pPr>
        <w:pStyle w:val="ListParagraph"/>
        <w:numPr>
          <w:ilvl w:val="0"/>
          <w:numId w:val="56"/>
        </w:numPr>
      </w:pPr>
      <w:r w:rsidRPr="00B46754">
        <w:t>Drafting</w:t>
      </w:r>
      <w:r w:rsidR="00980AEC" w:rsidRPr="00B46754">
        <w:t xml:space="preserve"> and adoption of an opinion on Multilateral investor-state arbitration court: assessment of the UNCITRAL process and its achievements in light of civil society recommendations</w:t>
      </w:r>
      <w:r w:rsidR="00D649CC" w:rsidRPr="00B46754">
        <w:t>;</w:t>
      </w:r>
    </w:p>
    <w:p w14:paraId="3780CF5C" w14:textId="6DB716AB" w:rsidR="005675DF" w:rsidRPr="00B46754" w:rsidDel="00980AEC" w:rsidRDefault="0047510D" w:rsidP="00A650B1">
      <w:pPr>
        <w:pStyle w:val="ListParagraph"/>
        <w:numPr>
          <w:ilvl w:val="0"/>
          <w:numId w:val="56"/>
        </w:numPr>
      </w:pPr>
      <w:r w:rsidRPr="00B46754" w:rsidDel="00980AEC">
        <w:t>INT/REX webinar on Sustainable supply chains and reshoring</w:t>
      </w:r>
      <w:r w:rsidR="00D649CC" w:rsidRPr="00B46754">
        <w:t>;</w:t>
      </w:r>
    </w:p>
    <w:p w14:paraId="639FC207" w14:textId="6A1BE532" w:rsidR="009D1B2E" w:rsidRPr="00B46754" w:rsidRDefault="009D1B2E" w:rsidP="009D1B2E">
      <w:pPr>
        <w:pStyle w:val="ListParagraph"/>
        <w:numPr>
          <w:ilvl w:val="0"/>
          <w:numId w:val="56"/>
        </w:numPr>
      </w:pPr>
      <w:r w:rsidRPr="00B46754">
        <w:t>Four meetings of the EESC International Trade Follow-up Committee</w:t>
      </w:r>
      <w:r w:rsidR="00D649CC" w:rsidRPr="00B46754">
        <w:t>;</w:t>
      </w:r>
    </w:p>
    <w:p w14:paraId="02E37CEF" w14:textId="3D66CFC6" w:rsidR="009D1B2E" w:rsidRPr="00B46754" w:rsidRDefault="009D1B2E" w:rsidP="009D1B2E">
      <w:pPr>
        <w:pStyle w:val="ListParagraph"/>
        <w:numPr>
          <w:ilvl w:val="0"/>
          <w:numId w:val="56"/>
        </w:numPr>
      </w:pPr>
      <w:r w:rsidRPr="00B46754">
        <w:t xml:space="preserve">Participation in the WTO Public Forum and the (postponed) WTO Ministerial Conference </w:t>
      </w:r>
      <w:r w:rsidR="00245F6E" w:rsidRPr="00B46754">
        <w:t>(</w:t>
      </w:r>
      <w:r w:rsidR="00D5126B" w:rsidRPr="00B46754">
        <w:t>"</w:t>
      </w:r>
      <w:r w:rsidRPr="00B46754">
        <w:t>MC12</w:t>
      </w:r>
      <w:r w:rsidR="00D5126B" w:rsidRPr="00B46754">
        <w:t>"</w:t>
      </w:r>
      <w:r w:rsidR="00245F6E" w:rsidRPr="00B46754">
        <w:t>) in Geneva</w:t>
      </w:r>
      <w:r w:rsidR="00D649CC" w:rsidRPr="00B46754">
        <w:t>;</w:t>
      </w:r>
    </w:p>
    <w:p w14:paraId="6C3C8FFF" w14:textId="6D93E0D2" w:rsidR="0047510D" w:rsidRDefault="009D1B2E" w:rsidP="00A650B1">
      <w:pPr>
        <w:pStyle w:val="ListParagraph"/>
        <w:numPr>
          <w:ilvl w:val="0"/>
          <w:numId w:val="56"/>
        </w:numPr>
      </w:pPr>
      <w:r w:rsidRPr="00B46754">
        <w:t>T</w:t>
      </w:r>
      <w:r w:rsidR="0047510D" w:rsidRPr="00B46754">
        <w:t>wo to four meetings per EU DAG</w:t>
      </w:r>
      <w:r w:rsidRPr="00B46754">
        <w:t xml:space="preserve">, with related DAG-to-DAG meetings and </w:t>
      </w:r>
      <w:r w:rsidR="00245F6E" w:rsidRPr="00B46754">
        <w:t xml:space="preserve">joint </w:t>
      </w:r>
      <w:r w:rsidRPr="00B46754">
        <w:t>workshops</w:t>
      </w:r>
      <w:r w:rsidR="0002280B" w:rsidRPr="00B46754">
        <w:t xml:space="preserve"> (in total +/- 50 meetings for the </w:t>
      </w:r>
      <w:r w:rsidR="007C1852">
        <w:t>12</w:t>
      </w:r>
      <w:r w:rsidR="0002280B" w:rsidRPr="00B46754">
        <w:t xml:space="preserve"> DAGs currently active</w:t>
      </w:r>
      <w:r w:rsidR="007C1852">
        <w:rPr>
          <w:rStyle w:val="FootnoteReference"/>
        </w:rPr>
        <w:t xml:space="preserve"> </w:t>
      </w:r>
      <w:r w:rsidR="007C1852">
        <w:t xml:space="preserve"> - EU-Cariforum Joint Consultative Committee, EU DAG for Korea FTA, EU DAG for EU-Central America FTA, EU DAG for the EU </w:t>
      </w:r>
      <w:bookmarkStart w:id="1" w:name="_GoBack"/>
      <w:bookmarkEnd w:id="1"/>
      <w:r w:rsidR="007C1852">
        <w:t>FTA with Columbia, Peru Ecuador, EU DAG for EU-Canada Comprehensive Economic Agreement, EU DAG for E</w:t>
      </w:r>
      <w:r w:rsidR="0002280B" w:rsidRPr="00B46754">
        <w:t>)</w:t>
      </w:r>
      <w:r w:rsidR="00D649CC" w:rsidRPr="006D1A48">
        <w:t>;</w:t>
      </w:r>
    </w:p>
    <w:p w14:paraId="61862664" w14:textId="1C19F9C8" w:rsidR="007C1852" w:rsidRPr="00717417" w:rsidRDefault="007C1852" w:rsidP="00A650B1">
      <w:pPr>
        <w:pStyle w:val="ListParagraph"/>
        <w:numPr>
          <w:ilvl w:val="0"/>
          <w:numId w:val="56"/>
        </w:numPr>
      </w:pPr>
      <w:r>
        <w:t xml:space="preserve">2 meetings of the EU-Korea Joint Advisory group </w:t>
      </w:r>
    </w:p>
    <w:p w14:paraId="6A6D2C29" w14:textId="53655796" w:rsidR="0047510D" w:rsidRPr="00B46754" w:rsidRDefault="0047510D" w:rsidP="00A650B1">
      <w:pPr>
        <w:pStyle w:val="ListParagraph"/>
        <w:numPr>
          <w:ilvl w:val="0"/>
          <w:numId w:val="56"/>
        </w:numPr>
      </w:pPr>
      <w:r w:rsidRPr="00717417">
        <w:t xml:space="preserve">One </w:t>
      </w:r>
      <w:r w:rsidR="00980AEC" w:rsidRPr="00717417">
        <w:t>A</w:t>
      </w:r>
      <w:r w:rsidRPr="00B46754">
        <w:t xml:space="preserve">ll DAGs meeting </w:t>
      </w:r>
      <w:r w:rsidR="00980AEC" w:rsidRPr="00B46754">
        <w:t>and ad hoc meetings of All DAG Presidencies</w:t>
      </w:r>
      <w:r w:rsidR="00245F6E" w:rsidRPr="00B46754">
        <w:t xml:space="preserve"> (</w:t>
      </w:r>
      <w:r w:rsidR="00245F6E" w:rsidRPr="002878DB">
        <w:rPr>
          <w:i/>
        </w:rPr>
        <w:t>on request</w:t>
      </w:r>
      <w:r w:rsidR="00245F6E" w:rsidRPr="00B46754">
        <w:t>)</w:t>
      </w:r>
      <w:r w:rsidR="00D649CC" w:rsidRPr="00B46754">
        <w:t>;</w:t>
      </w:r>
    </w:p>
    <w:p w14:paraId="524CD4FC" w14:textId="6D19002F" w:rsidR="00345FF9" w:rsidRPr="00B46754" w:rsidRDefault="0047510D" w:rsidP="00345FF9">
      <w:pPr>
        <w:pStyle w:val="ListParagraph"/>
        <w:numPr>
          <w:ilvl w:val="0"/>
          <w:numId w:val="56"/>
        </w:numPr>
      </w:pPr>
      <w:r w:rsidRPr="006D1A48">
        <w:t xml:space="preserve">Cooperation with WTO Secretariat on </w:t>
      </w:r>
      <w:r w:rsidR="00245F6E" w:rsidRPr="006D1A48">
        <w:t xml:space="preserve">exploring ways </w:t>
      </w:r>
      <w:r w:rsidR="00F075E2" w:rsidRPr="00717417">
        <w:t xml:space="preserve">to make </w:t>
      </w:r>
      <w:r w:rsidR="00245F6E" w:rsidRPr="00717417">
        <w:t xml:space="preserve"> </w:t>
      </w:r>
      <w:r w:rsidRPr="00B46754">
        <w:t xml:space="preserve">civil society involvement </w:t>
      </w:r>
      <w:r w:rsidR="00245F6E" w:rsidRPr="00B46754">
        <w:t>at</w:t>
      </w:r>
      <w:r w:rsidRPr="00B46754">
        <w:t xml:space="preserve"> WTO</w:t>
      </w:r>
      <w:r w:rsidR="00245F6E" w:rsidRPr="00B46754">
        <w:t xml:space="preserve"> level</w:t>
      </w:r>
      <w:r w:rsidR="00F075E2" w:rsidRPr="00B46754">
        <w:t xml:space="preserve"> more effective</w:t>
      </w:r>
      <w:r w:rsidR="00D649CC" w:rsidRPr="00B46754">
        <w:t>.</w:t>
      </w:r>
    </w:p>
    <w:p w14:paraId="6893A38F" w14:textId="77777777" w:rsidR="002B33F0" w:rsidRPr="00B46754" w:rsidRDefault="002B33F0" w:rsidP="00A650B1"/>
    <w:p w14:paraId="02F680E4" w14:textId="047524A7" w:rsidR="002B33F0" w:rsidRPr="00B46754" w:rsidRDefault="002B33F0" w:rsidP="00A650B1">
      <w:pPr>
        <w:rPr>
          <w:b/>
        </w:rPr>
      </w:pPr>
      <w:r w:rsidRPr="00B46754">
        <w:rPr>
          <w:b/>
        </w:rPr>
        <w:t>3.3. Africa as part of the ACP policy</w:t>
      </w:r>
    </w:p>
    <w:p w14:paraId="45BB596F" w14:textId="77777777" w:rsidR="002B33F0" w:rsidRPr="00B46754" w:rsidRDefault="002B33F0" w:rsidP="00A650B1"/>
    <w:p w14:paraId="3F62D06B" w14:textId="2C99D97E" w:rsidR="00345FF9" w:rsidRPr="00B46754" w:rsidRDefault="002B33F0" w:rsidP="00A650B1">
      <w:r w:rsidRPr="00B46754">
        <w:t>The African continent is a strategic partner o</w:t>
      </w:r>
      <w:r w:rsidR="004A4D09" w:rsidRPr="00B46754">
        <w:t>f</w:t>
      </w:r>
      <w:r w:rsidRPr="00B46754">
        <w:t xml:space="preserve"> the EU and its Member States and one of the main priorities of the </w:t>
      </w:r>
      <w:r w:rsidR="00245F6E" w:rsidRPr="00B46754">
        <w:t>V</w:t>
      </w:r>
      <w:r w:rsidRPr="00B46754">
        <w:t xml:space="preserve">on der Leyen Commission (2019-2024). It is also one of the main </w:t>
      </w:r>
      <w:r w:rsidR="004A4D09" w:rsidRPr="00B46754">
        <w:t xml:space="preserve">international </w:t>
      </w:r>
      <w:r w:rsidRPr="00B46754">
        <w:t xml:space="preserve"> priorities of the French Presidency of the Council dur</w:t>
      </w:r>
      <w:r w:rsidR="00345FF9" w:rsidRPr="00B46754">
        <w:t xml:space="preserve">ing the first </w:t>
      </w:r>
      <w:r w:rsidR="001F61B5" w:rsidRPr="00B46754">
        <w:t xml:space="preserve">half </w:t>
      </w:r>
      <w:r w:rsidR="00345FF9" w:rsidRPr="00B46754">
        <w:t xml:space="preserve">of 2022. President </w:t>
      </w:r>
      <w:r w:rsidRPr="006D1A48">
        <w:t>Macron has indicated that relations between EU and Africa are "the great political and geopolitical project of the decades to come</w:t>
      </w:r>
      <w:r w:rsidRPr="00B46754">
        <w:t>".</w:t>
      </w:r>
    </w:p>
    <w:p w14:paraId="4CE2623A" w14:textId="77777777" w:rsidR="00345FF9" w:rsidRPr="00B46754" w:rsidRDefault="00345FF9" w:rsidP="00A650B1"/>
    <w:p w14:paraId="23DF1E3E" w14:textId="2539781D" w:rsidR="00345FF9" w:rsidRPr="00B46754" w:rsidRDefault="00345FF9" w:rsidP="00345FF9">
      <w:r w:rsidRPr="00B46754">
        <w:t xml:space="preserve">The </w:t>
      </w:r>
      <w:r w:rsidR="00AF2304" w:rsidRPr="00B46754">
        <w:t>S</w:t>
      </w:r>
      <w:r w:rsidRPr="00B46754">
        <w:t>ection strategy will be based on the following core objectives:</w:t>
      </w:r>
    </w:p>
    <w:p w14:paraId="4197FBD4" w14:textId="77777777" w:rsidR="00345FF9" w:rsidRPr="00B46754" w:rsidRDefault="00345FF9" w:rsidP="00345FF9"/>
    <w:p w14:paraId="7EA4BC8B" w14:textId="77777777" w:rsidR="00345FF9" w:rsidRPr="00B46754" w:rsidRDefault="00345FF9" w:rsidP="00D13C92">
      <w:pPr>
        <w:pStyle w:val="ListParagraph"/>
        <w:numPr>
          <w:ilvl w:val="0"/>
          <w:numId w:val="9"/>
        </w:numPr>
        <w:tabs>
          <w:tab w:val="clear" w:pos="0"/>
        </w:tabs>
        <w:ind w:left="567" w:hanging="567"/>
      </w:pPr>
      <w:r w:rsidRPr="00B46754">
        <w:t>ensuring civil society ownership, with a particular emphasis on African organised civil society in relation to the future Comprehensive Joint EU-African Union Strategy;</w:t>
      </w:r>
    </w:p>
    <w:p w14:paraId="10E21A1C" w14:textId="29FCBEE6" w:rsidR="00345FF9" w:rsidRPr="00B46754" w:rsidRDefault="00345FF9" w:rsidP="00D13C92">
      <w:pPr>
        <w:pStyle w:val="ListParagraph"/>
        <w:numPr>
          <w:ilvl w:val="0"/>
          <w:numId w:val="9"/>
        </w:numPr>
        <w:tabs>
          <w:tab w:val="clear" w:pos="0"/>
        </w:tabs>
        <w:ind w:left="567" w:hanging="567"/>
      </w:pPr>
      <w:r w:rsidRPr="00B46754">
        <w:t>promoting core commitments such as the Sustainable Development Goals (SDGs), the United Nations (UN) Universal Declaration of Human Rights, including fundamental labour and gender rights,</w:t>
      </w:r>
      <w:r w:rsidR="00583597" w:rsidRPr="00B46754">
        <w:t xml:space="preserve"> and</w:t>
      </w:r>
      <w:r w:rsidRPr="00B46754">
        <w:t xml:space="preserve"> ILO Conventions, including the implementation of projects related to the EU Global Gateway Strategy;</w:t>
      </w:r>
    </w:p>
    <w:p w14:paraId="4D105028" w14:textId="1A014513" w:rsidR="00345FF9" w:rsidRPr="00B46754" w:rsidRDefault="005C7D73" w:rsidP="00D13C92">
      <w:pPr>
        <w:pStyle w:val="ListParagraph"/>
        <w:numPr>
          <w:ilvl w:val="0"/>
          <w:numId w:val="9"/>
        </w:numPr>
        <w:tabs>
          <w:tab w:val="clear" w:pos="0"/>
        </w:tabs>
        <w:ind w:left="567" w:hanging="567"/>
      </w:pPr>
      <w:r w:rsidRPr="00B46754">
        <w:t xml:space="preserve">protecting </w:t>
      </w:r>
      <w:r w:rsidR="00345FF9" w:rsidRPr="00B46754">
        <w:t xml:space="preserve"> respect f</w:t>
      </w:r>
      <w:r w:rsidRPr="00B46754">
        <w:t>or</w:t>
      </w:r>
      <w:r w:rsidR="00345FF9" w:rsidRPr="00B46754">
        <w:t xml:space="preserve"> human rights and rule of law in African countries affected by conflicts and migration flows (South Sahel, Horn of Africa, Western and Central Africa);</w:t>
      </w:r>
    </w:p>
    <w:p w14:paraId="05DFD9EA" w14:textId="142EA747" w:rsidR="00345FF9" w:rsidRPr="00B46754" w:rsidRDefault="00345FF9" w:rsidP="00D13C92">
      <w:pPr>
        <w:pStyle w:val="ListParagraph"/>
        <w:numPr>
          <w:ilvl w:val="0"/>
          <w:numId w:val="9"/>
        </w:numPr>
        <w:tabs>
          <w:tab w:val="clear" w:pos="0"/>
        </w:tabs>
        <w:ind w:left="567" w:hanging="567"/>
      </w:pPr>
      <w:r w:rsidRPr="00B46754">
        <w:t>ensuring that civil society</w:t>
      </w:r>
      <w:r w:rsidR="00753F5B" w:rsidRPr="00B46754">
        <w:t>,</w:t>
      </w:r>
      <w:r w:rsidRPr="00B46754">
        <w:t xml:space="preserve"> including social partners</w:t>
      </w:r>
      <w:r w:rsidR="00753F5B" w:rsidRPr="00B46754">
        <w:t>,</w:t>
      </w:r>
      <w:r w:rsidRPr="00B46754">
        <w:t xml:space="preserve"> plays a role in the development of the African Continental Free Trade Area (AfCFTA), which encompasses 54 African nations in Northern Africa, Central Africa, Eastern Africa, Southern Africa and Western Africa.</w:t>
      </w:r>
    </w:p>
    <w:p w14:paraId="77B78F24" w14:textId="77777777" w:rsidR="00345FF9" w:rsidRPr="00B46754" w:rsidRDefault="00345FF9" w:rsidP="00A650B1"/>
    <w:p w14:paraId="57FB4D91" w14:textId="4B25F139" w:rsidR="00345FF9" w:rsidRPr="00B46754" w:rsidRDefault="00345FF9" w:rsidP="00A650B1">
      <w:pPr>
        <w:rPr>
          <w:b/>
          <w:i/>
        </w:rPr>
      </w:pPr>
      <w:r w:rsidRPr="00B46754">
        <w:tab/>
      </w:r>
      <w:r w:rsidRPr="00B46754">
        <w:rPr>
          <w:b/>
          <w:i/>
        </w:rPr>
        <w:t xml:space="preserve">ACTIVITIES </w:t>
      </w:r>
      <w:r w:rsidR="00FD2AB6" w:rsidRPr="00B46754">
        <w:rPr>
          <w:b/>
          <w:i/>
        </w:rPr>
        <w:t>SCHEDULED FOR</w:t>
      </w:r>
      <w:r w:rsidRPr="00B46754">
        <w:rPr>
          <w:b/>
          <w:i/>
        </w:rPr>
        <w:t xml:space="preserve"> 2022:</w:t>
      </w:r>
    </w:p>
    <w:p w14:paraId="5EDB8652" w14:textId="7193183C" w:rsidR="00345FF9" w:rsidRPr="00B46754" w:rsidRDefault="00345FF9" w:rsidP="004402EF">
      <w:pPr>
        <w:pStyle w:val="ListParagraph"/>
        <w:numPr>
          <w:ilvl w:val="0"/>
          <w:numId w:val="56"/>
        </w:numPr>
      </w:pPr>
      <w:r w:rsidRPr="00B46754">
        <w:lastRenderedPageBreak/>
        <w:t>Provid</w:t>
      </w:r>
      <w:r w:rsidR="00E602FB" w:rsidRPr="00B46754">
        <w:t>ing</w:t>
      </w:r>
      <w:r w:rsidRPr="00B46754">
        <w:t xml:space="preserve"> civil society reco</w:t>
      </w:r>
      <w:r w:rsidR="00E75B36" w:rsidRPr="00B46754">
        <w:t xml:space="preserve">mmendations </w:t>
      </w:r>
      <w:r w:rsidR="00423851" w:rsidRPr="00B46754">
        <w:t>at</w:t>
      </w:r>
      <w:r w:rsidR="00E75B36" w:rsidRPr="00B46754">
        <w:t xml:space="preserve"> the sixth AU-EU S</w:t>
      </w:r>
      <w:r w:rsidRPr="00B46754">
        <w:t>ummit to be held in February 2022</w:t>
      </w:r>
      <w:r w:rsidR="00344590" w:rsidRPr="00B46754">
        <w:t>;</w:t>
      </w:r>
    </w:p>
    <w:p w14:paraId="26BCDF0B" w14:textId="3315B2B4" w:rsidR="00345FF9" w:rsidRPr="00B46754" w:rsidRDefault="00345FF9" w:rsidP="004402EF">
      <w:pPr>
        <w:pStyle w:val="ListParagraph"/>
        <w:numPr>
          <w:ilvl w:val="0"/>
          <w:numId w:val="56"/>
        </w:numPr>
      </w:pPr>
      <w:r w:rsidRPr="00B46754">
        <w:t>Develop</w:t>
      </w:r>
      <w:r w:rsidR="00E602FB" w:rsidRPr="00B46754">
        <w:t>ing</w:t>
      </w:r>
      <w:r w:rsidRPr="00B46754">
        <w:t xml:space="preserve"> cooperation with the African ECOSOC</w:t>
      </w:r>
      <w:r w:rsidR="00E602FB" w:rsidRPr="00B46754">
        <w:t>,</w:t>
      </w:r>
      <w:r w:rsidRPr="00B46754">
        <w:t xml:space="preserve"> including capacity building regarding procedures for </w:t>
      </w:r>
      <w:r w:rsidR="00E602FB" w:rsidRPr="00B46754">
        <w:t xml:space="preserve">the drafting </w:t>
      </w:r>
      <w:r w:rsidRPr="00B46754">
        <w:t>of opinions</w:t>
      </w:r>
      <w:r w:rsidR="00344590" w:rsidRPr="00B46754">
        <w:t>;</w:t>
      </w:r>
    </w:p>
    <w:p w14:paraId="36C56803" w14:textId="6275756F" w:rsidR="00345FF9" w:rsidRPr="00B46754" w:rsidRDefault="00E602FB" w:rsidP="004402EF">
      <w:pPr>
        <w:pStyle w:val="ListParagraph"/>
        <w:numPr>
          <w:ilvl w:val="0"/>
          <w:numId w:val="56"/>
        </w:numPr>
      </w:pPr>
      <w:r w:rsidRPr="00B46754">
        <w:t xml:space="preserve">Advocating </w:t>
      </w:r>
      <w:r w:rsidR="00C9245C" w:rsidRPr="00B46754">
        <w:t>a prominent role for civil society in the future European Union-Organisation of African, Caribbean and Pacific States (OACPS) Partnership Agreement</w:t>
      </w:r>
      <w:r w:rsidR="00344590" w:rsidRPr="00B46754">
        <w:t xml:space="preserve"> and in the Economic Partnership Agreements (EPAs)</w:t>
      </w:r>
      <w:r w:rsidR="00C9245C" w:rsidRPr="00B46754">
        <w:t>;</w:t>
      </w:r>
    </w:p>
    <w:p w14:paraId="4E340BB6" w14:textId="73249E71" w:rsidR="00C9245C" w:rsidRPr="00B46754" w:rsidRDefault="004402EF" w:rsidP="004402EF">
      <w:pPr>
        <w:pStyle w:val="ListParagraph"/>
        <w:numPr>
          <w:ilvl w:val="0"/>
          <w:numId w:val="56"/>
        </w:numPr>
      </w:pPr>
      <w:r w:rsidRPr="00B46754">
        <w:t>O</w:t>
      </w:r>
      <w:r w:rsidR="00C9245C" w:rsidRPr="00B46754">
        <w:t xml:space="preserve">rganising a fact-finding mission to Ivory Coast in order to assist civil society in setting up civil society monitoring of the EU-Ivory Coast </w:t>
      </w:r>
      <w:r w:rsidR="00E75B36" w:rsidRPr="00B46754">
        <w:t>Economic Partnership Agreement (</w:t>
      </w:r>
      <w:r w:rsidR="00C9245C" w:rsidRPr="006D1A48">
        <w:t>EPA</w:t>
      </w:r>
      <w:r w:rsidR="00E75B36" w:rsidRPr="006D1A48">
        <w:t>)</w:t>
      </w:r>
      <w:r w:rsidR="00344590" w:rsidRPr="00717417">
        <w:t>;</w:t>
      </w:r>
    </w:p>
    <w:p w14:paraId="3DB2300A" w14:textId="632ACA7D" w:rsidR="00C9245C" w:rsidRPr="006D1A48" w:rsidRDefault="00631833" w:rsidP="004402EF">
      <w:pPr>
        <w:pStyle w:val="ListParagraph"/>
        <w:numPr>
          <w:ilvl w:val="0"/>
          <w:numId w:val="56"/>
        </w:numPr>
      </w:pPr>
      <w:r w:rsidRPr="00B46754">
        <w:t xml:space="preserve">Drafting </w:t>
      </w:r>
      <w:r w:rsidR="00C9245C" w:rsidRPr="00B46754">
        <w:t xml:space="preserve">and adopting an opinion on Analysis </w:t>
      </w:r>
      <w:r w:rsidRPr="00B46754">
        <w:t xml:space="preserve">of </w:t>
      </w:r>
      <w:r w:rsidR="00C9245C" w:rsidRPr="00B46754">
        <w:t xml:space="preserve">the role of organised civil society in the new </w:t>
      </w:r>
      <w:r w:rsidRPr="00B46754">
        <w:t xml:space="preserve">agreement between the </w:t>
      </w:r>
      <w:r w:rsidR="00C9245C" w:rsidRPr="00B46754">
        <w:t>EU</w:t>
      </w:r>
      <w:r w:rsidRPr="00B46754">
        <w:t xml:space="preserve"> and the </w:t>
      </w:r>
      <w:r w:rsidR="00C9245C" w:rsidRPr="00B46754">
        <w:t xml:space="preserve">Organisation of African, Caribbean and Pacific </w:t>
      </w:r>
      <w:r w:rsidRPr="00B46754">
        <w:t xml:space="preserve">States </w:t>
      </w:r>
      <w:r w:rsidR="00C9245C" w:rsidRPr="00B46754">
        <w:t>(OACP</w:t>
      </w:r>
      <w:r w:rsidRPr="00B46754">
        <w:t>S</w:t>
      </w:r>
      <w:r w:rsidR="00C9245C" w:rsidRPr="00B46754">
        <w:t>), including the situation of the EPAs in this framework</w:t>
      </w:r>
      <w:r w:rsidR="00344590" w:rsidRPr="00B46754">
        <w:t>;</w:t>
      </w:r>
    </w:p>
    <w:p w14:paraId="77E9D130" w14:textId="415A6851" w:rsidR="00C9245C" w:rsidRPr="00B46754" w:rsidRDefault="00E46434" w:rsidP="004402EF">
      <w:pPr>
        <w:pStyle w:val="ListParagraph"/>
        <w:numPr>
          <w:ilvl w:val="0"/>
          <w:numId w:val="56"/>
        </w:numPr>
      </w:pPr>
      <w:r w:rsidRPr="00B46754">
        <w:t>Drafti</w:t>
      </w:r>
      <w:r w:rsidR="00E602FB" w:rsidRPr="00B46754">
        <w:t xml:space="preserve">ng </w:t>
      </w:r>
      <w:r w:rsidR="00C9245C" w:rsidRPr="00B46754">
        <w:t xml:space="preserve"> a study on the revision of the Economic Partnership Agreement (EPA) between the E</w:t>
      </w:r>
      <w:r w:rsidRPr="00B46754">
        <w:t>U</w:t>
      </w:r>
      <w:r w:rsidR="00C9245C" w:rsidRPr="00B46754">
        <w:t xml:space="preserve"> and the Southern African Development Community (SADC) EPA States</w:t>
      </w:r>
      <w:r w:rsidR="00344590" w:rsidRPr="00B46754">
        <w:t>;</w:t>
      </w:r>
    </w:p>
    <w:p w14:paraId="600B0B4F" w14:textId="4460D36D" w:rsidR="00C9245C" w:rsidRPr="00B46754" w:rsidRDefault="00C9245C" w:rsidP="004402EF">
      <w:pPr>
        <w:pStyle w:val="ListParagraph"/>
        <w:numPr>
          <w:ilvl w:val="0"/>
          <w:numId w:val="56"/>
        </w:numPr>
      </w:pPr>
      <w:r w:rsidRPr="00B46754">
        <w:t>Participati</w:t>
      </w:r>
      <w:r w:rsidR="00E602FB" w:rsidRPr="00B46754">
        <w:t>ng</w:t>
      </w:r>
      <w:r w:rsidRPr="00B46754">
        <w:t xml:space="preserve"> in the ACP-EU Joint Parliamentary Assembly</w:t>
      </w:r>
      <w:r w:rsidR="00344590" w:rsidRPr="00B46754">
        <w:t>;</w:t>
      </w:r>
      <w:r w:rsidRPr="00B46754">
        <w:t xml:space="preserve"> </w:t>
      </w:r>
    </w:p>
    <w:p w14:paraId="22BDACB1" w14:textId="66834E41" w:rsidR="00C9245C" w:rsidRPr="00B46754" w:rsidRDefault="00C9245C" w:rsidP="004402EF">
      <w:pPr>
        <w:pStyle w:val="ListParagraph"/>
        <w:numPr>
          <w:ilvl w:val="0"/>
          <w:numId w:val="56"/>
        </w:numPr>
      </w:pPr>
      <w:r w:rsidRPr="00B46754">
        <w:t>Two meetings of the ACP-EU Follow-up Committee</w:t>
      </w:r>
      <w:r w:rsidR="00344590" w:rsidRPr="00B46754">
        <w:t>;</w:t>
      </w:r>
    </w:p>
    <w:p w14:paraId="6196D7B8" w14:textId="519BDAEE" w:rsidR="004402EF" w:rsidRPr="00B46754" w:rsidRDefault="004402EF" w:rsidP="004402EF">
      <w:pPr>
        <w:pStyle w:val="ListParagraph"/>
        <w:numPr>
          <w:ilvl w:val="0"/>
          <w:numId w:val="56"/>
        </w:numPr>
      </w:pPr>
      <w:r w:rsidRPr="00B46754">
        <w:t>Promot</w:t>
      </w:r>
      <w:r w:rsidR="00E602FB" w:rsidRPr="00B46754">
        <w:t>ing</w:t>
      </w:r>
      <w:r w:rsidRPr="00B46754">
        <w:t xml:space="preserve"> a cultural exhibition by an African artist, to be held at the EESC</w:t>
      </w:r>
      <w:r w:rsidR="00367B3E" w:rsidRPr="00B46754">
        <w:t>.</w:t>
      </w:r>
    </w:p>
    <w:p w14:paraId="72DE8A61" w14:textId="77777777" w:rsidR="002575CD" w:rsidRPr="00B46754" w:rsidRDefault="002575CD" w:rsidP="00BE4EF8"/>
    <w:p w14:paraId="5E6F9197" w14:textId="424EB789" w:rsidR="002575CD" w:rsidRPr="00B46754" w:rsidRDefault="00661FB3" w:rsidP="002575CD">
      <w:pPr>
        <w:rPr>
          <w:b/>
        </w:rPr>
      </w:pPr>
      <w:r w:rsidRPr="00B46754">
        <w:rPr>
          <w:b/>
        </w:rPr>
        <w:t xml:space="preserve">3.4. </w:t>
      </w:r>
      <w:r w:rsidR="002575CD" w:rsidRPr="00B46754">
        <w:rPr>
          <w:b/>
        </w:rPr>
        <w:t xml:space="preserve">Climate and energy diplomacy </w:t>
      </w:r>
    </w:p>
    <w:p w14:paraId="79312C7D" w14:textId="77777777" w:rsidR="002575CD" w:rsidRPr="00B46754" w:rsidRDefault="002575CD" w:rsidP="002575CD"/>
    <w:p w14:paraId="71239AC8" w14:textId="7C916C3F" w:rsidR="002575CD" w:rsidRPr="00B46754" w:rsidRDefault="002575CD" w:rsidP="002575CD">
      <w:r w:rsidRPr="00B46754">
        <w:t>The launch of the European Green Deal in 2019 poses new challenges</w:t>
      </w:r>
      <w:r w:rsidR="00DA42B9" w:rsidRPr="00B46754">
        <w:t xml:space="preserve"> and goals</w:t>
      </w:r>
      <w:r w:rsidRPr="00B46754">
        <w:t xml:space="preserve"> for EU climate and energy diplomacy. The Green Deal is the most ambitious plan so far for the implementation of the Paris Climate Agreement. </w:t>
      </w:r>
    </w:p>
    <w:p w14:paraId="0B5CC7DC" w14:textId="77777777" w:rsidR="002A07A4" w:rsidRPr="00B46754" w:rsidRDefault="002A07A4" w:rsidP="002575CD"/>
    <w:p w14:paraId="7DF5DEDE" w14:textId="777D4D41" w:rsidR="002575CD" w:rsidRPr="00B46754" w:rsidRDefault="002575CD" w:rsidP="002575CD">
      <w:r w:rsidRPr="00B46754">
        <w:t xml:space="preserve">The geopolitical impact of </w:t>
      </w:r>
      <w:r w:rsidR="00574664" w:rsidRPr="00B46754">
        <w:t xml:space="preserve">the </w:t>
      </w:r>
      <w:r w:rsidRPr="00B46754">
        <w:t xml:space="preserve">climate and energy transition will require existing international institutions to </w:t>
      </w:r>
      <w:r w:rsidR="00574664" w:rsidRPr="00B46754">
        <w:t xml:space="preserve">adapt in order </w:t>
      </w:r>
      <w:r w:rsidRPr="00B46754">
        <w:t>support trade and rules-based international cooperation</w:t>
      </w:r>
      <w:r w:rsidR="003508B2" w:rsidRPr="00B46754">
        <w:t>.</w:t>
      </w:r>
      <w:r w:rsidRPr="00B46754">
        <w:t xml:space="preserve"> Negotiations are ongoing for </w:t>
      </w:r>
      <w:r w:rsidR="003B4E95" w:rsidRPr="00B46754">
        <w:t>a reform</w:t>
      </w:r>
      <w:r w:rsidRPr="00B46754">
        <w:t xml:space="preserve"> of the Energy </w:t>
      </w:r>
      <w:r w:rsidR="00367B3E" w:rsidRPr="00B46754">
        <w:t>C</w:t>
      </w:r>
      <w:r w:rsidRPr="00B46754">
        <w:t xml:space="preserve">harter </w:t>
      </w:r>
      <w:r w:rsidR="00367B3E" w:rsidRPr="00B46754">
        <w:t>T</w:t>
      </w:r>
      <w:r w:rsidRPr="00B46754">
        <w:t>reaty</w:t>
      </w:r>
      <w:r w:rsidR="00367B3E" w:rsidRPr="00B46754">
        <w:t xml:space="preserve"> </w:t>
      </w:r>
      <w:r w:rsidR="00574664" w:rsidRPr="00B46754">
        <w:t xml:space="preserve">so as </w:t>
      </w:r>
      <w:r w:rsidR="00367B3E" w:rsidRPr="00B46754">
        <w:t xml:space="preserve">not to contradict the goals set by the Paris Agreement and the Green Deal </w:t>
      </w:r>
      <w:r w:rsidRPr="00B46754">
        <w:t>and efforts are needed to moderni</w:t>
      </w:r>
      <w:r w:rsidR="00574664" w:rsidRPr="00B46754">
        <w:t>s</w:t>
      </w:r>
      <w:r w:rsidRPr="00B46754">
        <w:t xml:space="preserve">e the WTO </w:t>
      </w:r>
      <w:r w:rsidR="00574664" w:rsidRPr="00B46754">
        <w:t xml:space="preserve">so that it </w:t>
      </w:r>
      <w:r w:rsidR="00DA42B9" w:rsidRPr="00B46754">
        <w:t>incorporat</w:t>
      </w:r>
      <w:r w:rsidR="00574664" w:rsidRPr="00B46754">
        <w:t>es</w:t>
      </w:r>
      <w:r w:rsidR="00DA42B9" w:rsidRPr="00B46754">
        <w:t xml:space="preserve"> environmental commitments </w:t>
      </w:r>
      <w:r w:rsidR="00574664" w:rsidRPr="00B46754">
        <w:t>in</w:t>
      </w:r>
      <w:r w:rsidR="00DA42B9" w:rsidRPr="00B46754">
        <w:t xml:space="preserve"> its multilateral trade agenda</w:t>
      </w:r>
      <w:r w:rsidR="00574664" w:rsidRPr="00B46754">
        <w:t>,</w:t>
      </w:r>
      <w:r w:rsidR="00DA42B9" w:rsidRPr="00B46754">
        <w:t xml:space="preserve"> and </w:t>
      </w:r>
      <w:r w:rsidRPr="00B46754">
        <w:t>to support trade and technology exchanges related to renewable energy.</w:t>
      </w:r>
    </w:p>
    <w:p w14:paraId="5C73E05C" w14:textId="77777777" w:rsidR="002575CD" w:rsidRPr="00B46754" w:rsidRDefault="002575CD" w:rsidP="002575CD"/>
    <w:p w14:paraId="6473110C" w14:textId="6E6908B2" w:rsidR="002575CD" w:rsidRPr="00B46754" w:rsidRDefault="002575CD" w:rsidP="002575CD">
      <w:r w:rsidRPr="00B46754">
        <w:t xml:space="preserve">All these issues are closely linked to the work of the External Relations Section. </w:t>
      </w:r>
      <w:r w:rsidR="00DA42B9" w:rsidRPr="00B46754">
        <w:t>Developing stable networks</w:t>
      </w:r>
      <w:r w:rsidRPr="00B46754">
        <w:t xml:space="preserve"> with civil society in third countries can be an important </w:t>
      </w:r>
      <w:r w:rsidR="003364A1" w:rsidRPr="00B46754">
        <w:t>tool</w:t>
      </w:r>
      <w:r w:rsidRPr="00B46754">
        <w:t xml:space="preserve"> </w:t>
      </w:r>
      <w:r w:rsidR="00754A69" w:rsidRPr="00B46754">
        <w:t>in</w:t>
      </w:r>
      <w:r w:rsidRPr="00B46754">
        <w:t xml:space="preserve"> promot</w:t>
      </w:r>
      <w:r w:rsidR="00754A69" w:rsidRPr="00B46754">
        <w:t>ing</w:t>
      </w:r>
      <w:r w:rsidRPr="00B46754">
        <w:t xml:space="preserve"> </w:t>
      </w:r>
      <w:r w:rsidR="00754A69" w:rsidRPr="00B46754">
        <w:t xml:space="preserve"> </w:t>
      </w:r>
      <w:r w:rsidRPr="00B46754">
        <w:t xml:space="preserve">EU climate and energy diplomacy </w:t>
      </w:r>
      <w:r w:rsidR="00754A69" w:rsidRPr="00B46754">
        <w:t>in support of</w:t>
      </w:r>
      <w:r w:rsidR="00DA42B9" w:rsidRPr="00B46754">
        <w:t xml:space="preserve"> a just transition; this aim</w:t>
      </w:r>
      <w:r w:rsidRPr="00B46754">
        <w:t xml:space="preserve"> </w:t>
      </w:r>
      <w:r w:rsidR="00754A69" w:rsidRPr="00B46754">
        <w:t>w</w:t>
      </w:r>
      <w:r w:rsidRPr="006D1A48">
        <w:t xml:space="preserve">as </w:t>
      </w:r>
      <w:r w:rsidR="00DA42B9" w:rsidRPr="00717417">
        <w:t>demonstrated</w:t>
      </w:r>
      <w:r w:rsidR="00344590" w:rsidRPr="00B46754">
        <w:t xml:space="preserve"> </w:t>
      </w:r>
      <w:r w:rsidRPr="00B46754">
        <w:t>during the meeting of the EU-Turkey Joint Consultative Committee and the Western Balkans Civil Society Forum</w:t>
      </w:r>
      <w:r w:rsidR="00DA42B9" w:rsidRPr="00B46754">
        <w:t xml:space="preserve"> in 2021</w:t>
      </w:r>
      <w:r w:rsidRPr="00B46754">
        <w:t>. The EESC conference on the Geopolitics of the Green Deal also showed the importance of civil society involvement in climate and energy diplomacy in order to preserve the competitiveness of the EU and not leave anyone behind.</w:t>
      </w:r>
    </w:p>
    <w:p w14:paraId="2D61DB38" w14:textId="77777777" w:rsidR="002575CD" w:rsidRPr="00B46754" w:rsidRDefault="002575CD" w:rsidP="002575CD"/>
    <w:p w14:paraId="1E23AF5D" w14:textId="2249AB08" w:rsidR="002575CD" w:rsidRPr="00B46754" w:rsidRDefault="002575CD" w:rsidP="002575CD">
      <w:r w:rsidRPr="00B46754">
        <w:t>The REX Section needs to follow these developments as they will also affect the implementation of major EU strategies such as the Global Gateway and the EU Strategy for the Indo-Pacific. The Sections will also participate in cross-section activities related to this topic.</w:t>
      </w:r>
    </w:p>
    <w:p w14:paraId="7E04B94A" w14:textId="146994C3" w:rsidR="002575CD" w:rsidRPr="00B46754" w:rsidRDefault="002575CD" w:rsidP="002575CD"/>
    <w:p w14:paraId="164544D2" w14:textId="6619F2F9" w:rsidR="002575CD" w:rsidRPr="00B46754" w:rsidRDefault="002575CD" w:rsidP="002575CD">
      <w:pPr>
        <w:rPr>
          <w:b/>
          <w:i/>
        </w:rPr>
      </w:pPr>
      <w:r w:rsidRPr="00B46754">
        <w:rPr>
          <w:b/>
          <w:i/>
        </w:rPr>
        <w:t xml:space="preserve">ACTIVITIES </w:t>
      </w:r>
      <w:r w:rsidR="00002EF6" w:rsidRPr="00B46754">
        <w:rPr>
          <w:b/>
          <w:i/>
        </w:rPr>
        <w:t>SCHEDULED FOR</w:t>
      </w:r>
      <w:r w:rsidRPr="00B46754">
        <w:rPr>
          <w:b/>
          <w:i/>
        </w:rPr>
        <w:t xml:space="preserve"> 2022:</w:t>
      </w:r>
    </w:p>
    <w:p w14:paraId="7A6DE65B" w14:textId="5171B900" w:rsidR="002575CD" w:rsidRPr="00B46754" w:rsidRDefault="002575CD" w:rsidP="002575CD">
      <w:r w:rsidRPr="00B46754">
        <w:t>•</w:t>
      </w:r>
      <w:r w:rsidRPr="00B46754">
        <w:tab/>
      </w:r>
      <w:r w:rsidR="00002EF6" w:rsidRPr="00B46754">
        <w:t xml:space="preserve">Drafting </w:t>
      </w:r>
      <w:r w:rsidRPr="00B46754">
        <w:t xml:space="preserve">and adoption of an opinion on </w:t>
      </w:r>
      <w:r w:rsidR="00002EF6" w:rsidRPr="00B46754">
        <w:t xml:space="preserve">the </w:t>
      </w:r>
      <w:r w:rsidRPr="00B46754">
        <w:t>geopolitical impact on energy transition</w:t>
      </w:r>
      <w:r w:rsidR="00002EF6" w:rsidRPr="00B46754">
        <w:t>;</w:t>
      </w:r>
    </w:p>
    <w:p w14:paraId="652B287E" w14:textId="12D32818" w:rsidR="002575CD" w:rsidRPr="00B46754" w:rsidRDefault="002575CD" w:rsidP="002575CD">
      <w:r w:rsidRPr="00B46754">
        <w:lastRenderedPageBreak/>
        <w:t>•</w:t>
      </w:r>
      <w:r w:rsidRPr="00B46754">
        <w:tab/>
        <w:t xml:space="preserve">Section meeting on </w:t>
      </w:r>
      <w:r w:rsidR="00002EF6" w:rsidRPr="00B46754">
        <w:t xml:space="preserve">the </w:t>
      </w:r>
      <w:r w:rsidRPr="00B46754">
        <w:t>energy transition</w:t>
      </w:r>
      <w:r w:rsidR="00002EF6" w:rsidRPr="00B46754">
        <w:t>;</w:t>
      </w:r>
    </w:p>
    <w:p w14:paraId="43BD584B" w14:textId="49B5D432" w:rsidR="002575CD" w:rsidRPr="00B46754" w:rsidRDefault="002575CD" w:rsidP="002575CD">
      <w:r w:rsidRPr="00B46754">
        <w:t>•</w:t>
      </w:r>
      <w:r w:rsidRPr="00B46754">
        <w:tab/>
      </w:r>
      <w:r w:rsidR="00002EF6" w:rsidRPr="00B46754">
        <w:t xml:space="preserve">Drafting </w:t>
      </w:r>
      <w:r w:rsidRPr="00B46754">
        <w:t xml:space="preserve">and adoption of an opinion on </w:t>
      </w:r>
      <w:r w:rsidR="00002EF6" w:rsidRPr="00B46754">
        <w:t xml:space="preserve">the </w:t>
      </w:r>
      <w:r w:rsidRPr="00B46754">
        <w:t>EU Global Gateway Strategy</w:t>
      </w:r>
      <w:r w:rsidR="00002EF6" w:rsidRPr="00B46754">
        <w:t>;</w:t>
      </w:r>
    </w:p>
    <w:p w14:paraId="51F10C03" w14:textId="3E8F1222" w:rsidR="002575CD" w:rsidRPr="00B46754" w:rsidRDefault="002575CD" w:rsidP="002575CD">
      <w:r w:rsidRPr="00B46754">
        <w:t>•</w:t>
      </w:r>
      <w:r w:rsidRPr="00B46754">
        <w:tab/>
        <w:t xml:space="preserve">Streamlining of subjects related to energy and climate diplomacy in the work of the REX </w:t>
      </w:r>
      <w:r w:rsidR="00095E5F" w:rsidRPr="00B46754">
        <w:tab/>
      </w:r>
      <w:r w:rsidRPr="00B46754">
        <w:t>bodies and EU DAGs</w:t>
      </w:r>
      <w:r w:rsidR="00002EF6" w:rsidRPr="00B46754">
        <w:t>;</w:t>
      </w:r>
    </w:p>
    <w:p w14:paraId="2766B5F8" w14:textId="11B77094" w:rsidR="002575CD" w:rsidRPr="00B46754" w:rsidRDefault="002575CD" w:rsidP="002575CD">
      <w:r w:rsidRPr="00B46754">
        <w:t>•</w:t>
      </w:r>
      <w:r w:rsidRPr="00B46754">
        <w:tab/>
        <w:t xml:space="preserve">Follow–up of issues related to energy and climate diplomacy in EU trade agreements and </w:t>
      </w:r>
      <w:r w:rsidR="003364A1" w:rsidRPr="00B46754">
        <w:t>at</w:t>
      </w:r>
      <w:r w:rsidR="00095E5F" w:rsidRPr="00B46754">
        <w:tab/>
      </w:r>
      <w:r w:rsidR="003364A1" w:rsidRPr="00B46754">
        <w:t xml:space="preserve">the </w:t>
      </w:r>
      <w:r w:rsidRPr="00B46754">
        <w:t>WTO</w:t>
      </w:r>
      <w:r w:rsidR="00002EF6" w:rsidRPr="00B46754">
        <w:t>;</w:t>
      </w:r>
    </w:p>
    <w:p w14:paraId="2A5FADA2" w14:textId="4566A985" w:rsidR="002575CD" w:rsidRPr="00B46754" w:rsidRDefault="002575CD" w:rsidP="00BE4EF8">
      <w:r w:rsidRPr="00B46754">
        <w:t>•</w:t>
      </w:r>
      <w:r w:rsidRPr="00B46754">
        <w:tab/>
        <w:t xml:space="preserve">Cooperation with international organisations </w:t>
      </w:r>
      <w:r w:rsidR="00002EF6" w:rsidRPr="00B46754">
        <w:t xml:space="preserve">on </w:t>
      </w:r>
      <w:r w:rsidRPr="00B46754">
        <w:t>climate and energy diplomacy</w:t>
      </w:r>
      <w:r w:rsidR="00002EF6" w:rsidRPr="00B46754">
        <w:t>.</w:t>
      </w:r>
    </w:p>
    <w:p w14:paraId="3394DEB8" w14:textId="77777777" w:rsidR="00C9245C" w:rsidRPr="00B46754" w:rsidRDefault="00C9245C" w:rsidP="00A650B1"/>
    <w:p w14:paraId="7130FB87" w14:textId="77777777" w:rsidR="0077731E" w:rsidRPr="00B46754" w:rsidRDefault="00B263B7" w:rsidP="00A650B1">
      <w:pPr>
        <w:rPr>
          <w:b/>
        </w:rPr>
      </w:pPr>
      <w:r w:rsidRPr="00B46754">
        <w:rPr>
          <w:b/>
        </w:rPr>
        <w:t>4</w:t>
      </w:r>
      <w:r w:rsidR="0077731E" w:rsidRPr="00B46754">
        <w:rPr>
          <w:b/>
        </w:rPr>
        <w:t xml:space="preserve">. </w:t>
      </w:r>
      <w:r w:rsidRPr="00B46754">
        <w:rPr>
          <w:b/>
        </w:rPr>
        <w:t xml:space="preserve">EMERGING ISSUES AND CRITICAL CAPACITY TO DEAL WITH NEW PRIORITIES </w:t>
      </w:r>
    </w:p>
    <w:p w14:paraId="7F2E5D34" w14:textId="77777777" w:rsidR="0077731E" w:rsidRPr="00B46754" w:rsidRDefault="0077731E" w:rsidP="00A650B1">
      <w:pPr>
        <w:rPr>
          <w:b/>
        </w:rPr>
      </w:pPr>
    </w:p>
    <w:p w14:paraId="30BA9B23" w14:textId="1D560383" w:rsidR="00283552" w:rsidRPr="00B46754" w:rsidRDefault="00B263B7" w:rsidP="00A650B1">
      <w:r w:rsidRPr="00B46754">
        <w:t xml:space="preserve">A number of emerging issues which deal with </w:t>
      </w:r>
      <w:r w:rsidR="001B6A3F" w:rsidRPr="00B46754">
        <w:t xml:space="preserve">the </w:t>
      </w:r>
      <w:r w:rsidRPr="00B46754">
        <w:t xml:space="preserve">geopolitical impact of EU internal policies such as migration and the European </w:t>
      </w:r>
      <w:r w:rsidR="00CE647F" w:rsidRPr="00B46754">
        <w:t>D</w:t>
      </w:r>
      <w:r w:rsidRPr="00B46754">
        <w:t xml:space="preserve">efence </w:t>
      </w:r>
      <w:r w:rsidR="00CE647F" w:rsidRPr="00B46754">
        <w:t>U</w:t>
      </w:r>
      <w:r w:rsidRPr="00B46754">
        <w:t xml:space="preserve">nion are acquiring additional importance </w:t>
      </w:r>
      <w:r w:rsidR="001B6A3F" w:rsidRPr="00B46754">
        <w:t>in</w:t>
      </w:r>
      <w:r w:rsidRPr="00B46754">
        <w:t xml:space="preserve"> the work of the Section, including in our relations with civil society in the framework of the REX bodies and </w:t>
      </w:r>
      <w:r w:rsidR="00283552" w:rsidRPr="00B46754">
        <w:t xml:space="preserve">in </w:t>
      </w:r>
      <w:r w:rsidR="001B6A3F" w:rsidRPr="00B46754">
        <w:t xml:space="preserve">the </w:t>
      </w:r>
      <w:r w:rsidR="00283552" w:rsidRPr="00B46754">
        <w:t>support</w:t>
      </w:r>
      <w:r w:rsidR="001B6A3F" w:rsidRPr="00B46754">
        <w:t xml:space="preserve"> we give to </w:t>
      </w:r>
      <w:r w:rsidR="00283552" w:rsidRPr="00B46754">
        <w:t xml:space="preserve">the work of domestic advisory groups. </w:t>
      </w:r>
    </w:p>
    <w:p w14:paraId="01DE6250" w14:textId="77777777" w:rsidR="00283552" w:rsidRPr="00B46754" w:rsidRDefault="00283552" w:rsidP="00A650B1"/>
    <w:p w14:paraId="4B6E4D4F" w14:textId="3511A238" w:rsidR="0077731E" w:rsidRPr="00B46754" w:rsidRDefault="00562E77" w:rsidP="00A650B1">
      <w:r w:rsidRPr="00B46754">
        <w:t>T</w:t>
      </w:r>
      <w:r w:rsidR="00283552" w:rsidRPr="00B46754">
        <w:t>he EU Indo-Pacific Strategy and the EU Global Gate Communication</w:t>
      </w:r>
      <w:r w:rsidRPr="00B46754">
        <w:t xml:space="preserve"> </w:t>
      </w:r>
      <w:r w:rsidR="00283552" w:rsidRPr="00B46754">
        <w:t xml:space="preserve"> also </w:t>
      </w:r>
      <w:r w:rsidRPr="00B46754">
        <w:t xml:space="preserve">mark </w:t>
      </w:r>
      <w:r w:rsidR="00283552" w:rsidRPr="00B46754">
        <w:t xml:space="preserve">a shift </w:t>
      </w:r>
      <w:r w:rsidRPr="00B46754">
        <w:t xml:space="preserve">in </w:t>
      </w:r>
      <w:r w:rsidR="00283552" w:rsidRPr="00B46754">
        <w:t xml:space="preserve">EU action </w:t>
      </w:r>
      <w:r w:rsidRPr="00B46754">
        <w:t xml:space="preserve">with regard to </w:t>
      </w:r>
      <w:r w:rsidR="00283552" w:rsidRPr="00B46754">
        <w:t xml:space="preserve">the Indo-Pacific and Central Asia. The REX Section has limited contacts with civil society in the region and there is a need for additional work on mapping and evaluating the </w:t>
      </w:r>
      <w:r w:rsidR="002575CD" w:rsidRPr="00B46754">
        <w:t>benefit</w:t>
      </w:r>
      <w:r w:rsidRPr="00B46754">
        <w:t>s</w:t>
      </w:r>
      <w:r w:rsidR="00283552" w:rsidRPr="00B46754">
        <w:t xml:space="preserve"> </w:t>
      </w:r>
      <w:r w:rsidRPr="00B46754">
        <w:t>of</w:t>
      </w:r>
      <w:r w:rsidR="00283552" w:rsidRPr="00B46754">
        <w:t xml:space="preserve"> engag</w:t>
      </w:r>
      <w:r w:rsidRPr="00B46754">
        <w:t>ing</w:t>
      </w:r>
      <w:r w:rsidR="00283552" w:rsidRPr="00B46754">
        <w:t xml:space="preserve"> </w:t>
      </w:r>
      <w:r w:rsidRPr="00B46754">
        <w:t xml:space="preserve">further </w:t>
      </w:r>
      <w:r w:rsidR="00283552" w:rsidRPr="00B46754">
        <w:t xml:space="preserve">with civil society in this part of the world. </w:t>
      </w:r>
    </w:p>
    <w:p w14:paraId="6198BD05" w14:textId="77777777" w:rsidR="00283552" w:rsidRPr="00B46754" w:rsidRDefault="00283552" w:rsidP="00A650B1"/>
    <w:p w14:paraId="3B985A2F" w14:textId="118F88B8" w:rsidR="00283552" w:rsidRPr="00B46754" w:rsidRDefault="00283552" w:rsidP="00A650B1">
      <w:r w:rsidRPr="00B46754">
        <w:t>The REX Section</w:t>
      </w:r>
      <w:r w:rsidR="00685226" w:rsidRPr="00B46754">
        <w:t>'s Secretariat will need more staff</w:t>
      </w:r>
      <w:r w:rsidRPr="00B46754">
        <w:t xml:space="preserve"> </w:t>
      </w:r>
      <w:r w:rsidR="00685226" w:rsidRPr="00B46754">
        <w:t xml:space="preserve"> if it is to deal effectively with </w:t>
      </w:r>
      <w:r w:rsidRPr="00B46754">
        <w:t xml:space="preserve"> emerging issues and </w:t>
      </w:r>
      <w:r w:rsidR="00685226" w:rsidRPr="00B46754">
        <w:t>address</w:t>
      </w:r>
      <w:r w:rsidR="0007557D" w:rsidRPr="00B46754">
        <w:t xml:space="preserve"> </w:t>
      </w:r>
      <w:r w:rsidR="003364A1" w:rsidRPr="00B46754">
        <w:t xml:space="preserve"> </w:t>
      </w:r>
      <w:r w:rsidRPr="00B46754">
        <w:t>new priorities that m</w:t>
      </w:r>
      <w:r w:rsidR="0007557D" w:rsidRPr="00B46754">
        <w:t>ay</w:t>
      </w:r>
      <w:r w:rsidRPr="00B46754">
        <w:t xml:space="preserve"> arise during the year, including possible crisis situations in priority regions. The development of the work on emerging issues and on new priorities will be subject to the Section</w:t>
      </w:r>
      <w:r w:rsidR="0007557D" w:rsidRPr="00B46754">
        <w:t>'s ability</w:t>
      </w:r>
      <w:r w:rsidRPr="00B46754">
        <w:t xml:space="preserve"> to deal with them. </w:t>
      </w:r>
    </w:p>
    <w:p w14:paraId="5EC89018" w14:textId="77777777" w:rsidR="006B7BB1" w:rsidRPr="00B46754" w:rsidRDefault="002575CD" w:rsidP="002575CD">
      <w:r w:rsidRPr="00B46754" w:rsidDel="00BC2634">
        <w:rPr>
          <w:b/>
        </w:rPr>
        <w:t xml:space="preserve"> </w:t>
      </w:r>
    </w:p>
    <w:p w14:paraId="4F4CCC73" w14:textId="77777777" w:rsidR="006B7BB1" w:rsidRPr="00B46754" w:rsidRDefault="00BE4EF8" w:rsidP="00A650B1">
      <w:pPr>
        <w:rPr>
          <w:b/>
        </w:rPr>
      </w:pPr>
      <w:r w:rsidRPr="00B46754">
        <w:rPr>
          <w:b/>
        </w:rPr>
        <w:t>4</w:t>
      </w:r>
      <w:r w:rsidR="00BC2634" w:rsidRPr="00B46754">
        <w:rPr>
          <w:b/>
        </w:rPr>
        <w:t>.</w:t>
      </w:r>
      <w:r w:rsidRPr="00B46754">
        <w:rPr>
          <w:b/>
        </w:rPr>
        <w:t>1</w:t>
      </w:r>
      <w:r w:rsidR="00BC2634" w:rsidRPr="00B46754">
        <w:rPr>
          <w:b/>
        </w:rPr>
        <w:t xml:space="preserve">. </w:t>
      </w:r>
      <w:r w:rsidR="006B7BB1" w:rsidRPr="00B46754">
        <w:rPr>
          <w:b/>
        </w:rPr>
        <w:t xml:space="preserve">Implementation of CFSP </w:t>
      </w:r>
      <w:r w:rsidR="00BC2634" w:rsidRPr="00B46754">
        <w:rPr>
          <w:b/>
        </w:rPr>
        <w:t xml:space="preserve">and European defence </w:t>
      </w:r>
    </w:p>
    <w:p w14:paraId="504C288D" w14:textId="77777777" w:rsidR="00380677" w:rsidRPr="00B46754" w:rsidRDefault="00380677" w:rsidP="00A650B1"/>
    <w:p w14:paraId="14BC7BB9" w14:textId="2E8876D2" w:rsidR="00380677" w:rsidRPr="00B46754" w:rsidRDefault="00380677" w:rsidP="00A650B1">
      <w:r w:rsidRPr="00B46754">
        <w:t xml:space="preserve">Since </w:t>
      </w:r>
      <w:r w:rsidR="003364A1" w:rsidRPr="00B46754">
        <w:t xml:space="preserve">the publication of the EU’s Global Strategy in </w:t>
      </w:r>
      <w:r w:rsidRPr="00B46754">
        <w:t xml:space="preserve">2016, Member States </w:t>
      </w:r>
      <w:r w:rsidR="003D436D" w:rsidRPr="00B46754">
        <w:t>steppe</w:t>
      </w:r>
      <w:r w:rsidRPr="00B46754">
        <w:t>d</w:t>
      </w:r>
      <w:r w:rsidR="003D436D" w:rsidRPr="00B46754">
        <w:t xml:space="preserve"> up</w:t>
      </w:r>
      <w:r w:rsidRPr="00B46754">
        <w:t xml:space="preserve"> their defence cooperation through initiatives </w:t>
      </w:r>
      <w:r w:rsidR="003D436D" w:rsidRPr="00B46754">
        <w:t xml:space="preserve">such </w:t>
      </w:r>
      <w:r w:rsidRPr="00B46754">
        <w:t>as the Permanent Structured Cooperation (PESCO), the Coordinated Annual Review on Defence (CARD) and the European Defence Fund (EDF).</w:t>
      </w:r>
    </w:p>
    <w:p w14:paraId="1DE31B29" w14:textId="77777777" w:rsidR="00380677" w:rsidRPr="00B46754" w:rsidRDefault="00380677" w:rsidP="00A650B1"/>
    <w:p w14:paraId="0739970C" w14:textId="17DA2704" w:rsidR="00940422" w:rsidRPr="00B46754" w:rsidRDefault="00380677" w:rsidP="00380677">
      <w:r w:rsidRPr="00B46754">
        <w:t>Despite these major</w:t>
      </w:r>
      <w:r w:rsidR="00D76490" w:rsidRPr="00B46754">
        <w:t xml:space="preserve"> steps forward</w:t>
      </w:r>
      <w:r w:rsidRPr="00B46754">
        <w:t xml:space="preserve">, the EU and its </w:t>
      </w:r>
      <w:r w:rsidR="00D76490" w:rsidRPr="00B46754">
        <w:t>M</w:t>
      </w:r>
      <w:r w:rsidRPr="00B46754">
        <w:t xml:space="preserve">ember </w:t>
      </w:r>
      <w:r w:rsidR="00D76490" w:rsidRPr="00B46754">
        <w:t>S</w:t>
      </w:r>
      <w:r w:rsidR="003364A1" w:rsidRPr="00B46754">
        <w:t xml:space="preserve">tates </w:t>
      </w:r>
      <w:r w:rsidR="00D76490" w:rsidRPr="00B46754">
        <w:t xml:space="preserve">urgently need to work on </w:t>
      </w:r>
      <w:r w:rsidRPr="00B46754">
        <w:t>develop</w:t>
      </w:r>
      <w:r w:rsidR="00D76490" w:rsidRPr="00B46754">
        <w:t>ing</w:t>
      </w:r>
      <w:r w:rsidRPr="00B46754">
        <w:t xml:space="preserve"> the </w:t>
      </w:r>
      <w:r w:rsidR="00D76490" w:rsidRPr="00B46754">
        <w:t xml:space="preserve">required </w:t>
      </w:r>
      <w:r w:rsidRPr="00B46754">
        <w:t xml:space="preserve">capabilities to act as a union, </w:t>
      </w:r>
      <w:r w:rsidR="00D76490" w:rsidRPr="00B46754">
        <w:t xml:space="preserve">so that the EU </w:t>
      </w:r>
      <w:r w:rsidRPr="00B46754">
        <w:t>assum</w:t>
      </w:r>
      <w:r w:rsidR="00D76490" w:rsidRPr="00B46754">
        <w:t>es</w:t>
      </w:r>
      <w:r w:rsidRPr="00B46754">
        <w:t xml:space="preserve"> its responsibility as a global player and a reliable partner for democracy, the rule of law and a free multilateral world order.</w:t>
      </w:r>
      <w:r w:rsidR="003364A1" w:rsidRPr="00B46754">
        <w:t xml:space="preserve"> </w:t>
      </w:r>
      <w:r w:rsidR="006440BE" w:rsidRPr="00B46754">
        <w:t xml:space="preserve">A </w:t>
      </w:r>
      <w:r w:rsidRPr="00B46754">
        <w:t xml:space="preserve">new perspective </w:t>
      </w:r>
      <w:r w:rsidR="00D76490" w:rsidRPr="00B46754">
        <w:t xml:space="preserve">is needed </w:t>
      </w:r>
      <w:r w:rsidRPr="00B46754">
        <w:t xml:space="preserve">for European defence cooperation and </w:t>
      </w:r>
      <w:r w:rsidR="00D76490" w:rsidRPr="00B46754">
        <w:t xml:space="preserve">it </w:t>
      </w:r>
      <w:r w:rsidRPr="00B46754">
        <w:t>will be provided through the upcoming Strategic Compass.</w:t>
      </w:r>
    </w:p>
    <w:p w14:paraId="47644C99" w14:textId="77777777" w:rsidR="00380677" w:rsidRPr="00B46754" w:rsidRDefault="00380677" w:rsidP="00A650B1"/>
    <w:p w14:paraId="6DDB6DFC" w14:textId="6141620C" w:rsidR="00380677" w:rsidRPr="00B46754" w:rsidRDefault="00940422" w:rsidP="00A650B1">
      <w:r w:rsidRPr="00B46754">
        <w:t>In this respect</w:t>
      </w:r>
      <w:r w:rsidR="00282DDB" w:rsidRPr="00B46754">
        <w:t>,</w:t>
      </w:r>
      <w:r w:rsidRPr="00B46754">
        <w:t xml:space="preserve"> it is i</w:t>
      </w:r>
      <w:r w:rsidR="00B2313E" w:rsidRPr="00B46754">
        <w:t>mportant that civil society also plays a role in the EU's CFSP</w:t>
      </w:r>
      <w:r w:rsidR="00F27923" w:rsidRPr="00B46754">
        <w:t>.</w:t>
      </w:r>
      <w:r w:rsidR="00B2313E" w:rsidRPr="00B46754">
        <w:t xml:space="preserve"> </w:t>
      </w:r>
      <w:r w:rsidR="00F27923" w:rsidRPr="00B46754">
        <w:t>W</w:t>
      </w:r>
      <w:r w:rsidR="002A07A4" w:rsidRPr="00B46754">
        <w:t xml:space="preserve">e need to </w:t>
      </w:r>
      <w:r w:rsidR="00B2313E" w:rsidRPr="00B46754">
        <w:t>establish a formal cooperation between the EESC and the EEAS to carry out an evaluation from the civil society point of view of the CFSP.</w:t>
      </w:r>
      <w:r w:rsidR="00BC2634" w:rsidRPr="00B46754">
        <w:t xml:space="preserve"> The REX Section will organise </w:t>
      </w:r>
      <w:r w:rsidR="00F27923" w:rsidRPr="00B46754">
        <w:t xml:space="preserve">a </w:t>
      </w:r>
      <w:r w:rsidR="00BC2634" w:rsidRPr="00B46754">
        <w:t>Section meeting on foresight in external relations</w:t>
      </w:r>
      <w:r w:rsidR="00282DDB" w:rsidRPr="00B46754">
        <w:t>,</w:t>
      </w:r>
      <w:r w:rsidR="00BC2634" w:rsidRPr="00B46754">
        <w:t xml:space="preserve"> which will discuss the need of EU open strategic capacity for the future of Europe. The Section </w:t>
      </w:r>
      <w:r w:rsidR="002A07A4" w:rsidRPr="00B46754">
        <w:t>is also supporting the organisation of</w:t>
      </w:r>
      <w:r w:rsidR="00BC2634" w:rsidRPr="00B46754">
        <w:t xml:space="preserve"> a high-level dialogue with VP HR Borrell on the EU Strategic Compass.</w:t>
      </w:r>
    </w:p>
    <w:p w14:paraId="161745AD" w14:textId="77777777" w:rsidR="00BC2634" w:rsidRPr="00B46754" w:rsidRDefault="00BC2634" w:rsidP="00A650B1"/>
    <w:p w14:paraId="15D8AB55" w14:textId="292939B1" w:rsidR="00BC2634" w:rsidRPr="00B46754" w:rsidRDefault="00BC2634" w:rsidP="003A5374">
      <w:r w:rsidRPr="00B46754">
        <w:t xml:space="preserve">European foreign and security policy </w:t>
      </w:r>
      <w:r w:rsidR="00A128B2" w:rsidRPr="00B46754">
        <w:t>and defence is also strongly linked to cooperation with partners</w:t>
      </w:r>
      <w:r w:rsidR="00F27923" w:rsidRPr="00B46754">
        <w:t xml:space="preserve">, </w:t>
      </w:r>
      <w:r w:rsidR="00A128B2" w:rsidRPr="00B46754">
        <w:t>to developing the EU</w:t>
      </w:r>
      <w:r w:rsidR="00F27923" w:rsidRPr="00B46754">
        <w:t>'s</w:t>
      </w:r>
      <w:r w:rsidR="00A128B2" w:rsidRPr="00B46754">
        <w:t xml:space="preserve"> capacity to cooperate with like-minded partners and </w:t>
      </w:r>
      <w:r w:rsidR="002A07A4" w:rsidRPr="00B46754">
        <w:t xml:space="preserve">to </w:t>
      </w:r>
      <w:r w:rsidR="00127232" w:rsidRPr="00B46754">
        <w:t>improv</w:t>
      </w:r>
      <w:r w:rsidR="00F27923" w:rsidRPr="00B46754">
        <w:t>ing</w:t>
      </w:r>
      <w:r w:rsidR="00127232" w:rsidRPr="00B46754">
        <w:t xml:space="preserve"> the EU </w:t>
      </w:r>
      <w:r w:rsidR="002575CD" w:rsidRPr="00B46754">
        <w:lastRenderedPageBreak/>
        <w:t xml:space="preserve">strategic capacity. Therefore, in this context, the </w:t>
      </w:r>
      <w:r w:rsidR="00127232" w:rsidRPr="00B46754">
        <w:t>Section will also give priority to the organisation of civil society activit</w:t>
      </w:r>
      <w:r w:rsidR="002575CD" w:rsidRPr="00B46754">
        <w:t>ies</w:t>
      </w:r>
      <w:r w:rsidR="00127232" w:rsidRPr="00B46754">
        <w:t xml:space="preserve"> related to the</w:t>
      </w:r>
      <w:r w:rsidR="002575CD" w:rsidRPr="00B46754">
        <w:t xml:space="preserve"> US Summit for Democracy and </w:t>
      </w:r>
      <w:r w:rsidR="00127232" w:rsidRPr="00B46754">
        <w:t xml:space="preserve">to </w:t>
      </w:r>
      <w:r w:rsidR="002575CD" w:rsidRPr="00B46754">
        <w:t xml:space="preserve">the </w:t>
      </w:r>
      <w:r w:rsidR="003A5374" w:rsidRPr="00B46754">
        <w:t>drafting</w:t>
      </w:r>
      <w:r w:rsidR="002575CD" w:rsidRPr="00B46754">
        <w:t xml:space="preserve"> and adoption of an</w:t>
      </w:r>
      <w:r w:rsidR="00127232" w:rsidRPr="00B46754">
        <w:t xml:space="preserve"> opinion on the EU</w:t>
      </w:r>
      <w:r w:rsidR="003A5374" w:rsidRPr="00B46754">
        <w:t>'s</w:t>
      </w:r>
      <w:r w:rsidR="00127232" w:rsidRPr="00B46754">
        <w:t xml:space="preserve"> capacity to act in case of extreme </w:t>
      </w:r>
      <w:r w:rsidR="002575CD" w:rsidRPr="00B46754">
        <w:t>events outside of its territory,</w:t>
      </w:r>
      <w:r w:rsidR="00127232" w:rsidRPr="00B46754">
        <w:t xml:space="preserve"> </w:t>
      </w:r>
      <w:r w:rsidR="003A5374" w:rsidRPr="00B46754">
        <w:t xml:space="preserve">as requested </w:t>
      </w:r>
      <w:r w:rsidR="00127232" w:rsidRPr="00B46754">
        <w:t xml:space="preserve">by the French Presidency of the Council. </w:t>
      </w:r>
      <w:r w:rsidR="006440BE" w:rsidRPr="00B46754">
        <w:t>The REX Section will also closely follow issues related to hybrid threats for the EU that can destabilise our societies such as d</w:t>
      </w:r>
      <w:r w:rsidR="003A5374" w:rsidRPr="00B46754">
        <w:t>i</w:t>
      </w:r>
      <w:r w:rsidR="006440BE" w:rsidRPr="00B46754">
        <w:t>sinformation, cyber-attacks</w:t>
      </w:r>
      <w:r w:rsidR="003A5374" w:rsidRPr="00B46754">
        <w:t xml:space="preserve"> and</w:t>
      </w:r>
      <w:r w:rsidR="006440BE" w:rsidRPr="00B46754">
        <w:t xml:space="preserve"> economic pressure. The REX Section will cooperate closely with the EESC </w:t>
      </w:r>
      <w:r w:rsidR="00A04715" w:rsidRPr="00B46754">
        <w:t>Consultative</w:t>
      </w:r>
      <w:r w:rsidR="006440BE" w:rsidRPr="00B46754">
        <w:t xml:space="preserve"> Commission for industrial change (CCMI) and the EESC Section </w:t>
      </w:r>
      <w:r w:rsidR="00A04715" w:rsidRPr="00B46754">
        <w:t xml:space="preserve">for Single Market, Production and consumption (INT) </w:t>
      </w:r>
      <w:r w:rsidR="003A5374" w:rsidRPr="00B46754">
        <w:t>on any activities related to defence.</w:t>
      </w:r>
    </w:p>
    <w:p w14:paraId="3431992C" w14:textId="77777777" w:rsidR="00127232" w:rsidRPr="00B46754" w:rsidRDefault="00127232" w:rsidP="00A650B1"/>
    <w:p w14:paraId="6DCDF6C9" w14:textId="77777777" w:rsidR="00127232" w:rsidRPr="00B46754" w:rsidRDefault="00CD7101" w:rsidP="00A650B1">
      <w:pPr>
        <w:rPr>
          <w:b/>
        </w:rPr>
      </w:pPr>
      <w:r w:rsidRPr="00B46754">
        <w:rPr>
          <w:b/>
        </w:rPr>
        <w:t>4.</w:t>
      </w:r>
      <w:r w:rsidR="00BE4EF8" w:rsidRPr="00B46754">
        <w:rPr>
          <w:b/>
        </w:rPr>
        <w:t>2</w:t>
      </w:r>
      <w:r w:rsidRPr="00B46754">
        <w:rPr>
          <w:b/>
        </w:rPr>
        <w:t xml:space="preserve">. External aspects of migration </w:t>
      </w:r>
    </w:p>
    <w:p w14:paraId="11817A01" w14:textId="77777777" w:rsidR="00CD7101" w:rsidRPr="00B46754" w:rsidRDefault="00CD7101" w:rsidP="00A650B1"/>
    <w:p w14:paraId="2F322AF1" w14:textId="10BB8084" w:rsidR="000C1774" w:rsidRPr="00B46754" w:rsidRDefault="00CD7101" w:rsidP="00CD7101">
      <w:r w:rsidRPr="00B46754">
        <w:t>The external aspects of migration are becoming increasingly important. The French Presidency of the Council is aiming  to work on  updated mobility framework that takes into account the issue of migration, combining reflection</w:t>
      </w:r>
      <w:r w:rsidR="000C1774" w:rsidRPr="00B46754">
        <w:t xml:space="preserve"> </w:t>
      </w:r>
      <w:r w:rsidRPr="00B46754">
        <w:t>on legal migratory channels and</w:t>
      </w:r>
      <w:r w:rsidR="00A04715" w:rsidRPr="00B46754">
        <w:t xml:space="preserve"> appropriately managing migration that is not covered by international, national or EU legislation</w:t>
      </w:r>
      <w:r w:rsidRPr="00B46754">
        <w:t xml:space="preserve">. This approach requires increased cooperation with third countries. The crisis with Belarus, in which we have seen the emergence of </w:t>
      </w:r>
      <w:r w:rsidR="00751746" w:rsidRPr="00B46754">
        <w:t xml:space="preserve">a </w:t>
      </w:r>
      <w:r w:rsidRPr="00B46754">
        <w:t xml:space="preserve">new hybrid threat with the state-sponsored </w:t>
      </w:r>
      <w:r w:rsidR="00751746" w:rsidRPr="00B46754">
        <w:t xml:space="preserve">exploitation </w:t>
      </w:r>
      <w:r w:rsidRPr="00B46754">
        <w:t>of people for political ends</w:t>
      </w:r>
      <w:r w:rsidR="000C1774" w:rsidRPr="00B46754">
        <w:t>, is an example o</w:t>
      </w:r>
      <w:r w:rsidR="00751746" w:rsidRPr="00B46754">
        <w:t>f</w:t>
      </w:r>
      <w:r w:rsidR="000C1774" w:rsidRPr="00B46754">
        <w:t xml:space="preserve"> the external threat that migration </w:t>
      </w:r>
      <w:r w:rsidR="00751746" w:rsidRPr="00B46754">
        <w:t>poses to</w:t>
      </w:r>
      <w:r w:rsidR="000C1774" w:rsidRPr="00B46754">
        <w:t xml:space="preserve"> European security and stability</w:t>
      </w:r>
      <w:r w:rsidRPr="00B46754">
        <w:t xml:space="preserve">. Such practices </w:t>
      </w:r>
      <w:r w:rsidR="000C1774" w:rsidRPr="00B46754">
        <w:t xml:space="preserve">by third countries can also endanger </w:t>
      </w:r>
      <w:r w:rsidRPr="00B46754">
        <w:t xml:space="preserve">EU and universal values. </w:t>
      </w:r>
      <w:r w:rsidR="002575CD" w:rsidRPr="00B46754">
        <w:t xml:space="preserve">Natural disasters in third countries, water scarcity and </w:t>
      </w:r>
      <w:r w:rsidR="00CC6C4F" w:rsidRPr="00B46754">
        <w:t>climate change</w:t>
      </w:r>
      <w:r w:rsidR="00751746" w:rsidRPr="00B46754">
        <w:t>-</w:t>
      </w:r>
      <w:r w:rsidR="00CC6C4F" w:rsidRPr="00B46754">
        <w:t xml:space="preserve">related migration will also present </w:t>
      </w:r>
      <w:r w:rsidR="00B87A42" w:rsidRPr="00B46754">
        <w:t xml:space="preserve">an growing </w:t>
      </w:r>
      <w:r w:rsidR="00CC6C4F" w:rsidRPr="00B46754">
        <w:t>challenge for the EU in the coming years.</w:t>
      </w:r>
    </w:p>
    <w:p w14:paraId="32A62A55" w14:textId="77777777" w:rsidR="000C1774" w:rsidRPr="00B46754" w:rsidRDefault="000C1774" w:rsidP="00CD7101"/>
    <w:p w14:paraId="2BB2BCFF" w14:textId="6F30A09D" w:rsidR="00CD7101" w:rsidRPr="00B46754" w:rsidRDefault="00CD7101" w:rsidP="00CD7101">
      <w:r w:rsidRPr="00B46754">
        <w:t xml:space="preserve">The REX Section will continue to work with the </w:t>
      </w:r>
      <w:r w:rsidR="00A04715" w:rsidRPr="00B46754">
        <w:t xml:space="preserve">EESC </w:t>
      </w:r>
      <w:r w:rsidRPr="00B46754">
        <w:t xml:space="preserve">Section </w:t>
      </w:r>
      <w:r w:rsidR="00A04715" w:rsidRPr="00B46754">
        <w:t>for Employment, Social affairs and Citizenship</w:t>
      </w:r>
      <w:r w:rsidR="002A07A4" w:rsidRPr="00B46754">
        <w:t xml:space="preserve"> (SOC)</w:t>
      </w:r>
      <w:r w:rsidR="00A04715" w:rsidRPr="00B46754">
        <w:t xml:space="preserve"> </w:t>
      </w:r>
      <w:r w:rsidRPr="00B46754">
        <w:t xml:space="preserve">to assess how civil society and REX bodies can </w:t>
      </w:r>
      <w:r w:rsidR="00D7476E" w:rsidRPr="00B46754">
        <w:t xml:space="preserve">help </w:t>
      </w:r>
      <w:r w:rsidRPr="00B46754">
        <w:t>strengthen the external dimension of the EU’s asylum and migration policy and improv</w:t>
      </w:r>
      <w:r w:rsidR="00D7476E" w:rsidRPr="00B46754">
        <w:t>e</w:t>
      </w:r>
      <w:r w:rsidRPr="00B46754">
        <w:t xml:space="preserve"> cooperation with third countries in the field of migration.</w:t>
      </w:r>
    </w:p>
    <w:p w14:paraId="03094C5F" w14:textId="77777777" w:rsidR="00CD7101" w:rsidRPr="00B46754" w:rsidRDefault="00CD7101" w:rsidP="00CD7101"/>
    <w:p w14:paraId="65574C2C" w14:textId="72B62EBD" w:rsidR="00CD7101" w:rsidRPr="00B46754" w:rsidRDefault="00CD7101" w:rsidP="00CD7101">
      <w:r w:rsidRPr="00B46754">
        <w:t xml:space="preserve">The Section will follow possible new EU initiatives, such as action plans, partnerships, dialogues, strategies or roadmaps on migration with third partners. The Section will give priority to the </w:t>
      </w:r>
      <w:r w:rsidR="000F734D" w:rsidRPr="00B46754">
        <w:t xml:space="preserve">drafting </w:t>
      </w:r>
      <w:r w:rsidRPr="00B46754">
        <w:t xml:space="preserve">of </w:t>
      </w:r>
      <w:r w:rsidR="000F734D" w:rsidRPr="00B46754">
        <w:t xml:space="preserve">an </w:t>
      </w:r>
      <w:r w:rsidRPr="00B46754">
        <w:t xml:space="preserve">opinion on Responding to state-sponsored instrumentalisation of migrants at the EU external border and will organise a high-level conference with the European Commission on external aspects of migration. </w:t>
      </w:r>
    </w:p>
    <w:p w14:paraId="61121564" w14:textId="77777777" w:rsidR="00B2313E" w:rsidRPr="00B46754" w:rsidRDefault="00B2313E" w:rsidP="00A650B1">
      <w:pPr>
        <w:rPr>
          <w:b/>
          <w:i/>
        </w:rPr>
      </w:pPr>
    </w:p>
    <w:p w14:paraId="0DCB7C44" w14:textId="77777777" w:rsidR="00CD7101" w:rsidRPr="00B46754" w:rsidRDefault="00B2313E" w:rsidP="00BE4EF8">
      <w:r w:rsidRPr="00B46754">
        <w:rPr>
          <w:b/>
          <w:i/>
        </w:rPr>
        <w:tab/>
      </w:r>
    </w:p>
    <w:p w14:paraId="526AF57F" w14:textId="7F11EFF5" w:rsidR="00454E0D" w:rsidRPr="00B46754" w:rsidRDefault="00D05837" w:rsidP="00F42988">
      <w:pPr>
        <w:rPr>
          <w:b/>
        </w:rPr>
      </w:pPr>
      <w:r w:rsidRPr="00B46754">
        <w:rPr>
          <w:b/>
        </w:rPr>
        <w:t>4.</w:t>
      </w:r>
      <w:r w:rsidR="00BE4EF8" w:rsidRPr="00B46754">
        <w:rPr>
          <w:b/>
        </w:rPr>
        <w:t>3</w:t>
      </w:r>
      <w:r w:rsidRPr="00B46754">
        <w:rPr>
          <w:b/>
        </w:rPr>
        <w:t>. Mapping of civil society structures in South-East and Central Asia and possible added value for increased cooperation with civil society</w:t>
      </w:r>
    </w:p>
    <w:p w14:paraId="6C58FD33" w14:textId="77777777" w:rsidR="00B263B7" w:rsidRPr="00B46754" w:rsidRDefault="00B263B7" w:rsidP="00B263B7"/>
    <w:p w14:paraId="2CF6753B" w14:textId="582BD697" w:rsidR="00B263B7" w:rsidRPr="00B46754" w:rsidRDefault="00B263B7" w:rsidP="00B263B7">
      <w:r w:rsidRPr="00B46754">
        <w:t>The EU Strategy for cooperation in the Indo-Pacific was adopted on 16</w:t>
      </w:r>
      <w:r w:rsidR="00730BF1" w:rsidRPr="00B46754">
        <w:t> </w:t>
      </w:r>
      <w:r w:rsidRPr="00B46754">
        <w:t xml:space="preserve">September 2021. It sets </w:t>
      </w:r>
      <w:r w:rsidR="00730BF1" w:rsidRPr="00B46754">
        <w:t xml:space="preserve">out </w:t>
      </w:r>
      <w:r w:rsidRPr="00B46754">
        <w:t>the EU</w:t>
      </w:r>
      <w:r w:rsidR="00730BF1" w:rsidRPr="00B46754">
        <w:t>'s</w:t>
      </w:r>
      <w:r w:rsidRPr="00B46754">
        <w:t xml:space="preserve"> vision for the whole region</w:t>
      </w:r>
      <w:r w:rsidR="00A04715" w:rsidRPr="00B46754">
        <w:t xml:space="preserve">. </w:t>
      </w:r>
    </w:p>
    <w:p w14:paraId="05FC1AE6" w14:textId="77777777" w:rsidR="00B263B7" w:rsidRPr="00B46754" w:rsidRDefault="00B263B7" w:rsidP="00B263B7"/>
    <w:p w14:paraId="75C0F113" w14:textId="015C27F2" w:rsidR="002A07A4" w:rsidRPr="00B46754" w:rsidRDefault="00B263B7" w:rsidP="00B263B7">
      <w:r w:rsidRPr="00B46754">
        <w:t>The EU Strategy on the Indo-Pacific is an invitation to stakeholders from the EU and the region to address common challenges</w:t>
      </w:r>
      <w:r w:rsidR="00BC3D38" w:rsidRPr="00B46754">
        <w:t xml:space="preserve"> together</w:t>
      </w:r>
      <w:r w:rsidR="002A07A4" w:rsidRPr="00B46754">
        <w:t>. The REX Bureau has decided to</w:t>
      </w:r>
      <w:r w:rsidRPr="00B46754">
        <w:t xml:space="preserve"> establish a</w:t>
      </w:r>
      <w:r w:rsidR="00282DDB" w:rsidRPr="00B46754">
        <w:t>n ad hoc</w:t>
      </w:r>
      <w:r w:rsidRPr="00B46754">
        <w:t xml:space="preserve"> </w:t>
      </w:r>
      <w:r w:rsidR="00282DDB" w:rsidRPr="00B46754">
        <w:t>taskforce</w:t>
      </w:r>
      <w:r w:rsidRPr="00B46754">
        <w:t xml:space="preserve"> of three EESC Members responsible for the Pacific in the framework of the ACP Committee. However, the EESC does not have </w:t>
      </w:r>
      <w:r w:rsidR="00282DDB" w:rsidRPr="00B46754">
        <w:t xml:space="preserve">a </w:t>
      </w:r>
      <w:r w:rsidRPr="00B46754">
        <w:t xml:space="preserve">specific body covering the strategic importance of South-East Asia, including relations with the Association of Southeast Asian Nations (ASEAN), which is </w:t>
      </w:r>
      <w:r w:rsidR="00354A5E" w:rsidRPr="00B46754">
        <w:t xml:space="preserve">a </w:t>
      </w:r>
      <w:r w:rsidRPr="00B46754">
        <w:t>strategic partner of the EU in the region.</w:t>
      </w:r>
    </w:p>
    <w:p w14:paraId="4FFC1B3A" w14:textId="77777777" w:rsidR="002A07A4" w:rsidRPr="00B46754" w:rsidRDefault="002A07A4" w:rsidP="00B263B7"/>
    <w:p w14:paraId="33A0A174" w14:textId="7181C159" w:rsidR="00B263B7" w:rsidRPr="00B46754" w:rsidRDefault="002A07A4" w:rsidP="00B263B7">
      <w:r w:rsidRPr="00B46754">
        <w:lastRenderedPageBreak/>
        <w:t xml:space="preserve">The EESC is following developments in some countries through its participation in Domestic Advisory Groups </w:t>
      </w:r>
      <w:r w:rsidR="00A22DB1" w:rsidRPr="00B46754">
        <w:t xml:space="preserve">(DAGs) </w:t>
      </w:r>
      <w:r w:rsidR="000C73C0" w:rsidRPr="00B46754">
        <w:t>in EU trade agreements with Japan, Korea, Singapore and Vietnam. The EESC is also working with China in the framework of the EU-China Round Table.</w:t>
      </w:r>
    </w:p>
    <w:p w14:paraId="345EA5F3" w14:textId="77777777" w:rsidR="00B263B7" w:rsidRPr="00B46754" w:rsidRDefault="00B263B7" w:rsidP="00B263B7"/>
    <w:p w14:paraId="51B45D00" w14:textId="650D9D4D" w:rsidR="00B263B7" w:rsidRPr="00B46754" w:rsidRDefault="00D05837" w:rsidP="00B263B7">
      <w:r w:rsidRPr="00B46754">
        <w:t>Equally, t</w:t>
      </w:r>
      <w:r w:rsidR="00B263B7" w:rsidRPr="00B46754">
        <w:t xml:space="preserve">here are no specific EESC bodies following relations with Central Asia. This is problematic </w:t>
      </w:r>
      <w:r w:rsidR="006149FB" w:rsidRPr="00B46754">
        <w:t xml:space="preserve">given the </w:t>
      </w:r>
      <w:r w:rsidR="00B263B7" w:rsidRPr="00B46754">
        <w:t>EU</w:t>
      </w:r>
      <w:r w:rsidR="006149FB" w:rsidRPr="00B46754">
        <w:t>'s current</w:t>
      </w:r>
      <w:r w:rsidR="00B263B7" w:rsidRPr="00B46754">
        <w:t xml:space="preserve"> priorities as the region is one of the key factors in the EU Global Gateway Strategy and the Council Conclusions on "Water in diplomacy". The region is equally key </w:t>
      </w:r>
      <w:r w:rsidR="006149FB" w:rsidRPr="00B46754">
        <w:t xml:space="preserve">due to </w:t>
      </w:r>
      <w:r w:rsidR="00B263B7" w:rsidRPr="00B46754">
        <w:t xml:space="preserve"> a</w:t>
      </w:r>
      <w:r w:rsidR="006149FB" w:rsidRPr="00B46754">
        <w:t xml:space="preserve"> closer</w:t>
      </w:r>
      <w:r w:rsidR="00B263B7" w:rsidRPr="00B46754">
        <w:t xml:space="preserve"> synergy between water, energy and climate diplomacy. As this is the case for South Asian region, there is an urgent need </w:t>
      </w:r>
      <w:r w:rsidR="006149FB" w:rsidRPr="00B46754">
        <w:t>to</w:t>
      </w:r>
      <w:r w:rsidR="00B263B7" w:rsidRPr="00B46754">
        <w:t xml:space="preserve"> map the civil society in the Central Asia region and </w:t>
      </w:r>
      <w:r w:rsidR="006149FB" w:rsidRPr="00B46754">
        <w:t xml:space="preserve">to </w:t>
      </w:r>
      <w:r w:rsidR="00B263B7" w:rsidRPr="00B46754">
        <w:t>assess how it could be involved in common activities related to the implementation of the Global Gateway strategy and other activities related to energy, climate and water diplomacy.</w:t>
      </w:r>
    </w:p>
    <w:p w14:paraId="0F60A0E5" w14:textId="77777777" w:rsidR="00B263B7" w:rsidRPr="00B46754" w:rsidRDefault="00B263B7" w:rsidP="00B263B7">
      <w:r w:rsidRPr="00B46754">
        <w:t xml:space="preserve"> </w:t>
      </w:r>
    </w:p>
    <w:p w14:paraId="09092725" w14:textId="32D19118" w:rsidR="00E93695" w:rsidRPr="00B46754" w:rsidRDefault="00D05837">
      <w:r w:rsidRPr="00B46754">
        <w:t xml:space="preserve">There is a need to </w:t>
      </w:r>
      <w:r w:rsidR="00043CD1" w:rsidRPr="00B46754">
        <w:t>begin</w:t>
      </w:r>
      <w:r w:rsidRPr="00B46754">
        <w:t xml:space="preserve"> a strategic reflection on the EESC</w:t>
      </w:r>
      <w:r w:rsidR="00043CD1" w:rsidRPr="00B46754">
        <w:t>'s</w:t>
      </w:r>
      <w:r w:rsidRPr="00B46754">
        <w:t xml:space="preserve"> engagement in the Indo-Pacific and Central Asia region</w:t>
      </w:r>
      <w:r w:rsidR="00043CD1" w:rsidRPr="00B46754">
        <w:t>s</w:t>
      </w:r>
      <w:r w:rsidRPr="00B46754">
        <w:t xml:space="preserve"> </w:t>
      </w:r>
      <w:r w:rsidR="001A369E" w:rsidRPr="00B46754">
        <w:t xml:space="preserve">in full compliance with </w:t>
      </w:r>
      <w:r w:rsidR="00043CD1" w:rsidRPr="00B46754">
        <w:t xml:space="preserve">the </w:t>
      </w:r>
      <w:r w:rsidR="001A369E" w:rsidRPr="00B46754">
        <w:t>EESC Bureau paper</w:t>
      </w:r>
      <w:r w:rsidR="00043CD1" w:rsidRPr="00B46754">
        <w:t xml:space="preserve"> of</w:t>
      </w:r>
      <w:r w:rsidR="001A369E" w:rsidRPr="00B46754">
        <w:t xml:space="preserve"> </w:t>
      </w:r>
      <w:r w:rsidR="00043CD1" w:rsidRPr="00B46754">
        <w:t xml:space="preserve">28 April 2020 </w:t>
      </w:r>
      <w:r w:rsidR="001A369E" w:rsidRPr="00B46754">
        <w:t xml:space="preserve">on future structures. This exercise </w:t>
      </w:r>
      <w:r w:rsidRPr="00B46754">
        <w:t xml:space="preserve">should be accompanied </w:t>
      </w:r>
      <w:r w:rsidR="00D42C6C" w:rsidRPr="00B46754">
        <w:t>by</w:t>
      </w:r>
      <w:r w:rsidRPr="00B46754">
        <w:t xml:space="preserve"> </w:t>
      </w:r>
      <w:r w:rsidR="00043CD1" w:rsidRPr="00B46754">
        <w:t xml:space="preserve">a </w:t>
      </w:r>
      <w:r w:rsidR="001A369E" w:rsidRPr="00B46754">
        <w:t xml:space="preserve">mapping of the civil society structures in this region. </w:t>
      </w:r>
      <w:r w:rsidR="00CE647F" w:rsidRPr="00B46754">
        <w:t xml:space="preserve">In particular, it might be useful to reflect </w:t>
      </w:r>
      <w:r w:rsidR="00043CD1" w:rsidRPr="00B46754">
        <w:t xml:space="preserve">on whether </w:t>
      </w:r>
      <w:r w:rsidR="00CE647F" w:rsidRPr="00B46754">
        <w:t xml:space="preserve"> the Russia Follow-up Committee and the Japan Follow-up Committee can </w:t>
      </w:r>
      <w:r w:rsidR="00043CD1" w:rsidRPr="00B46754">
        <w:t xml:space="preserve">widen </w:t>
      </w:r>
      <w:r w:rsidR="00CE647F" w:rsidRPr="00B46754">
        <w:t xml:space="preserve"> their mandate to cover Central Asia and </w:t>
      </w:r>
      <w:r w:rsidR="00043CD1" w:rsidRPr="00B46754">
        <w:t xml:space="preserve">the </w:t>
      </w:r>
      <w:r w:rsidR="00CE647F" w:rsidRPr="00B46754">
        <w:t>Indo-Pacific respectively.</w:t>
      </w:r>
    </w:p>
    <w:p w14:paraId="3F2F6187" w14:textId="77777777" w:rsidR="00BE4EF8" w:rsidRPr="00B46754" w:rsidRDefault="00BE4EF8"/>
    <w:p w14:paraId="17BD3C88" w14:textId="77777777" w:rsidR="00BE4EF8" w:rsidRPr="00B46754" w:rsidRDefault="00BE4EF8">
      <w:pPr>
        <w:rPr>
          <w:b/>
        </w:rPr>
      </w:pPr>
      <w:r w:rsidRPr="00B46754">
        <w:rPr>
          <w:b/>
        </w:rPr>
        <w:t>4.4. Cooperation with International organisations</w:t>
      </w:r>
    </w:p>
    <w:p w14:paraId="51C7E1A1" w14:textId="77777777" w:rsidR="00BE4EF8" w:rsidRPr="00B46754" w:rsidRDefault="00BE4EF8">
      <w:pPr>
        <w:rPr>
          <w:b/>
        </w:rPr>
      </w:pPr>
    </w:p>
    <w:p w14:paraId="0714963D" w14:textId="7E4E28B6" w:rsidR="000C73C0" w:rsidRPr="00B46754" w:rsidRDefault="00BE4EF8">
      <w:r w:rsidRPr="00B46754">
        <w:t xml:space="preserve">The Section </w:t>
      </w:r>
      <w:r w:rsidR="00C7230F" w:rsidRPr="00B46754">
        <w:t xml:space="preserve">will work </w:t>
      </w:r>
      <w:r w:rsidR="00AF7323" w:rsidRPr="00B46754">
        <w:t>to</w:t>
      </w:r>
      <w:r w:rsidR="00E86489" w:rsidRPr="00B46754">
        <w:t xml:space="preserve"> maintain and strengthen its cooperation with</w:t>
      </w:r>
      <w:r w:rsidR="00C7230F" w:rsidRPr="00B46754">
        <w:t xml:space="preserve"> </w:t>
      </w:r>
      <w:r w:rsidR="00AF7323" w:rsidRPr="00B46754">
        <w:t xml:space="preserve">a number of </w:t>
      </w:r>
      <w:r w:rsidR="00C7230F" w:rsidRPr="00B46754">
        <w:t xml:space="preserve">international organisations </w:t>
      </w:r>
      <w:r w:rsidR="00AF7323" w:rsidRPr="00B46754">
        <w:t xml:space="preserve">on priority files and will follow the work of these organisations which include: </w:t>
      </w:r>
      <w:r w:rsidR="00E86489" w:rsidRPr="00B46754">
        <w:t>the World Trade Organisation (</w:t>
      </w:r>
      <w:r w:rsidR="00C7230F" w:rsidRPr="00B46754">
        <w:t>WTO</w:t>
      </w:r>
      <w:r w:rsidR="00E86489" w:rsidRPr="00B46754">
        <w:t>)</w:t>
      </w:r>
      <w:r w:rsidR="00C7230F" w:rsidRPr="00B46754">
        <w:t xml:space="preserve">, </w:t>
      </w:r>
      <w:r w:rsidR="00DC42DD" w:rsidRPr="00B46754">
        <w:t>the International Labour Organisation (ILO</w:t>
      </w:r>
      <w:r w:rsidR="007222D9" w:rsidRPr="00B46754">
        <w:t>)</w:t>
      </w:r>
      <w:r w:rsidR="00DC42DD" w:rsidRPr="00B46754">
        <w:t xml:space="preserve">, </w:t>
      </w:r>
      <w:r w:rsidR="009E5AA0" w:rsidRPr="00B46754">
        <w:t xml:space="preserve">the </w:t>
      </w:r>
      <w:r w:rsidR="00E86489" w:rsidRPr="00B46754">
        <w:t xml:space="preserve">Food and Agriculture </w:t>
      </w:r>
      <w:r w:rsidR="00AF7323" w:rsidRPr="00B46754">
        <w:t>O</w:t>
      </w:r>
      <w:r w:rsidR="00E86489" w:rsidRPr="00B46754">
        <w:t>rganisation of the United Nations (</w:t>
      </w:r>
      <w:r w:rsidR="00C7230F" w:rsidRPr="00B46754">
        <w:t>FAO</w:t>
      </w:r>
      <w:r w:rsidR="00E86489" w:rsidRPr="00B46754">
        <w:t>)</w:t>
      </w:r>
      <w:r w:rsidR="00C7230F" w:rsidRPr="00B46754">
        <w:t>,</w:t>
      </w:r>
      <w:r w:rsidR="009E5AA0" w:rsidRPr="00B46754">
        <w:t xml:space="preserve"> </w:t>
      </w:r>
      <w:r w:rsidR="00D42C6C" w:rsidRPr="00B46754">
        <w:t xml:space="preserve">the UN Environment Programme World Conservation Monitoring Centre (UNEP-WCMC), </w:t>
      </w:r>
      <w:r w:rsidR="009E5AA0" w:rsidRPr="00B46754">
        <w:t>the</w:t>
      </w:r>
      <w:r w:rsidR="00C7230F" w:rsidRPr="00B46754">
        <w:t xml:space="preserve"> </w:t>
      </w:r>
      <w:r w:rsidR="00E86489" w:rsidRPr="00B46754">
        <w:t>UN</w:t>
      </w:r>
      <w:r w:rsidR="00AF7323" w:rsidRPr="00B46754">
        <w:t>s</w:t>
      </w:r>
      <w:r w:rsidR="00E86489" w:rsidRPr="00B46754">
        <w:t xml:space="preserve"> Conference </w:t>
      </w:r>
      <w:r w:rsidR="007222D9" w:rsidRPr="00B46754">
        <w:t>on</w:t>
      </w:r>
      <w:r w:rsidR="00E86489" w:rsidRPr="00B46754">
        <w:t xml:space="preserve"> </w:t>
      </w:r>
      <w:r w:rsidR="007222D9" w:rsidRPr="00B46754">
        <w:t>T</w:t>
      </w:r>
      <w:r w:rsidR="00E86489" w:rsidRPr="00B46754">
        <w:t xml:space="preserve">rade and </w:t>
      </w:r>
      <w:r w:rsidR="007222D9" w:rsidRPr="00B46754">
        <w:t>D</w:t>
      </w:r>
      <w:r w:rsidR="00E86489" w:rsidRPr="00B46754">
        <w:t>evelopment (</w:t>
      </w:r>
      <w:r w:rsidR="00C7230F" w:rsidRPr="00B46754">
        <w:t>UNCTAD</w:t>
      </w:r>
      <w:r w:rsidR="00E86489" w:rsidRPr="00B46754">
        <w:t>)</w:t>
      </w:r>
      <w:r w:rsidR="00AF7323" w:rsidRPr="00B46754">
        <w:t xml:space="preserve"> and</w:t>
      </w:r>
      <w:r w:rsidR="00C7230F" w:rsidRPr="00B46754">
        <w:t xml:space="preserve"> </w:t>
      </w:r>
      <w:r w:rsidR="009E5AA0" w:rsidRPr="00B46754">
        <w:t xml:space="preserve">the </w:t>
      </w:r>
      <w:r w:rsidR="00C7230F" w:rsidRPr="00B46754">
        <w:t>O</w:t>
      </w:r>
      <w:r w:rsidR="00E86489" w:rsidRPr="00B46754">
        <w:t>ECD</w:t>
      </w:r>
      <w:r w:rsidR="00C7230F" w:rsidRPr="00B46754">
        <w:t>.</w:t>
      </w:r>
    </w:p>
    <w:p w14:paraId="1CE81BAE" w14:textId="77777777" w:rsidR="000C73C0" w:rsidRPr="00B46754" w:rsidRDefault="000C73C0"/>
    <w:p w14:paraId="7C27CE7A" w14:textId="11971294" w:rsidR="00BE4EF8" w:rsidRPr="00B46754" w:rsidRDefault="00A04715">
      <w:r w:rsidRPr="00B46754">
        <w:t xml:space="preserve">The REX Section should also strengthen its cooperation with </w:t>
      </w:r>
      <w:r w:rsidR="000C73C0" w:rsidRPr="00B46754">
        <w:t>think tanks</w:t>
      </w:r>
      <w:r w:rsidRPr="00B46754">
        <w:t xml:space="preserve"> and institutes for international relations and foresight at EU and national level, in order to </w:t>
      </w:r>
      <w:r w:rsidR="00C21FEA" w:rsidRPr="00B46754">
        <w:t xml:space="preserve">gather fact based and statistical information that can be useful </w:t>
      </w:r>
      <w:r w:rsidR="00847301" w:rsidRPr="00B46754">
        <w:t xml:space="preserve">for the purpose of drafting  </w:t>
      </w:r>
      <w:r w:rsidR="00C21FEA" w:rsidRPr="00B46754">
        <w:t>opinions, mapping civil society in third countries and planning new activities.</w:t>
      </w:r>
    </w:p>
    <w:sectPr w:rsidR="00BE4EF8" w:rsidRPr="00B46754" w:rsidSect="00D13C92">
      <w:footerReference w:type="default" r:id="rId13"/>
      <w:footnotePr>
        <w:numRestart w:val="eachSect"/>
      </w:foot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D3D57" w14:textId="77777777" w:rsidR="00E602FB" w:rsidRDefault="00E602FB" w:rsidP="002F242E">
      <w:pPr>
        <w:spacing w:line="240" w:lineRule="auto"/>
      </w:pPr>
      <w:r>
        <w:separator/>
      </w:r>
    </w:p>
  </w:endnote>
  <w:endnote w:type="continuationSeparator" w:id="0">
    <w:p w14:paraId="4B8B6440" w14:textId="77777777" w:rsidR="00E602FB" w:rsidRDefault="00E602FB" w:rsidP="002F242E">
      <w:pPr>
        <w:spacing w:line="240" w:lineRule="auto"/>
      </w:pPr>
      <w:r>
        <w:continuationSeparator/>
      </w:r>
    </w:p>
  </w:endnote>
  <w:endnote w:type="continuationNotice" w:id="1">
    <w:p w14:paraId="1C00B801" w14:textId="77777777" w:rsidR="00E602FB" w:rsidRDefault="00E60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395B" w14:textId="2CD3BE65" w:rsidR="00E602FB" w:rsidRPr="00E60C67" w:rsidRDefault="002878DB" w:rsidP="00E60C67">
    <w:pPr>
      <w:pStyle w:val="Footer"/>
    </w:pPr>
    <w:r>
      <w:t xml:space="preserve">REX - </w:t>
    </w:r>
    <w:r w:rsidRPr="002878DB">
      <w:t xml:space="preserve">EESC-2022-00458-00-00-TCD-EDI </w:t>
    </w:r>
    <w:r w:rsidR="00E602FB">
      <w:t xml:space="preserve">(EN) </w:t>
    </w:r>
    <w:r w:rsidR="00E602FB">
      <w:fldChar w:fldCharType="begin"/>
    </w:r>
    <w:r w:rsidR="00E602FB">
      <w:instrText xml:space="preserve"> PAGE  \* Arabic  \* MERGEFORMAT </w:instrText>
    </w:r>
    <w:r w:rsidR="00E602FB">
      <w:fldChar w:fldCharType="separate"/>
    </w:r>
    <w:r w:rsidR="007C1852">
      <w:rPr>
        <w:noProof/>
      </w:rPr>
      <w:t>5</w:t>
    </w:r>
    <w:r w:rsidR="00E602FB">
      <w:fldChar w:fldCharType="end"/>
    </w:r>
    <w:r w:rsidR="00E602FB">
      <w:t>/</w:t>
    </w:r>
    <w:r w:rsidR="00E602FB">
      <w:fldChar w:fldCharType="begin"/>
    </w:r>
    <w:r w:rsidR="00E602FB">
      <w:instrText xml:space="preserve"> NUMPAGES </w:instrText>
    </w:r>
    <w:r w:rsidR="00E602FB">
      <w:fldChar w:fldCharType="separate"/>
    </w:r>
    <w:r w:rsidR="007C1852">
      <w:rPr>
        <w:noProof/>
      </w:rPr>
      <w:t>9</w:t>
    </w:r>
    <w:r w:rsidR="00E602F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8CDD0" w14:textId="77777777" w:rsidR="00E602FB" w:rsidRDefault="00E602FB" w:rsidP="002F242E">
      <w:pPr>
        <w:spacing w:line="240" w:lineRule="auto"/>
      </w:pPr>
      <w:r>
        <w:separator/>
      </w:r>
    </w:p>
  </w:footnote>
  <w:footnote w:type="continuationSeparator" w:id="0">
    <w:p w14:paraId="132CB54D" w14:textId="77777777" w:rsidR="00E602FB" w:rsidRDefault="00E602FB" w:rsidP="002F242E">
      <w:pPr>
        <w:spacing w:line="240" w:lineRule="auto"/>
      </w:pPr>
      <w:r>
        <w:continuationSeparator/>
      </w:r>
    </w:p>
  </w:footnote>
  <w:footnote w:type="continuationNotice" w:id="1">
    <w:p w14:paraId="2A55C9AE" w14:textId="77777777" w:rsidR="00E602FB" w:rsidRDefault="00E602FB">
      <w:pPr>
        <w:spacing w:line="240" w:lineRule="auto"/>
      </w:pPr>
    </w:p>
  </w:footnote>
  <w:footnote w:id="2">
    <w:p w14:paraId="02FC1DCC" w14:textId="6955FD36" w:rsidR="00E602FB" w:rsidRPr="00D13C92" w:rsidRDefault="00E602FB">
      <w:pPr>
        <w:pStyle w:val="FootnoteText"/>
        <w:rPr>
          <w:lang w:val="hr-HR"/>
        </w:rPr>
      </w:pPr>
      <w:r>
        <w:rPr>
          <w:rStyle w:val="FootnoteReference"/>
        </w:rPr>
        <w:footnoteRef/>
      </w:r>
      <w:r>
        <w:t xml:space="preserve"> </w:t>
      </w:r>
      <w:r>
        <w:tab/>
      </w:r>
      <w:r w:rsidRPr="00D53674">
        <w:t>Th</w:t>
      </w:r>
      <w:r w:rsidR="00CF4016">
        <w:t>e</w:t>
      </w:r>
      <w:r w:rsidRPr="00D53674">
        <w:t xml:space="preserve"> </w:t>
      </w:r>
      <w:r w:rsidR="00CF4016">
        <w:t xml:space="preserve"> name used here</w:t>
      </w:r>
      <w:r w:rsidRPr="00D53674">
        <w:t xml:space="preserve"> is without prejudice to positions on status, and is in line with UNSC 1244 and the ICJ Opinion on the Kosovo Declaration of Independence</w:t>
      </w:r>
      <w:r w:rsidR="00CF401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58E8466"/>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402819"/>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 w15:restartNumberingAfterBreak="0">
    <w:nsid w:val="0A6213FD"/>
    <w:multiLevelType w:val="hybridMultilevel"/>
    <w:tmpl w:val="303E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5FD0"/>
    <w:multiLevelType w:val="hybridMultilevel"/>
    <w:tmpl w:val="D2B280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DF65483"/>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5" w15:restartNumberingAfterBreak="0">
    <w:nsid w:val="0EC26DFA"/>
    <w:multiLevelType w:val="singleLevel"/>
    <w:tmpl w:val="19A8B73E"/>
    <w:lvl w:ilvl="0">
      <w:start w:val="1"/>
      <w:numFmt w:val="bullet"/>
      <w:lvlText w:val=""/>
      <w:lvlJc w:val="left"/>
      <w:pPr>
        <w:ind w:left="720" w:hanging="360"/>
      </w:pPr>
      <w:rPr>
        <w:rFonts w:ascii="Symbol" w:hAnsi="Symbol" w:hint="default"/>
      </w:rPr>
    </w:lvl>
  </w:abstractNum>
  <w:abstractNum w:abstractNumId="6" w15:restartNumberingAfterBreak="0">
    <w:nsid w:val="0EF759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7" w15:restartNumberingAfterBreak="0">
    <w:nsid w:val="0F834475"/>
    <w:multiLevelType w:val="singleLevel"/>
    <w:tmpl w:val="020617F2"/>
    <w:lvl w:ilvl="0">
      <w:start w:val="1"/>
      <w:numFmt w:val="lowerRoman"/>
      <w:lvlText w:val="%1."/>
      <w:lvlJc w:val="left"/>
      <w:pPr>
        <w:ind w:left="720" w:hanging="360"/>
      </w:pPr>
    </w:lvl>
  </w:abstractNum>
  <w:abstractNum w:abstractNumId="8" w15:restartNumberingAfterBreak="0">
    <w:nsid w:val="12697E91"/>
    <w:multiLevelType w:val="hybridMultilevel"/>
    <w:tmpl w:val="4DC60B5E"/>
    <w:lvl w:ilvl="0" w:tplc="6B12EF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90D61"/>
    <w:multiLevelType w:val="multilevel"/>
    <w:tmpl w:val="E5DE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7681A53"/>
    <w:multiLevelType w:val="hybridMultilevel"/>
    <w:tmpl w:val="3BFC9460"/>
    <w:lvl w:ilvl="0" w:tplc="D2A24C12">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510B9C"/>
    <w:multiLevelType w:val="hybridMultilevel"/>
    <w:tmpl w:val="F25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45E68"/>
    <w:multiLevelType w:val="hybridMultilevel"/>
    <w:tmpl w:val="B144EF20"/>
    <w:lvl w:ilvl="0" w:tplc="04090001">
      <w:start w:val="1"/>
      <w:numFmt w:val="bullet"/>
      <w:lvlText w:val=""/>
      <w:lvlJc w:val="left"/>
      <w:pPr>
        <w:ind w:left="720" w:hanging="360"/>
      </w:pPr>
      <w:rPr>
        <w:rFonts w:ascii="Symbol" w:hAnsi="Symbol" w:hint="default"/>
      </w:rPr>
    </w:lvl>
    <w:lvl w:ilvl="1" w:tplc="348E8DDC">
      <w:numFmt w:val="bullet"/>
      <w:lvlText w:val="–"/>
      <w:lvlJc w:val="left"/>
      <w:pPr>
        <w:ind w:left="1800" w:hanging="720"/>
      </w:pPr>
      <w:rPr>
        <w:rFonts w:ascii="Times New Roman" w:eastAsia="Times New Roman" w:hAnsi="Times New Roman" w:cs="Times New Roman" w:hint="default"/>
      </w:rPr>
    </w:lvl>
    <w:lvl w:ilvl="2" w:tplc="28F6CB5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95A3D"/>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A346D79"/>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1C801263"/>
    <w:multiLevelType w:val="hybridMultilevel"/>
    <w:tmpl w:val="AE3A74B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1ED869F5"/>
    <w:multiLevelType w:val="hybridMultilevel"/>
    <w:tmpl w:val="3F40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3230A"/>
    <w:multiLevelType w:val="hybridMultilevel"/>
    <w:tmpl w:val="FEA6F172"/>
    <w:lvl w:ilvl="0" w:tplc="D2A24C12">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0371B88"/>
    <w:multiLevelType w:val="hybridMultilevel"/>
    <w:tmpl w:val="CF0EEA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0411212"/>
    <w:multiLevelType w:val="hybridMultilevel"/>
    <w:tmpl w:val="DC38E480"/>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05F20E7"/>
    <w:multiLevelType w:val="hybridMultilevel"/>
    <w:tmpl w:val="F9641042"/>
    <w:lvl w:ilvl="0" w:tplc="BEE4E3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08A74AC"/>
    <w:multiLevelType w:val="hybridMultilevel"/>
    <w:tmpl w:val="73501FC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63150E7"/>
    <w:multiLevelType w:val="hybridMultilevel"/>
    <w:tmpl w:val="99A83498"/>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B4F2D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4" w15:restartNumberingAfterBreak="0">
    <w:nsid w:val="2FEB08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3016764"/>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4E576F3"/>
    <w:multiLevelType w:val="hybridMultilevel"/>
    <w:tmpl w:val="65CE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632584F"/>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38537829"/>
    <w:multiLevelType w:val="hybridMultilevel"/>
    <w:tmpl w:val="1E76EA76"/>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3C363690"/>
    <w:multiLevelType w:val="hybridMultilevel"/>
    <w:tmpl w:val="C60A29B8"/>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3C932221"/>
    <w:multiLevelType w:val="hybridMultilevel"/>
    <w:tmpl w:val="02688976"/>
    <w:lvl w:ilvl="0" w:tplc="138A1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3A00CA"/>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2" w15:restartNumberingAfterBreak="0">
    <w:nsid w:val="4B665731"/>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3" w15:restartNumberingAfterBreak="0">
    <w:nsid w:val="4DFF7505"/>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4" w15:restartNumberingAfterBreak="0">
    <w:nsid w:val="4F884D18"/>
    <w:multiLevelType w:val="singleLevel"/>
    <w:tmpl w:val="19A8B73E"/>
    <w:lvl w:ilvl="0">
      <w:start w:val="1"/>
      <w:numFmt w:val="bullet"/>
      <w:lvlText w:val=""/>
      <w:lvlJc w:val="left"/>
      <w:pPr>
        <w:ind w:left="720" w:hanging="360"/>
      </w:pPr>
      <w:rPr>
        <w:rFonts w:ascii="Symbol" w:hAnsi="Symbol" w:hint="default"/>
      </w:rPr>
    </w:lvl>
  </w:abstractNum>
  <w:abstractNum w:abstractNumId="35" w15:restartNumberingAfterBreak="0">
    <w:nsid w:val="51A456B1"/>
    <w:multiLevelType w:val="hybridMultilevel"/>
    <w:tmpl w:val="01D0CC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D87FF5"/>
    <w:multiLevelType w:val="hybridMultilevel"/>
    <w:tmpl w:val="0B8A28B2"/>
    <w:lvl w:ilvl="0" w:tplc="080C000F">
      <w:start w:val="1"/>
      <w:numFmt w:val="decimal"/>
      <w:lvlText w:val="%1."/>
      <w:lvlJc w:val="left"/>
      <w:pPr>
        <w:ind w:left="1429" w:hanging="360"/>
      </w:pPr>
    </w:lvl>
    <w:lvl w:ilvl="1" w:tplc="080C0019">
      <w:start w:val="1"/>
      <w:numFmt w:val="lowerLetter"/>
      <w:lvlText w:val="%2."/>
      <w:lvlJc w:val="left"/>
      <w:pPr>
        <w:ind w:left="2149" w:hanging="360"/>
      </w:pPr>
    </w:lvl>
    <w:lvl w:ilvl="2" w:tplc="080C001B">
      <w:start w:val="1"/>
      <w:numFmt w:val="lowerRoman"/>
      <w:lvlText w:val="%3."/>
      <w:lvlJc w:val="right"/>
      <w:pPr>
        <w:ind w:left="2869" w:hanging="180"/>
      </w:pPr>
    </w:lvl>
    <w:lvl w:ilvl="3" w:tplc="080C000F">
      <w:start w:val="1"/>
      <w:numFmt w:val="decimal"/>
      <w:lvlText w:val="%4."/>
      <w:lvlJc w:val="left"/>
      <w:pPr>
        <w:ind w:left="3589" w:hanging="360"/>
      </w:pPr>
    </w:lvl>
    <w:lvl w:ilvl="4" w:tplc="080C0019">
      <w:start w:val="1"/>
      <w:numFmt w:val="lowerLetter"/>
      <w:lvlText w:val="%5."/>
      <w:lvlJc w:val="left"/>
      <w:pPr>
        <w:ind w:left="4309" w:hanging="360"/>
      </w:pPr>
    </w:lvl>
    <w:lvl w:ilvl="5" w:tplc="080C001B">
      <w:start w:val="1"/>
      <w:numFmt w:val="lowerRoman"/>
      <w:lvlText w:val="%6."/>
      <w:lvlJc w:val="right"/>
      <w:pPr>
        <w:ind w:left="5029" w:hanging="180"/>
      </w:pPr>
    </w:lvl>
    <w:lvl w:ilvl="6" w:tplc="080C000F">
      <w:start w:val="1"/>
      <w:numFmt w:val="decimal"/>
      <w:lvlText w:val="%7."/>
      <w:lvlJc w:val="left"/>
      <w:pPr>
        <w:ind w:left="5749" w:hanging="360"/>
      </w:pPr>
    </w:lvl>
    <w:lvl w:ilvl="7" w:tplc="080C0019">
      <w:start w:val="1"/>
      <w:numFmt w:val="lowerLetter"/>
      <w:lvlText w:val="%8."/>
      <w:lvlJc w:val="left"/>
      <w:pPr>
        <w:ind w:left="6469" w:hanging="360"/>
      </w:pPr>
    </w:lvl>
    <w:lvl w:ilvl="8" w:tplc="080C001B">
      <w:start w:val="1"/>
      <w:numFmt w:val="lowerRoman"/>
      <w:lvlText w:val="%9."/>
      <w:lvlJc w:val="right"/>
      <w:pPr>
        <w:ind w:left="7189" w:hanging="180"/>
      </w:pPr>
    </w:lvl>
  </w:abstractNum>
  <w:abstractNum w:abstractNumId="37" w15:restartNumberingAfterBreak="0">
    <w:nsid w:val="53482C3A"/>
    <w:multiLevelType w:val="hybridMultilevel"/>
    <w:tmpl w:val="C6424E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53B877F2"/>
    <w:multiLevelType w:val="hybridMultilevel"/>
    <w:tmpl w:val="9BEC12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15:restartNumberingAfterBreak="0">
    <w:nsid w:val="557E7C0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40" w15:restartNumberingAfterBreak="0">
    <w:nsid w:val="58D355F8"/>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41" w15:restartNumberingAfterBreak="0">
    <w:nsid w:val="60125B07"/>
    <w:multiLevelType w:val="hybridMultilevel"/>
    <w:tmpl w:val="ED9E6B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691E71D7"/>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69733585"/>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6E447CDF"/>
    <w:multiLevelType w:val="hybridMultilevel"/>
    <w:tmpl w:val="5900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470CE9"/>
    <w:multiLevelType w:val="singleLevel"/>
    <w:tmpl w:val="F426ECC2"/>
    <w:lvl w:ilvl="0">
      <w:start w:val="1"/>
      <w:numFmt w:val="bullet"/>
      <w:lvlText w:val="-"/>
      <w:lvlJc w:val="left"/>
      <w:pPr>
        <w:tabs>
          <w:tab w:val="num" w:pos="142"/>
        </w:tabs>
        <w:ind w:left="511" w:hanging="369"/>
      </w:pPr>
      <w:rPr>
        <w:rFonts w:ascii="Symbol" w:hAnsi="Symbol" w:hint="default"/>
        <w:b w:val="0"/>
        <w:i w:val="0"/>
        <w:sz w:val="22"/>
      </w:rPr>
    </w:lvl>
  </w:abstractNum>
  <w:abstractNum w:abstractNumId="46" w15:restartNumberingAfterBreak="0">
    <w:nsid w:val="734D20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43B4B0D"/>
    <w:multiLevelType w:val="hybridMultilevel"/>
    <w:tmpl w:val="072C8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4A386A"/>
    <w:multiLevelType w:val="hybridMultilevel"/>
    <w:tmpl w:val="FE28F7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76FD2773"/>
    <w:multiLevelType w:val="hybridMultilevel"/>
    <w:tmpl w:val="4F20D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7AA1573F"/>
    <w:multiLevelType w:val="hybridMultilevel"/>
    <w:tmpl w:val="BCC0B636"/>
    <w:lvl w:ilvl="0" w:tplc="D2A24C12">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7D9E6527"/>
    <w:multiLevelType w:val="hybridMultilevel"/>
    <w:tmpl w:val="F188A75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2" w15:restartNumberingAfterBreak="0">
    <w:nsid w:val="7E3B01BF"/>
    <w:multiLevelType w:val="hybridMultilevel"/>
    <w:tmpl w:val="3A08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FBA553F"/>
    <w:multiLevelType w:val="hybridMultilevel"/>
    <w:tmpl w:val="15441962"/>
    <w:lvl w:ilvl="0" w:tplc="28F6CB54">
      <w:numFmt w:val="bullet"/>
      <w:lvlText w:val="•"/>
      <w:lvlJc w:val="left"/>
      <w:pPr>
        <w:ind w:left="25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lvlOverride w:ilvl="0">
      <w:startOverride w:val="1"/>
    </w:lvlOverride>
  </w:num>
  <w:num w:numId="4">
    <w:abstractNumId w:val="5"/>
  </w:num>
  <w:num w:numId="5">
    <w:abstractNumId w:val="34"/>
  </w:num>
  <w:num w:numId="6">
    <w:abstractNumId w:val="1"/>
  </w:num>
  <w:num w:numId="7">
    <w:abstractNumId w:val="39"/>
  </w:num>
  <w:num w:numId="8">
    <w:abstractNumId w:val="45"/>
  </w:num>
  <w:num w:numId="9">
    <w:abstractNumId w:val="33"/>
  </w:num>
  <w:num w:numId="10">
    <w:abstractNumId w:val="40"/>
  </w:num>
  <w:num w:numId="11">
    <w:abstractNumId w:val="23"/>
  </w:num>
  <w:num w:numId="12">
    <w:abstractNumId w:val="32"/>
  </w:num>
  <w:num w:numId="13">
    <w:abstractNumId w:val="31"/>
  </w:num>
  <w:num w:numId="14">
    <w:abstractNumId w:val="4"/>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7"/>
  </w:num>
  <w:num w:numId="19">
    <w:abstractNumId w:val="46"/>
  </w:num>
  <w:num w:numId="20">
    <w:abstractNumId w:val="27"/>
  </w:num>
  <w:num w:numId="21">
    <w:abstractNumId w:val="25"/>
  </w:num>
  <w:num w:numId="22">
    <w:abstractNumId w:val="13"/>
  </w:num>
  <w:num w:numId="23">
    <w:abstractNumId w:val="42"/>
  </w:num>
  <w:num w:numId="24">
    <w:abstractNumId w:val="14"/>
  </w:num>
  <w:num w:numId="25">
    <w:abstractNumId w:val="43"/>
  </w:num>
  <w:num w:numId="26">
    <w:abstractNumId w:val="24"/>
  </w:num>
  <w:num w:numId="27">
    <w:abstractNumId w:val="26"/>
  </w:num>
  <w:num w:numId="28">
    <w:abstractNumId w:val="20"/>
  </w:num>
  <w:num w:numId="29">
    <w:abstractNumId w:val="16"/>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8"/>
  </w:num>
  <w:num w:numId="37">
    <w:abstractNumId w:val="19"/>
  </w:num>
  <w:num w:numId="38">
    <w:abstractNumId w:val="47"/>
  </w:num>
  <w:num w:numId="39">
    <w:abstractNumId w:val="35"/>
  </w:num>
  <w:num w:numId="40">
    <w:abstractNumId w:val="44"/>
  </w:num>
  <w:num w:numId="41">
    <w:abstractNumId w:val="49"/>
  </w:num>
  <w:num w:numId="42">
    <w:abstractNumId w:val="48"/>
  </w:num>
  <w:num w:numId="43">
    <w:abstractNumId w:val="18"/>
  </w:num>
  <w:num w:numId="44">
    <w:abstractNumId w:val="22"/>
  </w:num>
  <w:num w:numId="45">
    <w:abstractNumId w:val="38"/>
  </w:num>
  <w:num w:numId="46">
    <w:abstractNumId w:val="41"/>
  </w:num>
  <w:num w:numId="47">
    <w:abstractNumId w:val="51"/>
  </w:num>
  <w:num w:numId="48">
    <w:abstractNumId w:val="15"/>
  </w:num>
  <w:num w:numId="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50"/>
  </w:num>
  <w:num w:numId="52">
    <w:abstractNumId w:val="17"/>
  </w:num>
  <w:num w:numId="53">
    <w:abstractNumId w:val="10"/>
  </w:num>
  <w:num w:numId="54">
    <w:abstractNumId w:val="0"/>
  </w:num>
  <w:num w:numId="55">
    <w:abstractNumId w:val="12"/>
  </w:num>
  <w:num w:numId="56">
    <w:abstractNumId w:val="11"/>
  </w:num>
  <w:num w:numId="57">
    <w:abstractNumId w:val="2"/>
  </w:num>
  <w:num w:numId="58">
    <w:abstractNumId w:val="53"/>
  </w:num>
  <w:num w:numId="59">
    <w:abstractNumId w:val="8"/>
  </w:num>
  <w:num w:numId="60">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D"/>
    <w:rsid w:val="00002EF6"/>
    <w:rsid w:val="000058E3"/>
    <w:rsid w:val="000200A2"/>
    <w:rsid w:val="0002169B"/>
    <w:rsid w:val="0002280B"/>
    <w:rsid w:val="00030688"/>
    <w:rsid w:val="00033381"/>
    <w:rsid w:val="00042EEE"/>
    <w:rsid w:val="00043CD1"/>
    <w:rsid w:val="000441A8"/>
    <w:rsid w:val="00063441"/>
    <w:rsid w:val="0007557D"/>
    <w:rsid w:val="0007638C"/>
    <w:rsid w:val="000807DA"/>
    <w:rsid w:val="00082F9E"/>
    <w:rsid w:val="000848D1"/>
    <w:rsid w:val="00090C77"/>
    <w:rsid w:val="00091C3A"/>
    <w:rsid w:val="00095B33"/>
    <w:rsid w:val="00095E5F"/>
    <w:rsid w:val="000970B7"/>
    <w:rsid w:val="00097F7B"/>
    <w:rsid w:val="000A3425"/>
    <w:rsid w:val="000A7F3D"/>
    <w:rsid w:val="000C1774"/>
    <w:rsid w:val="000C196C"/>
    <w:rsid w:val="000C4802"/>
    <w:rsid w:val="000C73C0"/>
    <w:rsid w:val="000D2D4B"/>
    <w:rsid w:val="000E2276"/>
    <w:rsid w:val="000E3D89"/>
    <w:rsid w:val="000E7A66"/>
    <w:rsid w:val="000F440C"/>
    <w:rsid w:val="000F734D"/>
    <w:rsid w:val="00102062"/>
    <w:rsid w:val="00104BED"/>
    <w:rsid w:val="00106AF1"/>
    <w:rsid w:val="001205C3"/>
    <w:rsid w:val="00122BB1"/>
    <w:rsid w:val="00127232"/>
    <w:rsid w:val="00131706"/>
    <w:rsid w:val="00134A87"/>
    <w:rsid w:val="00135BDA"/>
    <w:rsid w:val="00137771"/>
    <w:rsid w:val="00140785"/>
    <w:rsid w:val="00140A12"/>
    <w:rsid w:val="00140EB0"/>
    <w:rsid w:val="00142F2D"/>
    <w:rsid w:val="0014517B"/>
    <w:rsid w:val="00145837"/>
    <w:rsid w:val="00146657"/>
    <w:rsid w:val="00147C68"/>
    <w:rsid w:val="001611C9"/>
    <w:rsid w:val="00161B6F"/>
    <w:rsid w:val="0017419C"/>
    <w:rsid w:val="00177E13"/>
    <w:rsid w:val="0019495C"/>
    <w:rsid w:val="00197A0C"/>
    <w:rsid w:val="001A369E"/>
    <w:rsid w:val="001B6A3F"/>
    <w:rsid w:val="001C45BB"/>
    <w:rsid w:val="001C4796"/>
    <w:rsid w:val="001D3D8C"/>
    <w:rsid w:val="001D5DB7"/>
    <w:rsid w:val="001D7C63"/>
    <w:rsid w:val="001F61B5"/>
    <w:rsid w:val="001F7E50"/>
    <w:rsid w:val="00200BAC"/>
    <w:rsid w:val="00223345"/>
    <w:rsid w:val="00231E4E"/>
    <w:rsid w:val="00235A2C"/>
    <w:rsid w:val="0024565A"/>
    <w:rsid w:val="00245F6E"/>
    <w:rsid w:val="00250E1A"/>
    <w:rsid w:val="002558A2"/>
    <w:rsid w:val="00256F0C"/>
    <w:rsid w:val="002573A4"/>
    <w:rsid w:val="002575CD"/>
    <w:rsid w:val="00266B67"/>
    <w:rsid w:val="0026723D"/>
    <w:rsid w:val="00272D03"/>
    <w:rsid w:val="00275BCB"/>
    <w:rsid w:val="00276C9F"/>
    <w:rsid w:val="00280D75"/>
    <w:rsid w:val="00281235"/>
    <w:rsid w:val="00282DDB"/>
    <w:rsid w:val="00283552"/>
    <w:rsid w:val="0028654A"/>
    <w:rsid w:val="00287056"/>
    <w:rsid w:val="002873B2"/>
    <w:rsid w:val="00287541"/>
    <w:rsid w:val="002878DB"/>
    <w:rsid w:val="00294814"/>
    <w:rsid w:val="00296558"/>
    <w:rsid w:val="00297B08"/>
    <w:rsid w:val="002A07A4"/>
    <w:rsid w:val="002A69C6"/>
    <w:rsid w:val="002B1E02"/>
    <w:rsid w:val="002B2865"/>
    <w:rsid w:val="002B2B25"/>
    <w:rsid w:val="002B33F0"/>
    <w:rsid w:val="002B6D9D"/>
    <w:rsid w:val="002C1426"/>
    <w:rsid w:val="002C3E0C"/>
    <w:rsid w:val="002C7F7B"/>
    <w:rsid w:val="002D485D"/>
    <w:rsid w:val="002D5C81"/>
    <w:rsid w:val="002E1DC4"/>
    <w:rsid w:val="002E3643"/>
    <w:rsid w:val="002E37E9"/>
    <w:rsid w:val="002F02DF"/>
    <w:rsid w:val="002F242E"/>
    <w:rsid w:val="002F2BF4"/>
    <w:rsid w:val="00304681"/>
    <w:rsid w:val="00304F4E"/>
    <w:rsid w:val="00305152"/>
    <w:rsid w:val="0030517C"/>
    <w:rsid w:val="00305D85"/>
    <w:rsid w:val="00307F0E"/>
    <w:rsid w:val="003113B8"/>
    <w:rsid w:val="003231C4"/>
    <w:rsid w:val="00323B3E"/>
    <w:rsid w:val="00324E46"/>
    <w:rsid w:val="00325605"/>
    <w:rsid w:val="0032569B"/>
    <w:rsid w:val="003364A1"/>
    <w:rsid w:val="00343883"/>
    <w:rsid w:val="00343CAB"/>
    <w:rsid w:val="00344590"/>
    <w:rsid w:val="00345FF9"/>
    <w:rsid w:val="003477B0"/>
    <w:rsid w:val="003508B2"/>
    <w:rsid w:val="00354A5E"/>
    <w:rsid w:val="003576DD"/>
    <w:rsid w:val="00363C25"/>
    <w:rsid w:val="00366C31"/>
    <w:rsid w:val="00367B3E"/>
    <w:rsid w:val="00371FEE"/>
    <w:rsid w:val="0037758A"/>
    <w:rsid w:val="00380677"/>
    <w:rsid w:val="00383A3D"/>
    <w:rsid w:val="00390699"/>
    <w:rsid w:val="00391C00"/>
    <w:rsid w:val="003A251B"/>
    <w:rsid w:val="003A5374"/>
    <w:rsid w:val="003A76FB"/>
    <w:rsid w:val="003B3E3F"/>
    <w:rsid w:val="003B4022"/>
    <w:rsid w:val="003B4E95"/>
    <w:rsid w:val="003B695F"/>
    <w:rsid w:val="003C045E"/>
    <w:rsid w:val="003D436D"/>
    <w:rsid w:val="003D6880"/>
    <w:rsid w:val="003E38A4"/>
    <w:rsid w:val="003F21F8"/>
    <w:rsid w:val="003F4670"/>
    <w:rsid w:val="0040471A"/>
    <w:rsid w:val="00404CB3"/>
    <w:rsid w:val="004114A4"/>
    <w:rsid w:val="004217B6"/>
    <w:rsid w:val="0042313E"/>
    <w:rsid w:val="00423851"/>
    <w:rsid w:val="0043004C"/>
    <w:rsid w:val="00431103"/>
    <w:rsid w:val="0043177E"/>
    <w:rsid w:val="004402EF"/>
    <w:rsid w:val="0044664C"/>
    <w:rsid w:val="00454E0D"/>
    <w:rsid w:val="0045624C"/>
    <w:rsid w:val="00460960"/>
    <w:rsid w:val="0047510D"/>
    <w:rsid w:val="00476834"/>
    <w:rsid w:val="004832FC"/>
    <w:rsid w:val="00486B7C"/>
    <w:rsid w:val="00496A5E"/>
    <w:rsid w:val="004A4D09"/>
    <w:rsid w:val="004B1E91"/>
    <w:rsid w:val="004B26F5"/>
    <w:rsid w:val="004B7430"/>
    <w:rsid w:val="004C07F4"/>
    <w:rsid w:val="004C3FF0"/>
    <w:rsid w:val="004C4656"/>
    <w:rsid w:val="004C6671"/>
    <w:rsid w:val="004C6E35"/>
    <w:rsid w:val="004D336C"/>
    <w:rsid w:val="004E5FEC"/>
    <w:rsid w:val="004E79F7"/>
    <w:rsid w:val="004F5B61"/>
    <w:rsid w:val="005011A9"/>
    <w:rsid w:val="00502A70"/>
    <w:rsid w:val="00503FFB"/>
    <w:rsid w:val="0050404F"/>
    <w:rsid w:val="00505E0D"/>
    <w:rsid w:val="00506DC5"/>
    <w:rsid w:val="00516431"/>
    <w:rsid w:val="00531081"/>
    <w:rsid w:val="00534AA5"/>
    <w:rsid w:val="00536C54"/>
    <w:rsid w:val="00551672"/>
    <w:rsid w:val="00551CF7"/>
    <w:rsid w:val="00557B45"/>
    <w:rsid w:val="00562E77"/>
    <w:rsid w:val="00564E6E"/>
    <w:rsid w:val="005675DF"/>
    <w:rsid w:val="00574664"/>
    <w:rsid w:val="00575E9A"/>
    <w:rsid w:val="005762BB"/>
    <w:rsid w:val="00583597"/>
    <w:rsid w:val="00584E5A"/>
    <w:rsid w:val="005850EB"/>
    <w:rsid w:val="005872B7"/>
    <w:rsid w:val="005919A8"/>
    <w:rsid w:val="0059762C"/>
    <w:rsid w:val="005A18D3"/>
    <w:rsid w:val="005A3951"/>
    <w:rsid w:val="005A591A"/>
    <w:rsid w:val="005B7190"/>
    <w:rsid w:val="005C58B7"/>
    <w:rsid w:val="005C7D73"/>
    <w:rsid w:val="005D7F01"/>
    <w:rsid w:val="005E32F3"/>
    <w:rsid w:val="005E658D"/>
    <w:rsid w:val="005F1C1A"/>
    <w:rsid w:val="005F21B7"/>
    <w:rsid w:val="0060336C"/>
    <w:rsid w:val="0060519C"/>
    <w:rsid w:val="00607583"/>
    <w:rsid w:val="006149FB"/>
    <w:rsid w:val="00624ED5"/>
    <w:rsid w:val="00631833"/>
    <w:rsid w:val="006424C8"/>
    <w:rsid w:val="00642ED8"/>
    <w:rsid w:val="006440BE"/>
    <w:rsid w:val="0065353D"/>
    <w:rsid w:val="00661FB3"/>
    <w:rsid w:val="00675840"/>
    <w:rsid w:val="006758C2"/>
    <w:rsid w:val="00685226"/>
    <w:rsid w:val="00685C39"/>
    <w:rsid w:val="00690028"/>
    <w:rsid w:val="00692BE5"/>
    <w:rsid w:val="00692C14"/>
    <w:rsid w:val="006930E9"/>
    <w:rsid w:val="00694AD4"/>
    <w:rsid w:val="006A0F95"/>
    <w:rsid w:val="006A2634"/>
    <w:rsid w:val="006A5286"/>
    <w:rsid w:val="006A6610"/>
    <w:rsid w:val="006B486C"/>
    <w:rsid w:val="006B7BB1"/>
    <w:rsid w:val="006C0824"/>
    <w:rsid w:val="006D1A48"/>
    <w:rsid w:val="006E0984"/>
    <w:rsid w:val="006F4FB7"/>
    <w:rsid w:val="00700B1D"/>
    <w:rsid w:val="00701A06"/>
    <w:rsid w:val="0071398A"/>
    <w:rsid w:val="00713B35"/>
    <w:rsid w:val="00717417"/>
    <w:rsid w:val="00720CD1"/>
    <w:rsid w:val="0072227C"/>
    <w:rsid w:val="007222D9"/>
    <w:rsid w:val="00722E3A"/>
    <w:rsid w:val="00730BF1"/>
    <w:rsid w:val="00736975"/>
    <w:rsid w:val="00742D77"/>
    <w:rsid w:val="007516BF"/>
    <w:rsid w:val="00751746"/>
    <w:rsid w:val="00753F5B"/>
    <w:rsid w:val="00754A69"/>
    <w:rsid w:val="00756D77"/>
    <w:rsid w:val="0077731E"/>
    <w:rsid w:val="00790A5D"/>
    <w:rsid w:val="00792468"/>
    <w:rsid w:val="00796985"/>
    <w:rsid w:val="007A07B7"/>
    <w:rsid w:val="007B072B"/>
    <w:rsid w:val="007B4129"/>
    <w:rsid w:val="007C1852"/>
    <w:rsid w:val="007C42B6"/>
    <w:rsid w:val="007E1AD5"/>
    <w:rsid w:val="007E5A48"/>
    <w:rsid w:val="007E73CD"/>
    <w:rsid w:val="008007B0"/>
    <w:rsid w:val="008040CB"/>
    <w:rsid w:val="00804625"/>
    <w:rsid w:val="00807CB3"/>
    <w:rsid w:val="00810DCA"/>
    <w:rsid w:val="0081140C"/>
    <w:rsid w:val="0081524B"/>
    <w:rsid w:val="00824FBE"/>
    <w:rsid w:val="00833D08"/>
    <w:rsid w:val="0084352C"/>
    <w:rsid w:val="00847301"/>
    <w:rsid w:val="00852B21"/>
    <w:rsid w:val="00853495"/>
    <w:rsid w:val="008566EC"/>
    <w:rsid w:val="00863ABA"/>
    <w:rsid w:val="00864BFF"/>
    <w:rsid w:val="00864E60"/>
    <w:rsid w:val="0088402A"/>
    <w:rsid w:val="0088521D"/>
    <w:rsid w:val="00887C0F"/>
    <w:rsid w:val="00892C6A"/>
    <w:rsid w:val="008A7745"/>
    <w:rsid w:val="008B0D17"/>
    <w:rsid w:val="008B138A"/>
    <w:rsid w:val="008B6F26"/>
    <w:rsid w:val="008C3020"/>
    <w:rsid w:val="008D5408"/>
    <w:rsid w:val="008E4A98"/>
    <w:rsid w:val="008F3F33"/>
    <w:rsid w:val="00901AE9"/>
    <w:rsid w:val="009174BC"/>
    <w:rsid w:val="00933DDD"/>
    <w:rsid w:val="009364F5"/>
    <w:rsid w:val="00940422"/>
    <w:rsid w:val="00955C8C"/>
    <w:rsid w:val="00956445"/>
    <w:rsid w:val="00965212"/>
    <w:rsid w:val="00965F8B"/>
    <w:rsid w:val="00970F34"/>
    <w:rsid w:val="0097267F"/>
    <w:rsid w:val="009736F6"/>
    <w:rsid w:val="00980AEC"/>
    <w:rsid w:val="00983937"/>
    <w:rsid w:val="009B152B"/>
    <w:rsid w:val="009C11A1"/>
    <w:rsid w:val="009C4323"/>
    <w:rsid w:val="009C4909"/>
    <w:rsid w:val="009C6DDA"/>
    <w:rsid w:val="009D0763"/>
    <w:rsid w:val="009D12F8"/>
    <w:rsid w:val="009D1B2E"/>
    <w:rsid w:val="009D22EE"/>
    <w:rsid w:val="009D40F7"/>
    <w:rsid w:val="009E5AA0"/>
    <w:rsid w:val="009E6341"/>
    <w:rsid w:val="009F48DE"/>
    <w:rsid w:val="009F58AD"/>
    <w:rsid w:val="00A01263"/>
    <w:rsid w:val="00A0363D"/>
    <w:rsid w:val="00A04715"/>
    <w:rsid w:val="00A05802"/>
    <w:rsid w:val="00A128B2"/>
    <w:rsid w:val="00A13A2B"/>
    <w:rsid w:val="00A15E29"/>
    <w:rsid w:val="00A16A68"/>
    <w:rsid w:val="00A177C8"/>
    <w:rsid w:val="00A22DB1"/>
    <w:rsid w:val="00A24717"/>
    <w:rsid w:val="00A31D68"/>
    <w:rsid w:val="00A33A9A"/>
    <w:rsid w:val="00A460F8"/>
    <w:rsid w:val="00A52F01"/>
    <w:rsid w:val="00A650B1"/>
    <w:rsid w:val="00A66228"/>
    <w:rsid w:val="00A72386"/>
    <w:rsid w:val="00A748B2"/>
    <w:rsid w:val="00A8025B"/>
    <w:rsid w:val="00AB7D07"/>
    <w:rsid w:val="00AC5554"/>
    <w:rsid w:val="00AC6820"/>
    <w:rsid w:val="00AD6EF5"/>
    <w:rsid w:val="00AE1428"/>
    <w:rsid w:val="00AE2E46"/>
    <w:rsid w:val="00AF2304"/>
    <w:rsid w:val="00AF4428"/>
    <w:rsid w:val="00AF5A5F"/>
    <w:rsid w:val="00AF7323"/>
    <w:rsid w:val="00B011BD"/>
    <w:rsid w:val="00B05B1B"/>
    <w:rsid w:val="00B0672F"/>
    <w:rsid w:val="00B17F89"/>
    <w:rsid w:val="00B2313E"/>
    <w:rsid w:val="00B2613E"/>
    <w:rsid w:val="00B263B7"/>
    <w:rsid w:val="00B322EF"/>
    <w:rsid w:val="00B400C2"/>
    <w:rsid w:val="00B41637"/>
    <w:rsid w:val="00B42319"/>
    <w:rsid w:val="00B46754"/>
    <w:rsid w:val="00B54DEA"/>
    <w:rsid w:val="00B556C8"/>
    <w:rsid w:val="00B65CA2"/>
    <w:rsid w:val="00B80243"/>
    <w:rsid w:val="00B87543"/>
    <w:rsid w:val="00B87A42"/>
    <w:rsid w:val="00BA1E7A"/>
    <w:rsid w:val="00BA3153"/>
    <w:rsid w:val="00BB06BE"/>
    <w:rsid w:val="00BB2296"/>
    <w:rsid w:val="00BC2634"/>
    <w:rsid w:val="00BC2E78"/>
    <w:rsid w:val="00BC3D38"/>
    <w:rsid w:val="00BC6EA9"/>
    <w:rsid w:val="00BD7A6C"/>
    <w:rsid w:val="00BE1E5C"/>
    <w:rsid w:val="00BE1FD7"/>
    <w:rsid w:val="00BE4EF8"/>
    <w:rsid w:val="00BE7F91"/>
    <w:rsid w:val="00C02930"/>
    <w:rsid w:val="00C13CB5"/>
    <w:rsid w:val="00C15216"/>
    <w:rsid w:val="00C21AAE"/>
    <w:rsid w:val="00C21FEA"/>
    <w:rsid w:val="00C2216C"/>
    <w:rsid w:val="00C22E17"/>
    <w:rsid w:val="00C334AA"/>
    <w:rsid w:val="00C36EE8"/>
    <w:rsid w:val="00C60562"/>
    <w:rsid w:val="00C7230F"/>
    <w:rsid w:val="00C90565"/>
    <w:rsid w:val="00C9245C"/>
    <w:rsid w:val="00C96BCD"/>
    <w:rsid w:val="00CA386A"/>
    <w:rsid w:val="00CA41FA"/>
    <w:rsid w:val="00CB2818"/>
    <w:rsid w:val="00CB2C31"/>
    <w:rsid w:val="00CC2679"/>
    <w:rsid w:val="00CC52DD"/>
    <w:rsid w:val="00CC6862"/>
    <w:rsid w:val="00CC6C4F"/>
    <w:rsid w:val="00CC746C"/>
    <w:rsid w:val="00CD2C10"/>
    <w:rsid w:val="00CD5710"/>
    <w:rsid w:val="00CD7101"/>
    <w:rsid w:val="00CE0AA0"/>
    <w:rsid w:val="00CE2E24"/>
    <w:rsid w:val="00CE647F"/>
    <w:rsid w:val="00CF4016"/>
    <w:rsid w:val="00CF6330"/>
    <w:rsid w:val="00D05837"/>
    <w:rsid w:val="00D13C92"/>
    <w:rsid w:val="00D41730"/>
    <w:rsid w:val="00D41BAC"/>
    <w:rsid w:val="00D42C6C"/>
    <w:rsid w:val="00D5126B"/>
    <w:rsid w:val="00D51FBD"/>
    <w:rsid w:val="00D53674"/>
    <w:rsid w:val="00D563D4"/>
    <w:rsid w:val="00D575D5"/>
    <w:rsid w:val="00D649CC"/>
    <w:rsid w:val="00D677B1"/>
    <w:rsid w:val="00D73DD3"/>
    <w:rsid w:val="00D7476E"/>
    <w:rsid w:val="00D76490"/>
    <w:rsid w:val="00D770D2"/>
    <w:rsid w:val="00D90F47"/>
    <w:rsid w:val="00D92BD7"/>
    <w:rsid w:val="00D94AAF"/>
    <w:rsid w:val="00D96CFB"/>
    <w:rsid w:val="00DA42B9"/>
    <w:rsid w:val="00DA5599"/>
    <w:rsid w:val="00DB037F"/>
    <w:rsid w:val="00DB278A"/>
    <w:rsid w:val="00DB4017"/>
    <w:rsid w:val="00DC42DD"/>
    <w:rsid w:val="00DC73FB"/>
    <w:rsid w:val="00DD2F59"/>
    <w:rsid w:val="00DE3418"/>
    <w:rsid w:val="00DE688D"/>
    <w:rsid w:val="00DF03B5"/>
    <w:rsid w:val="00E05EE7"/>
    <w:rsid w:val="00E11830"/>
    <w:rsid w:val="00E12E12"/>
    <w:rsid w:val="00E137E9"/>
    <w:rsid w:val="00E15CBE"/>
    <w:rsid w:val="00E20C9E"/>
    <w:rsid w:val="00E34543"/>
    <w:rsid w:val="00E41BE9"/>
    <w:rsid w:val="00E46434"/>
    <w:rsid w:val="00E57450"/>
    <w:rsid w:val="00E602FB"/>
    <w:rsid w:val="00E60C67"/>
    <w:rsid w:val="00E62CA3"/>
    <w:rsid w:val="00E65149"/>
    <w:rsid w:val="00E75B36"/>
    <w:rsid w:val="00E86489"/>
    <w:rsid w:val="00E866DB"/>
    <w:rsid w:val="00E90AFC"/>
    <w:rsid w:val="00E93695"/>
    <w:rsid w:val="00E94C56"/>
    <w:rsid w:val="00EA3D77"/>
    <w:rsid w:val="00EB097D"/>
    <w:rsid w:val="00EB5048"/>
    <w:rsid w:val="00EB7879"/>
    <w:rsid w:val="00EB7923"/>
    <w:rsid w:val="00EC2627"/>
    <w:rsid w:val="00EC71F3"/>
    <w:rsid w:val="00ED0E1C"/>
    <w:rsid w:val="00EE1978"/>
    <w:rsid w:val="00EE47A5"/>
    <w:rsid w:val="00EE5764"/>
    <w:rsid w:val="00EF24ED"/>
    <w:rsid w:val="00EF7F61"/>
    <w:rsid w:val="00F02126"/>
    <w:rsid w:val="00F06170"/>
    <w:rsid w:val="00F075E2"/>
    <w:rsid w:val="00F12C2E"/>
    <w:rsid w:val="00F2529C"/>
    <w:rsid w:val="00F27923"/>
    <w:rsid w:val="00F42988"/>
    <w:rsid w:val="00F45F0B"/>
    <w:rsid w:val="00F658FF"/>
    <w:rsid w:val="00F665A4"/>
    <w:rsid w:val="00F712F7"/>
    <w:rsid w:val="00F76854"/>
    <w:rsid w:val="00F801E0"/>
    <w:rsid w:val="00F85F91"/>
    <w:rsid w:val="00F94C26"/>
    <w:rsid w:val="00F958F1"/>
    <w:rsid w:val="00F97F97"/>
    <w:rsid w:val="00FA0AC0"/>
    <w:rsid w:val="00FA142B"/>
    <w:rsid w:val="00FA5C6C"/>
    <w:rsid w:val="00FA5D1D"/>
    <w:rsid w:val="00FB354F"/>
    <w:rsid w:val="00FB4C04"/>
    <w:rsid w:val="00FC0D7C"/>
    <w:rsid w:val="00FD2AB6"/>
    <w:rsid w:val="00FE5B22"/>
    <w:rsid w:val="00FE6670"/>
    <w:rsid w:val="00FF2BCB"/>
    <w:rsid w:val="00FF4F90"/>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700F"/>
  <w15:chartTrackingRefBased/>
  <w15:docId w15:val="{23545E51-33B9-4678-8727-D1AE4A4D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F7"/>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F712F7"/>
    <w:pPr>
      <w:numPr>
        <w:numId w:val="50"/>
      </w:numPr>
      <w:outlineLvl w:val="0"/>
    </w:pPr>
    <w:rPr>
      <w:kern w:val="28"/>
    </w:rPr>
  </w:style>
  <w:style w:type="paragraph" w:styleId="Heading2">
    <w:name w:val="heading 2"/>
    <w:basedOn w:val="Normal"/>
    <w:next w:val="Normal"/>
    <w:link w:val="Heading2Char"/>
    <w:qFormat/>
    <w:rsid w:val="00F712F7"/>
    <w:pPr>
      <w:numPr>
        <w:ilvl w:val="1"/>
        <w:numId w:val="50"/>
      </w:numPr>
      <w:ind w:left="567" w:hanging="567"/>
      <w:outlineLvl w:val="1"/>
    </w:pPr>
  </w:style>
  <w:style w:type="paragraph" w:styleId="Heading3">
    <w:name w:val="heading 3"/>
    <w:basedOn w:val="Normal"/>
    <w:next w:val="Normal"/>
    <w:link w:val="Heading3Char"/>
    <w:qFormat/>
    <w:rsid w:val="00F712F7"/>
    <w:pPr>
      <w:numPr>
        <w:ilvl w:val="2"/>
        <w:numId w:val="50"/>
      </w:numPr>
      <w:ind w:left="567" w:hanging="567"/>
      <w:outlineLvl w:val="2"/>
    </w:pPr>
  </w:style>
  <w:style w:type="paragraph" w:styleId="Heading4">
    <w:name w:val="heading 4"/>
    <w:basedOn w:val="Normal"/>
    <w:next w:val="Normal"/>
    <w:link w:val="Heading4Char"/>
    <w:qFormat/>
    <w:rsid w:val="00F712F7"/>
    <w:pPr>
      <w:numPr>
        <w:ilvl w:val="3"/>
        <w:numId w:val="50"/>
      </w:numPr>
      <w:ind w:left="567" w:hanging="567"/>
      <w:outlineLvl w:val="3"/>
    </w:pPr>
  </w:style>
  <w:style w:type="paragraph" w:styleId="Heading5">
    <w:name w:val="heading 5"/>
    <w:basedOn w:val="Normal"/>
    <w:next w:val="Normal"/>
    <w:link w:val="Heading5Char"/>
    <w:qFormat/>
    <w:rsid w:val="00F712F7"/>
    <w:pPr>
      <w:numPr>
        <w:ilvl w:val="4"/>
        <w:numId w:val="50"/>
      </w:numPr>
      <w:ind w:left="567" w:hanging="567"/>
      <w:outlineLvl w:val="4"/>
    </w:pPr>
  </w:style>
  <w:style w:type="paragraph" w:styleId="Heading6">
    <w:name w:val="heading 6"/>
    <w:basedOn w:val="Normal"/>
    <w:next w:val="Normal"/>
    <w:link w:val="Heading6Char"/>
    <w:qFormat/>
    <w:rsid w:val="00F712F7"/>
    <w:pPr>
      <w:numPr>
        <w:ilvl w:val="5"/>
        <w:numId w:val="50"/>
      </w:numPr>
      <w:ind w:left="567" w:hanging="567"/>
      <w:outlineLvl w:val="5"/>
    </w:pPr>
  </w:style>
  <w:style w:type="paragraph" w:styleId="Heading7">
    <w:name w:val="heading 7"/>
    <w:basedOn w:val="Normal"/>
    <w:next w:val="Normal"/>
    <w:link w:val="Heading7Char"/>
    <w:qFormat/>
    <w:rsid w:val="00F712F7"/>
    <w:pPr>
      <w:numPr>
        <w:ilvl w:val="6"/>
        <w:numId w:val="50"/>
      </w:numPr>
      <w:ind w:left="567" w:hanging="567"/>
      <w:outlineLvl w:val="6"/>
    </w:pPr>
  </w:style>
  <w:style w:type="paragraph" w:styleId="Heading8">
    <w:name w:val="heading 8"/>
    <w:basedOn w:val="Normal"/>
    <w:next w:val="Normal"/>
    <w:link w:val="Heading8Char"/>
    <w:qFormat/>
    <w:rsid w:val="00F712F7"/>
    <w:pPr>
      <w:numPr>
        <w:ilvl w:val="7"/>
        <w:numId w:val="50"/>
      </w:numPr>
      <w:ind w:left="567" w:hanging="567"/>
      <w:outlineLvl w:val="7"/>
    </w:pPr>
  </w:style>
  <w:style w:type="paragraph" w:styleId="Heading9">
    <w:name w:val="heading 9"/>
    <w:basedOn w:val="Normal"/>
    <w:next w:val="Normal"/>
    <w:link w:val="Heading9Char"/>
    <w:qFormat/>
    <w:rsid w:val="00F712F7"/>
    <w:pPr>
      <w:numPr>
        <w:ilvl w:val="8"/>
        <w:numId w:val="50"/>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E0D"/>
    <w:rPr>
      <w:rFonts w:ascii="Times New Roman" w:eastAsia="Times New Roman" w:hAnsi="Times New Roman" w:cs="Times New Roman"/>
      <w:kern w:val="28"/>
    </w:rPr>
  </w:style>
  <w:style w:type="character" w:customStyle="1" w:styleId="Heading2Char">
    <w:name w:val="Heading 2 Char"/>
    <w:basedOn w:val="DefaultParagraphFont"/>
    <w:link w:val="Heading2"/>
    <w:rsid w:val="00454E0D"/>
    <w:rPr>
      <w:rFonts w:ascii="Times New Roman" w:eastAsia="Times New Roman" w:hAnsi="Times New Roman" w:cs="Times New Roman"/>
    </w:rPr>
  </w:style>
  <w:style w:type="character" w:customStyle="1" w:styleId="Heading3Char">
    <w:name w:val="Heading 3 Char"/>
    <w:basedOn w:val="DefaultParagraphFont"/>
    <w:link w:val="Heading3"/>
    <w:rsid w:val="00454E0D"/>
    <w:rPr>
      <w:rFonts w:ascii="Times New Roman" w:eastAsia="Times New Roman" w:hAnsi="Times New Roman" w:cs="Times New Roman"/>
    </w:rPr>
  </w:style>
  <w:style w:type="character" w:customStyle="1" w:styleId="Heading4Char">
    <w:name w:val="Heading 4 Char"/>
    <w:basedOn w:val="DefaultParagraphFont"/>
    <w:link w:val="Heading4"/>
    <w:rsid w:val="00454E0D"/>
    <w:rPr>
      <w:rFonts w:ascii="Times New Roman" w:eastAsia="Times New Roman" w:hAnsi="Times New Roman" w:cs="Times New Roman"/>
    </w:rPr>
  </w:style>
  <w:style w:type="character" w:customStyle="1" w:styleId="Heading5Char">
    <w:name w:val="Heading 5 Char"/>
    <w:basedOn w:val="DefaultParagraphFont"/>
    <w:link w:val="Heading5"/>
    <w:rsid w:val="00454E0D"/>
    <w:rPr>
      <w:rFonts w:ascii="Times New Roman" w:eastAsia="Times New Roman" w:hAnsi="Times New Roman" w:cs="Times New Roman"/>
    </w:rPr>
  </w:style>
  <w:style w:type="character" w:customStyle="1" w:styleId="Heading6Char">
    <w:name w:val="Heading 6 Char"/>
    <w:basedOn w:val="DefaultParagraphFont"/>
    <w:link w:val="Heading6"/>
    <w:rsid w:val="00454E0D"/>
    <w:rPr>
      <w:rFonts w:ascii="Times New Roman" w:eastAsia="Times New Roman" w:hAnsi="Times New Roman" w:cs="Times New Roman"/>
    </w:rPr>
  </w:style>
  <w:style w:type="character" w:customStyle="1" w:styleId="Heading7Char">
    <w:name w:val="Heading 7 Char"/>
    <w:basedOn w:val="DefaultParagraphFont"/>
    <w:link w:val="Heading7"/>
    <w:rsid w:val="00454E0D"/>
    <w:rPr>
      <w:rFonts w:ascii="Times New Roman" w:eastAsia="Times New Roman" w:hAnsi="Times New Roman" w:cs="Times New Roman"/>
    </w:rPr>
  </w:style>
  <w:style w:type="character" w:customStyle="1" w:styleId="Heading8Char">
    <w:name w:val="Heading 8 Char"/>
    <w:basedOn w:val="DefaultParagraphFont"/>
    <w:link w:val="Heading8"/>
    <w:rsid w:val="00454E0D"/>
    <w:rPr>
      <w:rFonts w:ascii="Times New Roman" w:eastAsia="Times New Roman" w:hAnsi="Times New Roman" w:cs="Times New Roman"/>
    </w:rPr>
  </w:style>
  <w:style w:type="character" w:customStyle="1" w:styleId="Heading9Char">
    <w:name w:val="Heading 9 Char"/>
    <w:basedOn w:val="DefaultParagraphFont"/>
    <w:link w:val="Heading9"/>
    <w:rsid w:val="00454E0D"/>
    <w:rPr>
      <w:rFonts w:ascii="Times New Roman" w:eastAsia="Times New Roman" w:hAnsi="Times New Roman" w:cs="Times New Roman"/>
    </w:rPr>
  </w:style>
  <w:style w:type="paragraph" w:styleId="ListParagraph">
    <w:name w:val="List Paragraph"/>
    <w:basedOn w:val="Normal"/>
    <w:uiPriority w:val="34"/>
    <w:qFormat/>
    <w:rsid w:val="00454E0D"/>
    <w:pPr>
      <w:ind w:left="720"/>
    </w:pPr>
    <w:rPr>
      <w:lang w:eastAsia="en-GB" w:bidi="en-GB"/>
    </w:rPr>
  </w:style>
  <w:style w:type="table" w:styleId="TableGrid">
    <w:name w:val="Table Grid"/>
    <w:basedOn w:val="TableNormal"/>
    <w:rsid w:val="00454E0D"/>
    <w:pPr>
      <w:overflowPunct w:val="0"/>
      <w:autoSpaceDE w:val="0"/>
      <w:autoSpaceDN w:val="0"/>
      <w:adjustRightInd w:val="0"/>
      <w:spacing w:after="0" w:line="288" w:lineRule="auto"/>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F712F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2F242E"/>
    <w:rPr>
      <w:rFonts w:ascii="Times New Roman" w:eastAsia="Times New Roman" w:hAnsi="Times New Roman" w:cs="Times New Roman"/>
      <w:sz w:val="16"/>
    </w:rPr>
  </w:style>
  <w:style w:type="character" w:styleId="FootnoteReference">
    <w:name w:val="footnote reference"/>
    <w:basedOn w:val="DefaultParagraphFont"/>
    <w:uiPriority w:val="99"/>
    <w:unhideWhenUsed/>
    <w:qFormat/>
    <w:rsid w:val="00F712F7"/>
    <w:rPr>
      <w:sz w:val="24"/>
      <w:vertAlign w:val="superscript"/>
    </w:rPr>
  </w:style>
  <w:style w:type="character" w:styleId="Emphasis">
    <w:name w:val="Emphasis"/>
    <w:basedOn w:val="DefaultParagraphFont"/>
    <w:uiPriority w:val="20"/>
    <w:qFormat/>
    <w:rsid w:val="00BA1E7A"/>
    <w:rPr>
      <w:i/>
      <w:iCs/>
    </w:rPr>
  </w:style>
  <w:style w:type="paragraph" w:styleId="Revision">
    <w:name w:val="Revision"/>
    <w:hidden/>
    <w:uiPriority w:val="99"/>
    <w:semiHidden/>
    <w:rsid w:val="009C11A1"/>
    <w:pPr>
      <w:spacing w:after="0" w:line="240" w:lineRule="auto"/>
    </w:pPr>
    <w:rPr>
      <w:rFonts w:ascii="Times New Roman" w:eastAsia="Times New Roman" w:hAnsi="Times New Roman" w:cs="Times New Roman"/>
      <w:szCs w:val="20"/>
      <w:lang w:val="en-GB"/>
    </w:rPr>
  </w:style>
  <w:style w:type="paragraph" w:styleId="Header">
    <w:name w:val="header"/>
    <w:basedOn w:val="Normal"/>
    <w:link w:val="HeaderChar"/>
    <w:qFormat/>
    <w:rsid w:val="00F712F7"/>
  </w:style>
  <w:style w:type="character" w:customStyle="1" w:styleId="HeaderChar">
    <w:name w:val="Header Char"/>
    <w:basedOn w:val="DefaultParagraphFont"/>
    <w:link w:val="Header"/>
    <w:rsid w:val="00276C9F"/>
    <w:rPr>
      <w:rFonts w:ascii="Times New Roman" w:eastAsia="Times New Roman" w:hAnsi="Times New Roman" w:cs="Times New Roman"/>
      <w:lang w:val="en-GB"/>
    </w:rPr>
  </w:style>
  <w:style w:type="paragraph" w:styleId="Footer">
    <w:name w:val="footer"/>
    <w:basedOn w:val="Normal"/>
    <w:link w:val="FooterChar"/>
    <w:uiPriority w:val="99"/>
    <w:qFormat/>
    <w:rsid w:val="00F712F7"/>
  </w:style>
  <w:style w:type="character" w:customStyle="1" w:styleId="FooterChar">
    <w:name w:val="Footer Char"/>
    <w:basedOn w:val="DefaultParagraphFont"/>
    <w:link w:val="Footer"/>
    <w:uiPriority w:val="99"/>
    <w:rsid w:val="00276C9F"/>
    <w:rPr>
      <w:rFonts w:ascii="Times New Roman" w:eastAsia="Times New Roman" w:hAnsi="Times New Roman" w:cs="Times New Roman"/>
      <w:lang w:val="en-GB"/>
    </w:rPr>
  </w:style>
  <w:style w:type="paragraph" w:customStyle="1" w:styleId="quotes">
    <w:name w:val="quotes"/>
    <w:basedOn w:val="Normal"/>
    <w:next w:val="Normal"/>
    <w:rsid w:val="00F712F7"/>
    <w:pPr>
      <w:ind w:left="720"/>
    </w:pPr>
    <w:rPr>
      <w:i/>
    </w:rPr>
  </w:style>
  <w:style w:type="paragraph" w:styleId="BalloonText">
    <w:name w:val="Balloon Text"/>
    <w:basedOn w:val="Normal"/>
    <w:link w:val="BalloonTextChar"/>
    <w:uiPriority w:val="99"/>
    <w:semiHidden/>
    <w:unhideWhenUsed/>
    <w:rsid w:val="004E5F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EC"/>
    <w:rPr>
      <w:rFonts w:ascii="Segoe UI" w:eastAsia="Times New Roman" w:hAnsi="Segoe UI" w:cs="Segoe UI"/>
      <w:sz w:val="18"/>
      <w:szCs w:val="18"/>
      <w:lang w:val="en-GB"/>
    </w:rPr>
  </w:style>
  <w:style w:type="paragraph" w:styleId="EndnoteText">
    <w:name w:val="endnote text"/>
    <w:basedOn w:val="Normal"/>
    <w:link w:val="EndnoteTextChar"/>
    <w:uiPriority w:val="99"/>
    <w:semiHidden/>
    <w:unhideWhenUsed/>
    <w:rsid w:val="00516431"/>
    <w:pPr>
      <w:spacing w:line="240" w:lineRule="auto"/>
    </w:pPr>
    <w:rPr>
      <w:sz w:val="20"/>
      <w:szCs w:val="20"/>
    </w:rPr>
  </w:style>
  <w:style w:type="character" w:customStyle="1" w:styleId="EndnoteTextChar">
    <w:name w:val="Endnote Text Char"/>
    <w:basedOn w:val="DefaultParagraphFont"/>
    <w:link w:val="EndnoteText"/>
    <w:uiPriority w:val="99"/>
    <w:semiHidden/>
    <w:rsid w:val="0051643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6431"/>
    <w:rPr>
      <w:vertAlign w:val="superscript"/>
    </w:rPr>
  </w:style>
  <w:style w:type="character" w:styleId="Hyperlink">
    <w:name w:val="Hyperlink"/>
    <w:uiPriority w:val="99"/>
    <w:rsid w:val="00D575D5"/>
    <w:rPr>
      <w:color w:val="0000FF"/>
      <w:u w:val="single"/>
    </w:rPr>
  </w:style>
  <w:style w:type="character" w:styleId="FollowedHyperlink">
    <w:name w:val="FollowedHyperlink"/>
    <w:basedOn w:val="DefaultParagraphFont"/>
    <w:uiPriority w:val="99"/>
    <w:semiHidden/>
    <w:unhideWhenUsed/>
    <w:rsid w:val="00A24717"/>
    <w:rPr>
      <w:color w:val="954F72" w:themeColor="followedHyperlink"/>
      <w:u w:val="single"/>
    </w:rPr>
  </w:style>
  <w:style w:type="character" w:styleId="CommentReference">
    <w:name w:val="annotation reference"/>
    <w:basedOn w:val="DefaultParagraphFont"/>
    <w:uiPriority w:val="99"/>
    <w:semiHidden/>
    <w:unhideWhenUsed/>
    <w:rsid w:val="00700B1D"/>
    <w:rPr>
      <w:sz w:val="16"/>
      <w:szCs w:val="16"/>
    </w:rPr>
  </w:style>
  <w:style w:type="paragraph" w:styleId="CommentText">
    <w:name w:val="annotation text"/>
    <w:basedOn w:val="Normal"/>
    <w:link w:val="CommentTextChar"/>
    <w:uiPriority w:val="99"/>
    <w:semiHidden/>
    <w:unhideWhenUsed/>
    <w:rsid w:val="00700B1D"/>
    <w:pPr>
      <w:spacing w:line="240" w:lineRule="auto"/>
    </w:pPr>
    <w:rPr>
      <w:sz w:val="20"/>
      <w:szCs w:val="20"/>
    </w:rPr>
  </w:style>
  <w:style w:type="character" w:customStyle="1" w:styleId="CommentTextChar">
    <w:name w:val="Comment Text Char"/>
    <w:basedOn w:val="DefaultParagraphFont"/>
    <w:link w:val="CommentText"/>
    <w:uiPriority w:val="99"/>
    <w:semiHidden/>
    <w:rsid w:val="00700B1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00B1D"/>
    <w:rPr>
      <w:b/>
      <w:bCs/>
    </w:rPr>
  </w:style>
  <w:style w:type="character" w:customStyle="1" w:styleId="CommentSubjectChar">
    <w:name w:val="Comment Subject Char"/>
    <w:basedOn w:val="CommentTextChar"/>
    <w:link w:val="CommentSubject"/>
    <w:uiPriority w:val="99"/>
    <w:semiHidden/>
    <w:rsid w:val="00700B1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88371">
      <w:bodyDiv w:val="1"/>
      <w:marLeft w:val="0"/>
      <w:marRight w:val="0"/>
      <w:marTop w:val="0"/>
      <w:marBottom w:val="0"/>
      <w:divBdr>
        <w:top w:val="none" w:sz="0" w:space="0" w:color="auto"/>
        <w:left w:val="none" w:sz="0" w:space="0" w:color="auto"/>
        <w:bottom w:val="none" w:sz="0" w:space="0" w:color="auto"/>
        <w:right w:val="none" w:sz="0" w:space="0" w:color="auto"/>
      </w:divBdr>
    </w:div>
    <w:div w:id="762065407">
      <w:bodyDiv w:val="1"/>
      <w:marLeft w:val="0"/>
      <w:marRight w:val="0"/>
      <w:marTop w:val="0"/>
      <w:marBottom w:val="0"/>
      <w:divBdr>
        <w:top w:val="none" w:sz="0" w:space="0" w:color="auto"/>
        <w:left w:val="none" w:sz="0" w:space="0" w:color="auto"/>
        <w:bottom w:val="none" w:sz="0" w:space="0" w:color="auto"/>
        <w:right w:val="none" w:sz="0" w:space="0" w:color="auto"/>
      </w:divBdr>
    </w:div>
    <w:div w:id="797456319">
      <w:bodyDiv w:val="1"/>
      <w:marLeft w:val="0"/>
      <w:marRight w:val="0"/>
      <w:marTop w:val="0"/>
      <w:marBottom w:val="0"/>
      <w:divBdr>
        <w:top w:val="none" w:sz="0" w:space="0" w:color="auto"/>
        <w:left w:val="none" w:sz="0" w:space="0" w:color="auto"/>
        <w:bottom w:val="none" w:sz="0" w:space="0" w:color="auto"/>
        <w:right w:val="none" w:sz="0" w:space="0" w:color="auto"/>
      </w:divBdr>
    </w:div>
    <w:div w:id="866410557">
      <w:bodyDiv w:val="1"/>
      <w:marLeft w:val="0"/>
      <w:marRight w:val="0"/>
      <w:marTop w:val="0"/>
      <w:marBottom w:val="0"/>
      <w:divBdr>
        <w:top w:val="none" w:sz="0" w:space="0" w:color="auto"/>
        <w:left w:val="none" w:sz="0" w:space="0" w:color="auto"/>
        <w:bottom w:val="none" w:sz="0" w:space="0" w:color="auto"/>
        <w:right w:val="none" w:sz="0" w:space="0" w:color="auto"/>
      </w:divBdr>
    </w:div>
    <w:div w:id="995380129">
      <w:bodyDiv w:val="1"/>
      <w:marLeft w:val="0"/>
      <w:marRight w:val="0"/>
      <w:marTop w:val="0"/>
      <w:marBottom w:val="0"/>
      <w:divBdr>
        <w:top w:val="none" w:sz="0" w:space="0" w:color="auto"/>
        <w:left w:val="none" w:sz="0" w:space="0" w:color="auto"/>
        <w:bottom w:val="none" w:sz="0" w:space="0" w:color="auto"/>
        <w:right w:val="none" w:sz="0" w:space="0" w:color="auto"/>
      </w:divBdr>
    </w:div>
    <w:div w:id="1812863898">
      <w:bodyDiv w:val="1"/>
      <w:marLeft w:val="0"/>
      <w:marRight w:val="0"/>
      <w:marTop w:val="0"/>
      <w:marBottom w:val="0"/>
      <w:divBdr>
        <w:top w:val="none" w:sz="0" w:space="0" w:color="auto"/>
        <w:left w:val="none" w:sz="0" w:space="0" w:color="auto"/>
        <w:bottom w:val="none" w:sz="0" w:space="0" w:color="auto"/>
        <w:right w:val="none" w:sz="0" w:space="0" w:color="auto"/>
      </w:divBdr>
    </w:div>
    <w:div w:id="21260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VV634QRNENMJ-2141480542-5785</_dlc_DocId>
    <_dlc_DocIdUrl xmlns="cda99570-6012-4083-bfeb-7d32ad1ce1a3">
      <Url>http://dm2016/eesc/2020/_layouts/15/DocIdRedir.aspx?ID=VV634QRNENMJ-2141480542-5785</Url>
      <Description>VV634QRNENMJ-2141480542-5785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2021-01-19T12:00:00+00:00</ProductionDate>
    <FicheYear xmlns="cda99570-6012-4083-bfeb-7d32ad1ce1a3">2020</FicheYear>
    <DocumentNumber xmlns="de9c580c-2aa5-4762-938d-521e4861f44f">5848</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2021-01-11T12:00:00+00:00</MeetingDate>
    <TaxCatchAll xmlns="cda99570-6012-4083-bfeb-7d32ad1ce1a3">
      <Value>48</Value>
      <Value>47</Value>
      <Value>46</Value>
      <Value>45</Value>
      <Value>44</Value>
      <Value>43</Value>
      <Value>41</Value>
      <Value>40</Value>
      <Value>39</Value>
      <Value>38</Value>
      <Value>36</Value>
      <Value>34</Value>
      <Value>32</Value>
      <Value>31</Value>
      <Value>30</Value>
      <Value>29</Value>
      <Value>27</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684</FicheNumber>
    <DocumentPart xmlns="cda99570-6012-4083-bfeb-7d32ad1ce1a3">0</DocumentPart>
    <AdoptionDate xmlns="cda99570-6012-4083-bfeb-7d32ad1ce1a3" xsi:nil="true"/>
    <RequestingService xmlns="cda99570-6012-4083-bfeb-7d32ad1ce1a3">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REX</TermName>
          <TermId xmlns="http://schemas.microsoft.com/office/infopath/2007/PartnerControls">95ea9877-0c2f-4dd3-80ca-8d1bdfe7d819</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AE48-8F79-4416-90A9-6AA561790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26976-DBEB-4DBF-B1FA-33501E7CDB26}">
  <ds:schemaRefs>
    <ds:schemaRef ds:uri="http://schemas.microsoft.com/sharepoint/v3/contenttype/forms"/>
  </ds:schemaRefs>
</ds:datastoreItem>
</file>

<file path=customXml/itemProps3.xml><?xml version="1.0" encoding="utf-8"?>
<ds:datastoreItem xmlns:ds="http://schemas.openxmlformats.org/officeDocument/2006/customXml" ds:itemID="{FBCB24AE-EA2C-4CB7-93D1-C35959C7C70B}">
  <ds:schemaRefs>
    <ds:schemaRef ds:uri="http://purl.org/dc/elements/1.1/"/>
    <ds:schemaRef ds:uri="http://schemas.microsoft.com/office/2006/metadata/properties"/>
    <ds:schemaRef ds:uri="cda99570-6012-4083-bfeb-7d32ad1ce1a3"/>
    <ds:schemaRef ds:uri="de9c580c-2aa5-4762-938d-521e4861f4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6EBF964-480F-4BFF-A549-33E7B04C341F}">
  <ds:schemaRefs>
    <ds:schemaRef ds:uri="http://schemas.microsoft.com/sharepoint/events"/>
  </ds:schemaRefs>
</ds:datastoreItem>
</file>

<file path=customXml/itemProps5.xml><?xml version="1.0" encoding="utf-8"?>
<ds:datastoreItem xmlns:ds="http://schemas.openxmlformats.org/officeDocument/2006/customXml" ds:itemID="{DDED6FF0-0FEF-4556-B532-263FDE5B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3705</Words>
  <Characters>21120</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REX Work Programme - October 2020-April 2023 - 2nd version</vt:lpstr>
      <vt:lpstr>REX Work Programme - October 2020-April 2023 - 2nd version</vt:lpstr>
    </vt:vector>
  </TitlesOfParts>
  <Company>EESC-ECOR</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 Work Programme - October 2020-April 2023 - 2nd version</dc:title>
  <dc:subject>Consultative work, various</dc:subject>
  <dc:creator>Philippe Cuisson</dc:creator>
  <cp:keywords>EESC-2020-05848-00-02-TCD-TRA-EN</cp:keywords>
  <dc:description/>
  <cp:lastModifiedBy>Iotzova Tzonka</cp:lastModifiedBy>
  <cp:revision>3</cp:revision>
  <cp:lastPrinted>2022-01-17T13:44:00Z</cp:lastPrinted>
  <dcterms:created xsi:type="dcterms:W3CDTF">2022-01-28T16:47:00Z</dcterms:created>
  <dcterms:modified xsi:type="dcterms:W3CDTF">2022-02-04T08:25:00Z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19/01/2021, 12/01/2021, 16/12/2020</vt:lpwstr>
  </property>
  <property fmtid="{D5CDD505-2E9C-101B-9397-08002B2CF9AE}" pid="4" name="Pref_Time">
    <vt:lpwstr>09:58:20, 10:42:00, 16:47:50</vt:lpwstr>
  </property>
  <property fmtid="{D5CDD505-2E9C-101B-9397-08002B2CF9AE}" pid="5" name="Pref_User">
    <vt:lpwstr>hnic, hnic, hnic</vt:lpwstr>
  </property>
  <property fmtid="{D5CDD505-2E9C-101B-9397-08002B2CF9AE}" pid="6" name="Pref_FileName">
    <vt:lpwstr>EESC-2020-05848-00-02-TCD-TRA-EN-CRR.docx, EESC-2020-05848-00-01-TCD-TRA-EN-CRR.docx, EESC-2020-05848-00-00-TCD-TRA-EN-CRR.docx</vt:lpwstr>
  </property>
  <property fmtid="{D5CDD505-2E9C-101B-9397-08002B2CF9AE}" pid="7" name="ContentTypeId">
    <vt:lpwstr>0x010100EA97B91038054C99906057A708A1480A0076B3A83997D445469E673E9B07871DA8</vt:lpwstr>
  </property>
  <property fmtid="{D5CDD505-2E9C-101B-9397-08002B2CF9AE}" pid="8" name="_dlc_DocIdItemGuid">
    <vt:lpwstr>4686c470-e9e9-491c-88a8-afede520cd9b</vt:lpwstr>
  </property>
  <property fmtid="{D5CDD505-2E9C-101B-9397-08002B2CF9AE}" pid="9" name="AvailableTranslations">
    <vt:lpwstr>24;#LV|46f7e311-5d9f-4663-b433-18aeccb7ace7;#38;#EL|6d4f4d51-af9b-4650-94b4-4276bee85c91;#9;#PL|1e03da61-4678-4e07-b136-b5024ca9197b;#46;#SK|46d9fce0-ef79-4f71-b89b-cd6aa82426b8;#45;#FI|87606a43-d45f-42d6-b8c9-e1a3457db5b7;#44;#BG|1a1b3951-7821-4e6a-85f5-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5848</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BUR REX|95ea9877-0c2f-4dd3-80ca-8d1bdfe7d819</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27;#BUR REX|95ea9877-0c2f-4dd3-80ca-8d1bdfe7d819</vt:lpwstr>
  </property>
  <property fmtid="{D5CDD505-2E9C-101B-9397-08002B2CF9AE}" pid="27" name="MeetingDate">
    <vt:filetime>2021-01-11T12:00:00Z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27;#BUR REX|95ea9877-0c2f-4dd3-80ca-8d1bdfe7d819;#8;#TCD|cd9d6eb6-3f4f-424a-b2d1-57c9d450eaaf;#6;#Final|ea5e6674-7b27-4bac-b091-73adbb394efe;#5;#Unrestricted|826e22d7-d029-4ec0-a450-0c28ff673572;#4;#EN|f2175f21-25d7-44a3-96da-d6a61b075e1b;#2;#TRA|150d2a88</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684</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