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B1" w:rsidRPr="009A0262" w:rsidRDefault="003845B1" w:rsidP="003845B1">
      <w:pPr>
        <w:jc w:val="center"/>
        <w:textAlignment w:val="baseline"/>
        <w:rPr>
          <w:rFonts w:ascii="Verdana" w:eastAsia="Times New Roman" w:hAnsi="Verdana" w:cs="Times New Roman"/>
          <w:color w:val="000000"/>
        </w:rPr>
      </w:pPr>
      <w:r w:rsidRPr="009A0262">
        <w:rPr>
          <w:rFonts w:ascii="Verdana" w:eastAsia="Times New Roman" w:hAnsi="Verdana" w:cs="Times New Roman"/>
          <w:noProof/>
          <w:color w:val="000000"/>
          <w:lang w:val="fr-BE" w:eastAsia="fr-BE"/>
        </w:rPr>
        <w:drawing>
          <wp:inline distT="0" distB="0" distL="0" distR="0" wp14:anchorId="1F4191FA" wp14:editId="3189D772">
            <wp:extent cx="5375081" cy="25285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827" cy="2528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3FC" w:rsidRPr="009A0262" w:rsidRDefault="003845B1" w:rsidP="003845B1">
      <w:pPr>
        <w:jc w:val="center"/>
        <w:textAlignment w:val="baseline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9A0262">
        <w:rPr>
          <w:rFonts w:ascii="Verdana" w:hAnsi="Verdana"/>
          <w:b/>
          <w:color w:val="000000"/>
          <w:sz w:val="32"/>
          <w:szCs w:val="32"/>
        </w:rPr>
        <w:t>Recommandations</w:t>
      </w:r>
    </w:p>
    <w:p w:rsidR="004D7D22" w:rsidRPr="009A0262" w:rsidRDefault="004D7D22" w:rsidP="0042270B">
      <w:pPr>
        <w:jc w:val="both"/>
        <w:textAlignment w:val="baseline"/>
        <w:rPr>
          <w:rFonts w:ascii="Verdana" w:eastAsia="Times New Roman" w:hAnsi="Verdana" w:cs="Times New Roman"/>
          <w:color w:val="000000"/>
        </w:rPr>
      </w:pPr>
    </w:p>
    <w:p w:rsidR="0042270B" w:rsidRPr="009A0262" w:rsidRDefault="0042270B" w:rsidP="0042270B">
      <w:p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9A0262">
        <w:rPr>
          <w:rFonts w:ascii="Verdana" w:hAnsi="Verdana"/>
          <w:color w:val="000000"/>
        </w:rPr>
        <w:t xml:space="preserve">Plus de 220 organisations de la société </w:t>
      </w:r>
      <w:r w:rsidR="0043292B" w:rsidRPr="009A0262">
        <w:rPr>
          <w:rFonts w:ascii="Verdana" w:hAnsi="Verdana"/>
          <w:color w:val="000000"/>
        </w:rPr>
        <w:t>civile et des citoyens venus de </w:t>
      </w:r>
      <w:r w:rsidRPr="009A0262">
        <w:rPr>
          <w:rFonts w:ascii="Verdana" w:hAnsi="Verdana"/>
          <w:color w:val="000000"/>
        </w:rPr>
        <w:t>l’Europe entière, pouvant se prév</w:t>
      </w:r>
      <w:r w:rsidR="0043292B" w:rsidRPr="009A0262">
        <w:rPr>
          <w:rFonts w:ascii="Verdana" w:hAnsi="Verdana"/>
          <w:color w:val="000000"/>
        </w:rPr>
        <w:t>aloir d’une expérience dans les </w:t>
      </w:r>
      <w:r w:rsidRPr="009A0262">
        <w:rPr>
          <w:rFonts w:ascii="Verdana" w:hAnsi="Verdana"/>
          <w:color w:val="000000"/>
        </w:rPr>
        <w:t>secteurs de l’élaboration des politiques, des affaires ou de l’éducation ont participé aux «CivSocDays 2018». En coopér</w:t>
      </w:r>
      <w:r w:rsidR="0043292B" w:rsidRPr="009A0262">
        <w:rPr>
          <w:rFonts w:ascii="Verdana" w:hAnsi="Verdana"/>
          <w:color w:val="000000"/>
        </w:rPr>
        <w:t>ation avec le groupe de </w:t>
      </w:r>
      <w:r w:rsidRPr="009A0262">
        <w:rPr>
          <w:rFonts w:ascii="Verdana" w:hAnsi="Verdana"/>
          <w:color w:val="000000"/>
        </w:rPr>
        <w:t>liaison et les sections du CESE, douze organisations de la société civile européenne ont pris part à la préparation de la manifestation.</w:t>
      </w:r>
    </w:p>
    <w:p w:rsidR="0042270B" w:rsidRPr="009A0262" w:rsidRDefault="0042270B" w:rsidP="0042270B">
      <w:pPr>
        <w:jc w:val="both"/>
        <w:textAlignment w:val="baseline"/>
        <w:rPr>
          <w:rFonts w:ascii="Verdana" w:eastAsia="Times New Roman" w:hAnsi="Verdana" w:cs="Times New Roman"/>
          <w:color w:val="000000"/>
        </w:rPr>
      </w:pPr>
    </w:p>
    <w:p w:rsidR="0042270B" w:rsidRPr="009A0262" w:rsidRDefault="0042270B" w:rsidP="0042270B">
      <w:p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9A0262">
        <w:rPr>
          <w:rFonts w:ascii="Verdana" w:hAnsi="Verdana"/>
          <w:color w:val="000000"/>
        </w:rPr>
        <w:t>Les discussions et les échanges qui s</w:t>
      </w:r>
      <w:r w:rsidR="0043292B" w:rsidRPr="009A0262">
        <w:rPr>
          <w:rFonts w:ascii="Verdana" w:hAnsi="Verdana"/>
          <w:color w:val="000000"/>
        </w:rPr>
        <w:t>e sont déroulés au sein des six </w:t>
      </w:r>
      <w:r w:rsidRPr="009A0262">
        <w:rPr>
          <w:rFonts w:ascii="Verdana" w:hAnsi="Verdana"/>
          <w:color w:val="000000"/>
        </w:rPr>
        <w:t>ateliers ont donné lieu à u</w:t>
      </w:r>
      <w:r w:rsidR="0043292B" w:rsidRPr="009A0262">
        <w:rPr>
          <w:rFonts w:ascii="Verdana" w:hAnsi="Verdana"/>
          <w:color w:val="000000"/>
        </w:rPr>
        <w:t>n vote permettant d’adopter les </w:t>
      </w:r>
      <w:r w:rsidRPr="009A0262">
        <w:rPr>
          <w:rFonts w:ascii="Verdana" w:hAnsi="Verdana"/>
          <w:color w:val="000000"/>
        </w:rPr>
        <w:t>recommandations majeures suivantes:</w:t>
      </w:r>
    </w:p>
    <w:p w:rsidR="008603FC" w:rsidRPr="009A0262" w:rsidRDefault="008603FC" w:rsidP="008603FC">
      <w:pPr>
        <w:ind w:left="720"/>
        <w:jc w:val="both"/>
        <w:textAlignment w:val="baseline"/>
        <w:rPr>
          <w:rFonts w:ascii="Verdana" w:eastAsia="Times New Roman" w:hAnsi="Verdana" w:cs="Times New Roman"/>
          <w:color w:val="000000"/>
        </w:rPr>
      </w:pPr>
    </w:p>
    <w:p w:rsidR="008603FC" w:rsidRPr="009A0262" w:rsidRDefault="008603FC" w:rsidP="003845B1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9A0262">
        <w:rPr>
          <w:rFonts w:ascii="Verdana" w:hAnsi="Verdana"/>
          <w:color w:val="000000"/>
        </w:rPr>
        <w:t>Développer des synergies entre l’</w:t>
      </w:r>
      <w:r w:rsidR="0043292B" w:rsidRPr="009A0262">
        <w:rPr>
          <w:rFonts w:ascii="Verdana" w:hAnsi="Verdana"/>
          <w:color w:val="000000"/>
        </w:rPr>
        <w:t>éducation et la culture sur les </w:t>
      </w:r>
      <w:r w:rsidRPr="009A0262">
        <w:rPr>
          <w:rFonts w:ascii="Verdana" w:hAnsi="Verdana"/>
          <w:color w:val="000000"/>
        </w:rPr>
        <w:t xml:space="preserve">thèmes de l’expression culturelle et de la citoyenneté dans tous les contextes éducatifs, et dans la perspective de l’apprentissage tout au long de la vie; </w:t>
      </w:r>
    </w:p>
    <w:p w:rsidR="008603FC" w:rsidRPr="009A0262" w:rsidRDefault="008603FC" w:rsidP="003845B1">
      <w:pPr>
        <w:jc w:val="both"/>
        <w:rPr>
          <w:rFonts w:ascii="Verdana" w:eastAsia="Times New Roman" w:hAnsi="Verdana" w:cs="Times New Roman"/>
          <w:color w:val="000000"/>
        </w:rPr>
      </w:pPr>
    </w:p>
    <w:p w:rsidR="008603FC" w:rsidRPr="009A0262" w:rsidRDefault="008603FC" w:rsidP="003845B1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9A0262">
        <w:rPr>
          <w:rFonts w:ascii="Verdana" w:hAnsi="Verdana"/>
          <w:color w:val="000000"/>
        </w:rPr>
        <w:t>Les organisations de la société civile (OSC) devraient être soutenues pour étendre leu</w:t>
      </w:r>
      <w:r w:rsidR="0043292B" w:rsidRPr="009A0262">
        <w:rPr>
          <w:rFonts w:ascii="Verdana" w:hAnsi="Verdana"/>
          <w:color w:val="000000"/>
        </w:rPr>
        <w:t>r champ d’action dans le but de </w:t>
      </w:r>
      <w:r w:rsidRPr="009A0262">
        <w:rPr>
          <w:rFonts w:ascii="Verdana" w:hAnsi="Verdana"/>
          <w:color w:val="000000"/>
        </w:rPr>
        <w:t>promouvoir et de mettre en évidence l’égalité, l’inclusion et la participation à la vie civique, y compris en ligne;</w:t>
      </w:r>
    </w:p>
    <w:p w:rsidR="008603FC" w:rsidRPr="009A0262" w:rsidRDefault="008603FC" w:rsidP="003845B1">
      <w:pPr>
        <w:jc w:val="both"/>
        <w:rPr>
          <w:rFonts w:ascii="Verdana" w:eastAsia="Times New Roman" w:hAnsi="Verdana" w:cs="Times New Roman"/>
          <w:color w:val="000000"/>
        </w:rPr>
      </w:pPr>
    </w:p>
    <w:p w:rsidR="008603FC" w:rsidRPr="009A0262" w:rsidRDefault="008603FC" w:rsidP="003845B1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9A0262">
        <w:rPr>
          <w:rFonts w:ascii="Verdana" w:hAnsi="Verdana"/>
          <w:color w:val="000000"/>
        </w:rPr>
        <w:t xml:space="preserve">Le contrôle et la supervision de la surveillance doivent être améliorés et la société civile devrait être associée aux mécanismes de supervision en la matière; </w:t>
      </w:r>
    </w:p>
    <w:p w:rsidR="008603FC" w:rsidRPr="009A0262" w:rsidRDefault="0043292B" w:rsidP="003845B1">
      <w:pPr>
        <w:jc w:val="both"/>
        <w:rPr>
          <w:rFonts w:ascii="Verdana" w:eastAsia="Times New Roman" w:hAnsi="Verdana" w:cs="Times New Roman"/>
          <w:color w:val="000000"/>
        </w:rPr>
      </w:pPr>
      <w:r w:rsidRPr="009A0262">
        <w:rPr>
          <w:rFonts w:ascii="Verdana" w:eastAsia="Times New Roman" w:hAnsi="Verdana" w:cs="Times New Roman"/>
          <w:noProof/>
          <w:color w:val="00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1B1007" wp14:editId="7942875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92B" w:rsidRPr="009A0262" w:rsidRDefault="004329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9A0262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43292B" w:rsidRPr="009A0262" w:rsidRDefault="0043292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9A0262"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3FC" w:rsidRPr="009A0262" w:rsidRDefault="008603FC" w:rsidP="003845B1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eastAsia="Times New Roman" w:hAnsi="Verdana" w:cs="Times New Roman"/>
          <w:color w:val="222222"/>
        </w:rPr>
      </w:pPr>
      <w:r w:rsidRPr="009A0262">
        <w:rPr>
          <w:rFonts w:ascii="Verdana" w:hAnsi="Verdana"/>
          <w:color w:val="222222"/>
        </w:rPr>
        <w:t>Au niveau local, il conviendrait de recourir davantage à la cocréation/production participative (crowdsourcing) des outils numériques afin de renfo</w:t>
      </w:r>
      <w:r w:rsidR="0043292B" w:rsidRPr="009A0262">
        <w:rPr>
          <w:rFonts w:ascii="Verdana" w:hAnsi="Verdana"/>
          <w:color w:val="222222"/>
        </w:rPr>
        <w:t>rcer l’engagement des citoyens;</w:t>
      </w:r>
    </w:p>
    <w:p w:rsidR="008603FC" w:rsidRPr="009A0262" w:rsidRDefault="008603FC" w:rsidP="003845B1">
      <w:pPr>
        <w:jc w:val="both"/>
        <w:rPr>
          <w:rFonts w:ascii="Verdana" w:eastAsia="Times New Roman" w:hAnsi="Verdana" w:cs="Times New Roman"/>
          <w:color w:val="000000"/>
        </w:rPr>
      </w:pPr>
    </w:p>
    <w:p w:rsidR="008603FC" w:rsidRPr="009A0262" w:rsidRDefault="008603FC" w:rsidP="003845B1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9A0262">
        <w:rPr>
          <w:rFonts w:ascii="Verdana" w:hAnsi="Verdana"/>
          <w:color w:val="000000"/>
        </w:rPr>
        <w:t>L’accessibilité devrait aller de pair avec la sécurité ou la protection des données. Elle devrait consti</w:t>
      </w:r>
      <w:r w:rsidR="0043292B" w:rsidRPr="009A0262">
        <w:rPr>
          <w:rFonts w:ascii="Verdana" w:hAnsi="Verdana"/>
          <w:color w:val="000000"/>
        </w:rPr>
        <w:t>tuer un élément fondamental des </w:t>
      </w:r>
      <w:r w:rsidRPr="009A0262">
        <w:rPr>
          <w:rFonts w:ascii="Verdana" w:hAnsi="Verdana"/>
          <w:color w:val="000000"/>
        </w:rPr>
        <w:t>produits et services reposant sur les TIC;</w:t>
      </w:r>
    </w:p>
    <w:p w:rsidR="008603FC" w:rsidRPr="009A0262" w:rsidRDefault="008603FC" w:rsidP="003845B1">
      <w:pPr>
        <w:jc w:val="both"/>
        <w:rPr>
          <w:rFonts w:ascii="Verdana" w:eastAsia="Times New Roman" w:hAnsi="Verdana" w:cs="Times New Roman"/>
          <w:color w:val="000000"/>
        </w:rPr>
      </w:pPr>
    </w:p>
    <w:p w:rsidR="003845B1" w:rsidRPr="009A0262" w:rsidRDefault="008603FC" w:rsidP="003845B1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9A0262">
        <w:rPr>
          <w:rFonts w:ascii="Verdana" w:hAnsi="Verdana"/>
          <w:color w:val="000000"/>
        </w:rPr>
        <w:t>Il est à la fois possible et souhaitable que l’intelligence artificielle augmente les capacités des travail</w:t>
      </w:r>
      <w:r w:rsidR="0043292B" w:rsidRPr="009A0262">
        <w:rPr>
          <w:rFonts w:ascii="Verdana" w:hAnsi="Verdana"/>
          <w:color w:val="000000"/>
        </w:rPr>
        <w:t>leurs mais nullement qu’elle se </w:t>
      </w:r>
      <w:r w:rsidRPr="009A0262">
        <w:rPr>
          <w:rFonts w:ascii="Verdana" w:hAnsi="Verdana"/>
          <w:color w:val="000000"/>
        </w:rPr>
        <w:t>substitue à eux;</w:t>
      </w:r>
    </w:p>
    <w:p w:rsidR="003845B1" w:rsidRPr="009A0262" w:rsidRDefault="003845B1" w:rsidP="003845B1">
      <w:pPr>
        <w:pStyle w:val="ListParagraph"/>
        <w:jc w:val="both"/>
        <w:textAlignment w:val="baseline"/>
        <w:rPr>
          <w:rFonts w:ascii="Verdana" w:eastAsia="Times New Roman" w:hAnsi="Verdana" w:cs="Times New Roman"/>
          <w:color w:val="000000"/>
        </w:rPr>
      </w:pPr>
    </w:p>
    <w:p w:rsidR="004A6A2E" w:rsidRPr="009A0262" w:rsidRDefault="003845B1" w:rsidP="003845B1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9A0262">
        <w:rPr>
          <w:rFonts w:ascii="Verdana" w:hAnsi="Verdana"/>
        </w:rPr>
        <w:t>Il faut soutenir et promouvoir une Charte des droits numériques fondamentaux de l’Union européenne.</w:t>
      </w:r>
    </w:p>
    <w:sectPr w:rsidR="004A6A2E" w:rsidRPr="009A0262" w:rsidSect="009A0262">
      <w:footerReference w:type="default" r:id="rId13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B6" w:rsidRDefault="001831B6" w:rsidP="0018121C">
      <w:r>
        <w:separator/>
      </w:r>
    </w:p>
  </w:endnote>
  <w:endnote w:type="continuationSeparator" w:id="0">
    <w:p w:rsidR="001831B6" w:rsidRDefault="001831B6" w:rsidP="0018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1C" w:rsidRPr="009A0262" w:rsidRDefault="009A0262" w:rsidP="009A0262">
    <w:pPr>
      <w:pStyle w:val="Footer"/>
    </w:pPr>
    <w:r>
      <w:t xml:space="preserve">EESC-2018-02758-00-00-TCD-TRA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590D00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590D00"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 w:rsidR="00590D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B6" w:rsidRDefault="001831B6" w:rsidP="0018121C">
      <w:r>
        <w:separator/>
      </w:r>
    </w:p>
  </w:footnote>
  <w:footnote w:type="continuationSeparator" w:id="0">
    <w:p w:rsidR="001831B6" w:rsidRDefault="001831B6" w:rsidP="0018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57"/>
    <w:multiLevelType w:val="hybridMultilevel"/>
    <w:tmpl w:val="FE7A2142"/>
    <w:lvl w:ilvl="0" w:tplc="822EAE32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81EB2"/>
    <w:multiLevelType w:val="multilevel"/>
    <w:tmpl w:val="9BA4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662F6"/>
    <w:multiLevelType w:val="multilevel"/>
    <w:tmpl w:val="93E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A71F9"/>
    <w:multiLevelType w:val="multilevel"/>
    <w:tmpl w:val="4CA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15125"/>
    <w:multiLevelType w:val="multilevel"/>
    <w:tmpl w:val="6464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77F9D"/>
    <w:multiLevelType w:val="multilevel"/>
    <w:tmpl w:val="D76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B47A8"/>
    <w:multiLevelType w:val="multilevel"/>
    <w:tmpl w:val="7404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52A1D"/>
    <w:multiLevelType w:val="hybridMultilevel"/>
    <w:tmpl w:val="BD2A6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FC"/>
    <w:rsid w:val="000576E0"/>
    <w:rsid w:val="00147DCF"/>
    <w:rsid w:val="0018121C"/>
    <w:rsid w:val="001831B6"/>
    <w:rsid w:val="002D35E4"/>
    <w:rsid w:val="003845B1"/>
    <w:rsid w:val="00410A3D"/>
    <w:rsid w:val="0042270B"/>
    <w:rsid w:val="0043292B"/>
    <w:rsid w:val="004A6A2E"/>
    <w:rsid w:val="004D7D22"/>
    <w:rsid w:val="005030D3"/>
    <w:rsid w:val="00590D00"/>
    <w:rsid w:val="00643FB9"/>
    <w:rsid w:val="00654F42"/>
    <w:rsid w:val="006574E5"/>
    <w:rsid w:val="006C48A5"/>
    <w:rsid w:val="008603FC"/>
    <w:rsid w:val="00886A59"/>
    <w:rsid w:val="009A0262"/>
    <w:rsid w:val="00B63F08"/>
    <w:rsid w:val="00C15931"/>
    <w:rsid w:val="00E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3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6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1C"/>
  </w:style>
  <w:style w:type="paragraph" w:styleId="Footer">
    <w:name w:val="footer"/>
    <w:basedOn w:val="Normal"/>
    <w:link w:val="FooterChar"/>
    <w:uiPriority w:val="99"/>
    <w:unhideWhenUsed/>
    <w:rsid w:val="00181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3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6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1C"/>
  </w:style>
  <w:style w:type="paragraph" w:styleId="Footer">
    <w:name w:val="footer"/>
    <w:basedOn w:val="Normal"/>
    <w:link w:val="FooterChar"/>
    <w:uiPriority w:val="99"/>
    <w:unhideWhenUsed/>
    <w:rsid w:val="00181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RCSZ5D2JPTA3-5-3232</_dlc_DocId>
    <_dlc_DocIdUrl xmlns="8975caae-a2e4-4a1b-856a-87d8a7cad937">
      <Url>http://dm/EESC/2018/_layouts/DocIdRedir.aspx?ID=RCSZ5D2JPTA3-5-3232</Url>
      <Description>RCSZ5D2JPTA3-5-3232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b2fd9cfc-69a7-468d-842d-8645d9eed445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2018-05-31T12:00:00+00:00</ProductionDate>
    <DocumentNumber xmlns="b2fd9cfc-69a7-468d-842d-8645d9eed445">2758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8</Value>
      <Value>7</Value>
      <Value>6</Value>
      <Value>5</Value>
      <Value>4</Value>
      <Value>25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6526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Relations avec la société civile organisée et prospective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11DA2224A10F34E86FCC8C9E81793CC" ma:contentTypeVersion="4" ma:contentTypeDescription="Defines the documents for Document Manager V2" ma:contentTypeScope="" ma:versionID="0dadef9e21ff8e8145220e901a7995e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b2fd9cfc-69a7-468d-842d-8645d9eed445" targetNamespace="http://schemas.microsoft.com/office/2006/metadata/properties" ma:root="true" ma:fieldsID="71c43a90a329af690f26b436bfba4f57" ns2:_="" ns3:_="" ns4:_="">
    <xsd:import namespace="8975caae-a2e4-4a1b-856a-87d8a7cad937"/>
    <xsd:import namespace="http://schemas.microsoft.com/sharepoint/v3/fields"/>
    <xsd:import namespace="b2fd9cfc-69a7-468d-842d-8645d9eed4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d9cfc-69a7-468d-842d-8645d9eed44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78CCE-5FC2-4D97-BF2D-FC05229917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C44BCB-9000-4AF5-B6B0-4C7E669D94B1}">
  <ds:schemaRefs>
    <ds:schemaRef ds:uri="http://schemas.microsoft.com/office/2006/metadata/properties"/>
    <ds:schemaRef ds:uri="http://schemas.microsoft.com/office/infopath/2007/PartnerControls"/>
    <ds:schemaRef ds:uri="8975caae-a2e4-4a1b-856a-87d8a7cad937"/>
    <ds:schemaRef ds:uri="http://schemas.microsoft.com/sharepoint/v3/fields"/>
    <ds:schemaRef ds:uri="b2fd9cfc-69a7-468d-842d-8645d9eed445"/>
  </ds:schemaRefs>
</ds:datastoreItem>
</file>

<file path=customXml/itemProps3.xml><?xml version="1.0" encoding="utf-8"?>
<ds:datastoreItem xmlns:ds="http://schemas.openxmlformats.org/officeDocument/2006/customXml" ds:itemID="{1ABAC553-FB19-4CEB-B333-A4624F38C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48FA7-A6B4-4FC7-BD83-9BDADE819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b2fd9cfc-69a7-468d-842d-8645d9eed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Recommandations Journées de la société civile</vt:lpstr>
    </vt:vector>
  </TitlesOfParts>
  <Company>CESE-CDR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Recommandations Journées de la société civile</dc:title>
  <dc:subject>Travaux consultatifs, divers</dc:subject>
  <dc:creator>markopaunovic1981@gmail.com</dc:creator>
  <cp:keywords>EESC-2018-02758-00-00-TCD-TRA-EN</cp:keywords>
  <dc:description>Rapporteur:  - Original language: EN - Date of document: 31/05/2018 - Date of meeting:  - External documents:  - Administrator: Mme Serafini Karen Juliane</dc:description>
  <cp:lastModifiedBy>Karen Serafini</cp:lastModifiedBy>
  <cp:revision>2</cp:revision>
  <dcterms:created xsi:type="dcterms:W3CDTF">2018-06-01T09:20:00Z</dcterms:created>
  <dcterms:modified xsi:type="dcterms:W3CDTF">2018-06-01T09:20:00Z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29/05/2018</vt:lpwstr>
  </property>
  <property fmtid="{D5CDD505-2E9C-101B-9397-08002B2CF9AE}" pid="4" name="Pref_Time">
    <vt:lpwstr>17:35:49</vt:lpwstr>
  </property>
  <property fmtid="{D5CDD505-2E9C-101B-9397-08002B2CF9AE}" pid="5" name="Pref_User">
    <vt:lpwstr>amett</vt:lpwstr>
  </property>
  <property fmtid="{D5CDD505-2E9C-101B-9397-08002B2CF9AE}" pid="6" name="Pref_FileName">
    <vt:lpwstr>EESC-2018-02758-00-00-TCD-TRA-EN-CRR.docx</vt:lpwstr>
  </property>
  <property fmtid="{D5CDD505-2E9C-101B-9397-08002B2CF9AE}" pid="7" name="ContentTypeId">
    <vt:lpwstr>0x010100EA97B91038054C99906057A708A1480A00C11DA2224A10F34E86FCC8C9E81793CC</vt:lpwstr>
  </property>
  <property fmtid="{D5CDD505-2E9C-101B-9397-08002B2CF9AE}" pid="8" name="_dlc_DocIdItemGuid">
    <vt:lpwstr>cbd8089e-0902-4b55-9606-a13f6b31924b</vt:lpwstr>
  </property>
  <property fmtid="{D5CDD505-2E9C-101B-9397-08002B2CF9AE}" pid="9" name="DocumentType_0">
    <vt:lpwstr>TCD|cd9d6eb6-3f4f-424a-b2d1-57c9d450eaaf</vt:lpwstr>
  </property>
  <property fmtid="{D5CDD505-2E9C-101B-9397-08002B2CF9AE}" pid="10" name="AvailableTranslations">
    <vt:lpwstr>4;#EN|f2175f21-25d7-44a3-96da-d6a61b075e1b;#8;#FR|d2afafd3-4c81-4f60-8f52-ee33f2f54ff3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2758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25;#TCD|cd9d6eb6-3f4f-424a-b2d1-57c9d450eaaf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Relations avec la société civile organisée et prospective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7;#TRA|150d2a88-1431-44e6-a8ca-0bb753ab8672;#6;#Final|ea5e6674-7b27-4bac-b091-73adbb394efe;#5;#Unrestricted|826e22d7-d029-4ec0-a450-0c28ff673572;#4;#EN|f2175f21-25d7-44a3-96da-d6a61b075e1b;#25;#TCD|cd9d6eb6-3f4f-424a-b2d1-57c9d450eaaf;#1;#EESC|422833ec-8d</vt:lpwstr>
  </property>
  <property fmtid="{D5CDD505-2E9C-101B-9397-08002B2CF9AE}" pid="30" name="AvailableTranslations_0">
    <vt:lpwstr>EN|f2175f21-25d7-44a3-96da-d6a61b075e1b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6526</vt:i4>
  </property>
  <property fmtid="{D5CDD505-2E9C-101B-9397-08002B2CF9AE}" pid="34" name="DocumentYear">
    <vt:i4>2018</vt:i4>
  </property>
  <property fmtid="{D5CDD505-2E9C-101B-9397-08002B2CF9AE}" pid="35" name="DocumentLanguage">
    <vt:lpwstr>8;#FR|d2afafd3-4c81-4f60-8f52-ee33f2f54ff3</vt:lpwstr>
  </property>
</Properties>
</file>