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E84" w:rsidRPr="00AF0078" w:rsidRDefault="00555E84" w:rsidP="00555E84">
      <w:pPr>
        <w:jc w:val="center"/>
        <w:rPr>
          <w:rFonts w:ascii="Calibri" w:eastAsia="Calibri" w:hAnsi="Calibri" w:cs="Calibri"/>
          <w:b/>
        </w:rPr>
      </w:pPr>
      <w:r>
        <w:rPr>
          <w:rFonts w:ascii="Calibri" w:hAnsi="Calibri"/>
          <w:b/>
          <w:noProof/>
          <w:lang w:val="fr-BE"/>
        </w:rPr>
        <w:drawing>
          <wp:inline distT="0" distB="0" distL="0" distR="0" wp14:anchorId="00679B09" wp14:editId="21B35035">
            <wp:extent cx="5899100" cy="2146852"/>
            <wp:effectExtent l="0" t="0" r="6985" b="6350"/>
            <wp:docPr id="2" name="Picture 2" descr="U:\CIVSOCDAYS\2019\Graphics\19_43-600x360-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CIVSOCDAYS\2019\Graphics\19_43-600x360-we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7640" cy="2149960"/>
                    </a:xfrm>
                    <a:prstGeom prst="rect">
                      <a:avLst/>
                    </a:prstGeom>
                    <a:noFill/>
                    <a:ln>
                      <a:noFill/>
                    </a:ln>
                  </pic:spPr>
                </pic:pic>
              </a:graphicData>
            </a:graphic>
          </wp:inline>
        </w:drawing>
      </w:r>
    </w:p>
    <w:p w:rsidR="00555E84" w:rsidRPr="00AF0078" w:rsidRDefault="000F111B" w:rsidP="00555E84">
      <w:pPr>
        <w:jc w:val="center"/>
        <w:rPr>
          <w:rFonts w:ascii="Calibri" w:eastAsia="Calibri" w:hAnsi="Calibri" w:cs="Calibri"/>
          <w:b/>
          <w:sz w:val="28"/>
          <w:szCs w:val="28"/>
          <w:lang w:val="en-GB"/>
        </w:rPr>
      </w:pPr>
      <w:r w:rsidRPr="000F111B">
        <w:rPr>
          <w:rFonts w:ascii="Calibri" w:eastAsia="Calibri" w:hAnsi="Calibri" w:cs="Calibri"/>
          <w:b/>
          <w:noProof/>
          <w:sz w:val="20"/>
          <w:szCs w:val="28"/>
          <w:lang w:val="fr-BE"/>
        </w:rPr>
        <mc:AlternateContent>
          <mc:Choice Requires="wps">
            <w:drawing>
              <wp:anchor distT="0" distB="0" distL="114300" distR="114300" simplePos="0" relativeHeight="251659264" behindDoc="1" locked="0" layoutInCell="0" allowOverlap="1">
                <wp:simplePos x="0" y="0"/>
                <wp:positionH relativeFrom="page">
                  <wp:posOffset>6769100</wp:posOffset>
                </wp:positionH>
                <wp:positionV relativeFrom="page">
                  <wp:posOffset>10081260</wp:posOffset>
                </wp:positionV>
                <wp:extent cx="647700" cy="396240"/>
                <wp:effectExtent l="0" t="3810" r="3175" b="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11B" w:rsidRPr="00260E65" w:rsidRDefault="000F111B">
                            <w:pPr>
                              <w:jc w:val="center"/>
                              <w:rPr>
                                <w:b/>
                                <w:bCs/>
                                <w:sz w:val="48"/>
                                <w:lang w:val="nl-BE"/>
                              </w:rPr>
                            </w:pPr>
                            <w:r>
                              <w:rPr>
                                <w:b/>
                                <w:bCs/>
                                <w:sz w:val="48"/>
                                <w:lang w:val="nl-BE"/>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qm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D/IEqmtQIAALoF&#10;AAAOAAAAAAAAAAAAAAAAAC4CAABkcnMvZTJvRG9jLnhtbFBLAQItABQABgAIAAAAIQDrVDFa3gAA&#10;AA8BAAAPAAAAAAAAAAAAAAAAAA8FAABkcnMvZG93bnJldi54bWxQSwUGAAAAAAQABADzAAAAGgYA&#10;AAAA&#10;" o:allowincell="f" filled="f" stroked="f">
                <v:textbox>
                  <w:txbxContent>
                    <w:p w:rsidR="000F111B" w:rsidRPr="00260E65" w:rsidRDefault="000F111B">
                      <w:pPr>
                        <w:jc w:val="center"/>
                        <w:rPr>
                          <w:b/>
                          <w:bCs/>
                          <w:sz w:val="48"/>
                          <w:lang w:val="nl-BE"/>
                        </w:rPr>
                      </w:pPr>
                      <w:r>
                        <w:rPr>
                          <w:b/>
                          <w:bCs/>
                          <w:sz w:val="48"/>
                          <w:lang w:val="nl-BE"/>
                        </w:rPr>
                        <w:t>FR</w:t>
                      </w:r>
                    </w:p>
                  </w:txbxContent>
                </v:textbox>
                <w10:wrap anchorx="page" anchory="page"/>
              </v:shape>
            </w:pict>
          </mc:Fallback>
        </mc:AlternateContent>
      </w:r>
    </w:p>
    <w:p w:rsidR="008A7178" w:rsidRPr="00AF0078" w:rsidRDefault="00474B51" w:rsidP="00555E84">
      <w:pPr>
        <w:jc w:val="center"/>
        <w:rPr>
          <w:rFonts w:ascii="Calibri" w:eastAsia="Calibri" w:hAnsi="Calibri" w:cs="Calibri"/>
          <w:b/>
          <w:sz w:val="28"/>
          <w:szCs w:val="28"/>
        </w:rPr>
      </w:pPr>
      <w:r>
        <w:rPr>
          <w:rFonts w:ascii="Calibri" w:hAnsi="Calibri"/>
          <w:b/>
          <w:sz w:val="28"/>
          <w:szCs w:val="28"/>
        </w:rPr>
        <w:t>Recommandations des Journées de la société civile 2019</w:t>
      </w:r>
    </w:p>
    <w:p w:rsidR="008A7178" w:rsidRDefault="00474B51">
      <w:pPr>
        <w:pStyle w:val="Heading2"/>
        <w:keepNext w:val="0"/>
        <w:keepLines w:val="0"/>
        <w:spacing w:after="0"/>
        <w:jc w:val="both"/>
        <w:rPr>
          <w:rFonts w:ascii="Calibri" w:hAnsi="Calibri"/>
          <w:sz w:val="22"/>
          <w:szCs w:val="22"/>
        </w:rPr>
      </w:pPr>
      <w:bookmarkStart w:id="0" w:name="_u3wintb76pat"/>
      <w:bookmarkEnd w:id="0"/>
      <w:r>
        <w:rPr>
          <w:rFonts w:ascii="Calibri" w:hAnsi="Calibri"/>
          <w:sz w:val="22"/>
          <w:szCs w:val="22"/>
        </w:rPr>
        <w:t>L’Europe doit aujourd’hui faire face à des défis sans précédent. La montée du nationalisme, entraînée par la perte de confiance des citoyens dans le projet européen, menace de subvertir les valeurs démocratiques et d’ébranler la stabilité sociale et politique. Dans le même temps, l’ampleur de la crise environnementale, marquée par l’urgence climatique et une perte de biodiversité sans pareille, révèle une défaillance systémique du modèle écon</w:t>
      </w:r>
      <w:r w:rsidR="000F111B">
        <w:rPr>
          <w:rFonts w:ascii="Calibri" w:hAnsi="Calibri"/>
          <w:sz w:val="22"/>
          <w:szCs w:val="22"/>
        </w:rPr>
        <w:t>omique prédominant sous-jacent.</w:t>
      </w:r>
    </w:p>
    <w:p w:rsidR="000F111B" w:rsidRPr="000F111B" w:rsidRDefault="000F111B" w:rsidP="000F111B"/>
    <w:p w:rsidR="008A7178" w:rsidRDefault="00474B51">
      <w:pPr>
        <w:jc w:val="both"/>
        <w:rPr>
          <w:rFonts w:ascii="Calibri" w:hAnsi="Calibri"/>
        </w:rPr>
      </w:pPr>
      <w:r>
        <w:rPr>
          <w:rFonts w:ascii="Calibri" w:hAnsi="Calibri"/>
        </w:rPr>
        <w:t>Les préoccupations légitimes concernant, d’une part, le changement climatique et l’environnement et d’autre part, les valeurs démocratiques, figuraient au premier rang des priorités de nombreux électeurs lors des récentes élections européennes. Le résultat de ces élections est, dans une certaine mesure, la traduction directe du sentiment d’urgence ressenti par de nombreux citoyens européens, en particulier les jeunes. Ces électeurs soulignent la nécessité de s’attaquer sans attendre aux nombreux défis économiques, sociaux, environnementaux et politiques a</w:t>
      </w:r>
      <w:r w:rsidR="000F111B">
        <w:rPr>
          <w:rFonts w:ascii="Calibri" w:hAnsi="Calibri"/>
        </w:rPr>
        <w:t>uxquels nous sommes confrontés.</w:t>
      </w:r>
    </w:p>
    <w:p w:rsidR="000F111B" w:rsidRPr="00AF0078" w:rsidRDefault="000F111B">
      <w:pPr>
        <w:jc w:val="both"/>
        <w:rPr>
          <w:rFonts w:ascii="Calibri" w:eastAsia="Calibri" w:hAnsi="Calibri" w:cs="Calibri"/>
        </w:rPr>
      </w:pPr>
    </w:p>
    <w:p w:rsidR="008A7178" w:rsidRDefault="00474B51">
      <w:pPr>
        <w:jc w:val="both"/>
        <w:rPr>
          <w:rFonts w:ascii="Calibri" w:hAnsi="Calibri"/>
        </w:rPr>
      </w:pPr>
      <w:r>
        <w:rPr>
          <w:rFonts w:ascii="Calibri" w:hAnsi="Calibri"/>
        </w:rPr>
        <w:t>Les Journées de la société civile 2019, consacrées aux thèmes de la démocratie et du développement durable, se sont dès lors tenues à un moment très opportun pour aborder ces questions clés, que la société civile a examinées dans le cadre de six ateliers et deux séances plénières.</w:t>
      </w:r>
    </w:p>
    <w:p w:rsidR="000F111B" w:rsidRPr="00AF0078" w:rsidRDefault="000F111B">
      <w:pPr>
        <w:jc w:val="both"/>
        <w:rPr>
          <w:rFonts w:ascii="Calibri" w:eastAsia="Calibri" w:hAnsi="Calibri" w:cs="Calibri"/>
        </w:rPr>
      </w:pPr>
    </w:p>
    <w:p w:rsidR="008A7178" w:rsidRDefault="00474B51">
      <w:pPr>
        <w:jc w:val="both"/>
        <w:rPr>
          <w:rFonts w:ascii="Calibri" w:hAnsi="Calibri"/>
        </w:rPr>
      </w:pPr>
      <w:r>
        <w:rPr>
          <w:rFonts w:ascii="Calibri" w:hAnsi="Calibri"/>
        </w:rPr>
        <w:t>Quelque 250 citoyens venus de toute l’Europe, appartenant à la société civile et au monde des décideurs politiques, des entreprises et de l’éducation, ont participé à l’édition de cette année, préparée par 16 réseaux de la société civile européenne en coopération avec le CESE.</w:t>
      </w:r>
    </w:p>
    <w:p w:rsidR="000F111B" w:rsidRPr="00AF0078" w:rsidRDefault="000F111B">
      <w:pPr>
        <w:jc w:val="both"/>
        <w:rPr>
          <w:rFonts w:ascii="Calibri" w:eastAsia="Calibri" w:hAnsi="Calibri" w:cs="Calibri"/>
        </w:rPr>
      </w:pPr>
    </w:p>
    <w:p w:rsidR="008A7178" w:rsidRDefault="007642E8">
      <w:pPr>
        <w:jc w:val="both"/>
        <w:rPr>
          <w:rFonts w:ascii="Calibri" w:hAnsi="Calibri"/>
        </w:rPr>
      </w:pPr>
      <w:r>
        <w:rPr>
          <w:rFonts w:ascii="Calibri" w:hAnsi="Calibri"/>
        </w:rPr>
        <w:t>Cette conférence majeure de la société civile adresse aux institutions européennes les recommandations suivantes.</w:t>
      </w:r>
    </w:p>
    <w:p w:rsidR="000F111B" w:rsidRPr="00AF0078" w:rsidRDefault="000F111B">
      <w:pPr>
        <w:jc w:val="both"/>
        <w:rPr>
          <w:rFonts w:ascii="Calibri" w:eastAsia="Calibri" w:hAnsi="Calibri" w:cs="Calibri"/>
        </w:rPr>
      </w:pPr>
    </w:p>
    <w:p w:rsidR="000F111B" w:rsidRDefault="000F111B">
      <w:pPr>
        <w:rPr>
          <w:rFonts w:ascii="Calibri" w:hAnsi="Calibri"/>
          <w:b/>
          <w:color w:val="1155CC"/>
          <w:sz w:val="28"/>
          <w:szCs w:val="28"/>
        </w:rPr>
      </w:pPr>
      <w:r>
        <w:rPr>
          <w:rFonts w:ascii="Calibri" w:hAnsi="Calibri"/>
          <w:b/>
          <w:color w:val="1155CC"/>
          <w:sz w:val="28"/>
          <w:szCs w:val="28"/>
        </w:rPr>
        <w:br w:type="page"/>
      </w:r>
    </w:p>
    <w:p w:rsidR="008A7178" w:rsidRPr="00AF0078" w:rsidRDefault="00474B51">
      <w:pPr>
        <w:rPr>
          <w:rFonts w:ascii="Calibri" w:eastAsia="Calibri" w:hAnsi="Calibri" w:cs="Calibri"/>
          <w:b/>
          <w:color w:val="1155CC"/>
          <w:sz w:val="28"/>
          <w:szCs w:val="28"/>
        </w:rPr>
      </w:pPr>
      <w:r>
        <w:rPr>
          <w:rFonts w:ascii="Calibri" w:hAnsi="Calibri"/>
          <w:b/>
          <w:color w:val="1155CC"/>
          <w:sz w:val="28"/>
          <w:szCs w:val="28"/>
        </w:rPr>
        <w:lastRenderedPageBreak/>
        <w:t>Pour une démocratie participative</w:t>
      </w:r>
    </w:p>
    <w:p w:rsidR="00066291" w:rsidRPr="00AF0078" w:rsidRDefault="00066291">
      <w:pPr>
        <w:rPr>
          <w:rFonts w:ascii="Calibri" w:eastAsia="Calibri" w:hAnsi="Calibri" w:cs="Calibri"/>
          <w:b/>
          <w:color w:val="1155CC"/>
          <w:sz w:val="28"/>
          <w:szCs w:val="28"/>
          <w:lang w:val="en-GB"/>
        </w:rPr>
      </w:pPr>
    </w:p>
    <w:p w:rsidR="00555E84" w:rsidRPr="00AF0078" w:rsidRDefault="00555E84" w:rsidP="006A2171">
      <w:pPr>
        <w:pBdr>
          <w:top w:val="single" w:sz="4" w:space="1" w:color="auto"/>
          <w:left w:val="single" w:sz="4" w:space="4" w:color="auto"/>
          <w:bottom w:val="single" w:sz="4" w:space="1" w:color="auto"/>
          <w:right w:val="single" w:sz="4" w:space="4" w:color="auto"/>
        </w:pBdr>
        <w:jc w:val="both"/>
        <w:rPr>
          <w:rFonts w:ascii="Calibri" w:eastAsia="Calibri" w:hAnsi="Calibri" w:cs="Calibri"/>
          <w:b/>
          <w:sz w:val="24"/>
          <w:szCs w:val="24"/>
        </w:rPr>
      </w:pPr>
      <w:r>
        <w:rPr>
          <w:rFonts w:ascii="Calibri" w:hAnsi="Calibri"/>
          <w:b/>
          <w:sz w:val="24"/>
          <w:szCs w:val="24"/>
        </w:rPr>
        <w:t>Vision</w:t>
      </w:r>
    </w:p>
    <w:p w:rsidR="00555E84" w:rsidRPr="00AF0078" w:rsidRDefault="00206CDD" w:rsidP="006A2171">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Pr>
          <w:rFonts w:ascii="Calibri" w:hAnsi="Calibri"/>
        </w:rPr>
        <w:t xml:space="preserve">Pour parvenir à une démocratie durable, il faut renforcer sa dimension participative, et par conséquent, donner aux citoyens les moyens d’agir et protéger les organisations de la société civile (OSC). Les institutions doivent dès lors rejeter clairement toute stigmatisation et toute criminalisation de la société civile et soutenir les différents acteurs qui défendent les valeurs démocratiques et les droits fondamentaux, tant sur le terrain que sur le plan transnational. </w:t>
      </w:r>
    </w:p>
    <w:p w:rsidR="00555E84" w:rsidRPr="00AF0078" w:rsidRDefault="00474B51" w:rsidP="00A25C9E">
      <w:pPr>
        <w:pBdr>
          <w:top w:val="single" w:sz="4" w:space="1" w:color="auto"/>
          <w:left w:val="single" w:sz="4" w:space="4" w:color="auto"/>
          <w:bottom w:val="single" w:sz="4" w:space="1" w:color="auto"/>
          <w:right w:val="single" w:sz="4" w:space="4" w:color="auto"/>
        </w:pBdr>
        <w:jc w:val="both"/>
        <w:rPr>
          <w:rFonts w:ascii="Calibri" w:eastAsia="Calibri" w:hAnsi="Calibri" w:cs="Calibri"/>
        </w:rPr>
      </w:pPr>
      <w:r>
        <w:rPr>
          <w:rFonts w:ascii="Calibri" w:hAnsi="Calibri"/>
        </w:rPr>
        <w:t xml:space="preserve">Les députés au Parlement européen devraient œuvrer à l’autonomisation des citoyens, en particulier des jeunes, et le dialogue civil doit être mis en place, au niveau central et décentralisé, conformément à l’article 11, paragraphes 1 et 2, du TUE. Ces actions permettraient de combler le fossé qui sépare actuellement les citoyens de leurs représentants, en rendant le processus décisionnel plus accessible et plus inclusif. Il convient d’accorder une attention particulière aux zones rurales et périphériques afin de restaurer une sphère publique et des infrastructures de dialogue et de débat, car c’est dans ces régions que les citoyens se sentent particulièrement délaissés par la politique actuelle. </w:t>
      </w:r>
    </w:p>
    <w:p w:rsidR="000F111B" w:rsidRDefault="000F111B" w:rsidP="003A77F5">
      <w:pPr>
        <w:spacing w:line="240" w:lineRule="auto"/>
        <w:jc w:val="both"/>
        <w:rPr>
          <w:rFonts w:ascii="Calibri" w:hAnsi="Calibri"/>
          <w:b/>
          <w:sz w:val="24"/>
          <w:szCs w:val="24"/>
        </w:rPr>
      </w:pPr>
    </w:p>
    <w:p w:rsidR="008A7178" w:rsidRPr="00AF0078" w:rsidRDefault="00555E84" w:rsidP="003A77F5">
      <w:pPr>
        <w:spacing w:line="240" w:lineRule="auto"/>
        <w:jc w:val="both"/>
        <w:rPr>
          <w:rFonts w:ascii="Calibri" w:eastAsia="Calibri" w:hAnsi="Calibri" w:cs="Calibri"/>
          <w:b/>
          <w:sz w:val="24"/>
          <w:szCs w:val="24"/>
          <w:highlight w:val="white"/>
        </w:rPr>
      </w:pPr>
      <w:r>
        <w:rPr>
          <w:rFonts w:ascii="Calibri" w:hAnsi="Calibri"/>
          <w:b/>
          <w:sz w:val="24"/>
          <w:szCs w:val="24"/>
        </w:rPr>
        <w:t>Actions proposées:</w:t>
      </w:r>
    </w:p>
    <w:p w:rsidR="00555E84" w:rsidRPr="00AF0078" w:rsidRDefault="00555E84" w:rsidP="003A77F5">
      <w:pPr>
        <w:spacing w:line="240" w:lineRule="auto"/>
        <w:jc w:val="both"/>
        <w:rPr>
          <w:rFonts w:ascii="Calibri" w:eastAsia="Calibri" w:hAnsi="Calibri" w:cs="Calibri"/>
          <w:b/>
          <w:highlight w:val="white"/>
          <w:lang w:val="en-GB"/>
        </w:rPr>
      </w:pPr>
    </w:p>
    <w:tbl>
      <w:tblPr>
        <w:tblStyle w:val="TableGrid"/>
        <w:tblW w:w="0" w:type="auto"/>
        <w:tblCellMar>
          <w:top w:w="57" w:type="dxa"/>
          <w:bottom w:w="57" w:type="dxa"/>
        </w:tblCellMar>
        <w:tblLook w:val="04A0" w:firstRow="1" w:lastRow="0" w:firstColumn="1" w:lastColumn="0" w:noHBand="0" w:noVBand="1"/>
      </w:tblPr>
      <w:tblGrid>
        <w:gridCol w:w="5070"/>
        <w:gridCol w:w="4677"/>
      </w:tblGrid>
      <w:tr w:rsidR="00555E84" w:rsidRPr="00AF0078" w:rsidTr="00A25C9E">
        <w:tc>
          <w:tcPr>
            <w:tcW w:w="5070" w:type="dxa"/>
            <w:tcBorders>
              <w:bottom w:val="single" w:sz="4" w:space="0" w:color="auto"/>
            </w:tcBorders>
          </w:tcPr>
          <w:p w:rsidR="00555E84" w:rsidRPr="00AF0078" w:rsidRDefault="00555E84" w:rsidP="007642E8">
            <w:pPr>
              <w:jc w:val="center"/>
              <w:rPr>
                <w:rFonts w:ascii="Calibri" w:eastAsia="Calibri" w:hAnsi="Calibri" w:cs="Calibri"/>
                <w:b/>
                <w:sz w:val="24"/>
                <w:szCs w:val="24"/>
                <w:highlight w:val="white"/>
              </w:rPr>
            </w:pPr>
            <w:r>
              <w:rPr>
                <w:rFonts w:ascii="Calibri" w:hAnsi="Calibri"/>
                <w:b/>
                <w:sz w:val="24"/>
                <w:szCs w:val="24"/>
                <w:highlight w:val="white"/>
              </w:rPr>
              <w:t>Actions</w:t>
            </w:r>
          </w:p>
        </w:tc>
        <w:tc>
          <w:tcPr>
            <w:tcW w:w="4677" w:type="dxa"/>
          </w:tcPr>
          <w:p w:rsidR="00555E84" w:rsidRPr="00AF0078" w:rsidRDefault="00555E84" w:rsidP="007642E8">
            <w:pPr>
              <w:jc w:val="center"/>
              <w:rPr>
                <w:rFonts w:ascii="Calibri" w:eastAsia="Calibri" w:hAnsi="Calibri" w:cs="Calibri"/>
                <w:b/>
                <w:sz w:val="24"/>
                <w:szCs w:val="24"/>
                <w:highlight w:val="white"/>
              </w:rPr>
            </w:pPr>
            <w:r>
              <w:rPr>
                <w:rFonts w:ascii="Calibri" w:hAnsi="Calibri"/>
                <w:b/>
                <w:sz w:val="24"/>
                <w:szCs w:val="24"/>
                <w:highlight w:val="white"/>
              </w:rPr>
              <w:t>Partenaires</w:t>
            </w:r>
          </w:p>
        </w:tc>
      </w:tr>
      <w:tr w:rsidR="00555E84" w:rsidRPr="00AF0078" w:rsidTr="00A25C9E">
        <w:tc>
          <w:tcPr>
            <w:tcW w:w="5070" w:type="dxa"/>
            <w:shd w:val="clear" w:color="auto" w:fill="auto"/>
          </w:tcPr>
          <w:p w:rsidR="007642E8" w:rsidRPr="00AF0078" w:rsidRDefault="00206CDD" w:rsidP="007642E8">
            <w:pPr>
              <w:jc w:val="both"/>
              <w:rPr>
                <w:rFonts w:ascii="Calibri" w:eastAsia="Calibri" w:hAnsi="Calibri" w:cs="Calibri"/>
                <w:highlight w:val="white"/>
              </w:rPr>
            </w:pPr>
            <w:r>
              <w:rPr>
                <w:rFonts w:ascii="Calibri" w:hAnsi="Calibri"/>
              </w:rPr>
              <w:t>Soutenir financièrement les OSC en créant des programmes de financement et en les rendant plus accessibles pour les projets qui intègrent la diversité des militantismes civiques et les programmes de formation destinés à renforcer les capacités des OSC.</w:t>
            </w:r>
          </w:p>
        </w:tc>
        <w:tc>
          <w:tcPr>
            <w:tcW w:w="4677" w:type="dxa"/>
          </w:tcPr>
          <w:p w:rsidR="00555E84" w:rsidRPr="00AF0078" w:rsidRDefault="00555E84">
            <w:pPr>
              <w:jc w:val="both"/>
              <w:rPr>
                <w:rFonts w:ascii="Calibri" w:eastAsia="Calibri" w:hAnsi="Calibri" w:cs="Calibri"/>
                <w:b/>
                <w:highlight w:val="white"/>
              </w:rPr>
            </w:pPr>
            <w:r>
              <w:rPr>
                <w:rFonts w:ascii="Calibri" w:hAnsi="Calibri"/>
                <w:b/>
                <w:highlight w:val="white"/>
              </w:rPr>
              <w:t>Commission européenne</w:t>
            </w:r>
          </w:p>
        </w:tc>
      </w:tr>
      <w:tr w:rsidR="007642E8" w:rsidRPr="00AF0078" w:rsidTr="00A25C9E">
        <w:tc>
          <w:tcPr>
            <w:tcW w:w="5070" w:type="dxa"/>
            <w:shd w:val="clear" w:color="auto" w:fill="auto"/>
          </w:tcPr>
          <w:p w:rsidR="007642E8" w:rsidRPr="00AF0078" w:rsidRDefault="007642E8" w:rsidP="007642E8">
            <w:pPr>
              <w:jc w:val="both"/>
              <w:rPr>
                <w:rFonts w:ascii="Calibri" w:eastAsia="Calibri" w:hAnsi="Calibri" w:cs="Calibri"/>
              </w:rPr>
            </w:pPr>
            <w:r>
              <w:rPr>
                <w:rFonts w:ascii="Calibri" w:hAnsi="Calibri"/>
              </w:rPr>
              <w:t>Encourager la contribution importante des OSC à la démocratie en mettant en œuvre un Semestre européen de la démocratie, assorti d’un tableau de bord de la démocratie et d’un outil de suivi annuel permettant d’évaluer l’état de la démocratie et des droits fondamentaux, et l’ouverture de l’espace civique dans les États membres de l’UE.</w:t>
            </w:r>
          </w:p>
        </w:tc>
        <w:tc>
          <w:tcPr>
            <w:tcW w:w="4677" w:type="dxa"/>
          </w:tcPr>
          <w:p w:rsidR="007642E8" w:rsidRPr="00AF0078" w:rsidRDefault="007642E8">
            <w:pPr>
              <w:jc w:val="both"/>
              <w:rPr>
                <w:rFonts w:ascii="Calibri" w:eastAsia="Calibri" w:hAnsi="Calibri" w:cs="Calibri"/>
                <w:b/>
                <w:highlight w:val="white"/>
              </w:rPr>
            </w:pPr>
            <w:r>
              <w:rPr>
                <w:rFonts w:ascii="Calibri" w:hAnsi="Calibri"/>
                <w:b/>
                <w:highlight w:val="white"/>
              </w:rPr>
              <w:t>Commission européenne</w:t>
            </w:r>
          </w:p>
        </w:tc>
      </w:tr>
      <w:tr w:rsidR="007642E8" w:rsidRPr="00AF0078" w:rsidTr="00A25C9E">
        <w:tc>
          <w:tcPr>
            <w:tcW w:w="5070" w:type="dxa"/>
            <w:shd w:val="clear" w:color="auto" w:fill="auto"/>
          </w:tcPr>
          <w:p w:rsidR="007642E8" w:rsidRPr="00AF0078" w:rsidRDefault="007642E8" w:rsidP="00EF6E0A">
            <w:pPr>
              <w:jc w:val="both"/>
              <w:rPr>
                <w:rFonts w:ascii="Calibri" w:eastAsia="Calibri" w:hAnsi="Calibri" w:cs="Calibri"/>
              </w:rPr>
            </w:pPr>
            <w:r>
              <w:rPr>
                <w:rFonts w:ascii="Calibri" w:hAnsi="Calibri"/>
              </w:rPr>
              <w:t>Garantir un engagement à long terme en faveur de la protection et de la promotion de la liberté académique et artistique, notamment en prévoyant des moyens pour protéger les artistes et les universitaires à risque, conformément aux valeurs de l’UE et au droit de l’Union (en particulier l’article 2 du TUE et l’article 13 de la CEDH).</w:t>
            </w:r>
          </w:p>
        </w:tc>
        <w:tc>
          <w:tcPr>
            <w:tcW w:w="4677" w:type="dxa"/>
          </w:tcPr>
          <w:p w:rsidR="007642E8" w:rsidRPr="00AF0078" w:rsidRDefault="007642E8" w:rsidP="000F111B">
            <w:pPr>
              <w:jc w:val="both"/>
              <w:rPr>
                <w:rFonts w:ascii="Calibri" w:eastAsia="Calibri" w:hAnsi="Calibri" w:cs="Calibri"/>
                <w:b/>
                <w:highlight w:val="white"/>
                <w:lang w:val="en-GB"/>
              </w:rPr>
            </w:pPr>
            <w:r>
              <w:rPr>
                <w:rFonts w:ascii="Calibri" w:hAnsi="Calibri"/>
                <w:b/>
                <w:highlight w:val="white"/>
              </w:rPr>
              <w:t>Toutes les institutions de l’UE</w:t>
            </w:r>
          </w:p>
        </w:tc>
      </w:tr>
      <w:tr w:rsidR="007642E8" w:rsidRPr="00AF0078" w:rsidTr="00A25C9E">
        <w:tc>
          <w:tcPr>
            <w:tcW w:w="5070" w:type="dxa"/>
            <w:shd w:val="clear" w:color="auto" w:fill="auto"/>
          </w:tcPr>
          <w:p w:rsidR="007642E8" w:rsidRPr="00AF0078" w:rsidRDefault="007642E8" w:rsidP="00EF6E0A">
            <w:pPr>
              <w:jc w:val="both"/>
              <w:rPr>
                <w:rFonts w:ascii="Calibri" w:eastAsia="Calibri" w:hAnsi="Calibri" w:cs="Calibri"/>
              </w:rPr>
            </w:pPr>
            <w:r>
              <w:rPr>
                <w:rFonts w:ascii="Calibri" w:hAnsi="Calibri"/>
              </w:rPr>
              <w:t>Les députés au Parlement européen devraient mettre en place des mécanismes de démocratie participative, tels que des panels ou des assemblées de citoyens, des consultations et des outils électroniques, afin de nouer le dialogue avec les groupes sous-représentés et de permettre aux citoyens d’avancer des idées et des suggestions pour améliorer les politiques et les actions aux niveaux local, national et européen.</w:t>
            </w:r>
          </w:p>
        </w:tc>
        <w:tc>
          <w:tcPr>
            <w:tcW w:w="4677" w:type="dxa"/>
          </w:tcPr>
          <w:p w:rsidR="007642E8" w:rsidRPr="00AF0078" w:rsidRDefault="007642E8" w:rsidP="007642E8">
            <w:pPr>
              <w:jc w:val="both"/>
              <w:rPr>
                <w:rFonts w:ascii="Calibri" w:eastAsia="Calibri" w:hAnsi="Calibri" w:cs="Calibri"/>
                <w:b/>
                <w:highlight w:val="white"/>
              </w:rPr>
            </w:pPr>
            <w:r>
              <w:rPr>
                <w:rFonts w:ascii="Calibri" w:hAnsi="Calibri"/>
                <w:b/>
                <w:highlight w:val="white"/>
              </w:rPr>
              <w:t>Parlement européen</w:t>
            </w:r>
          </w:p>
        </w:tc>
      </w:tr>
    </w:tbl>
    <w:p w:rsidR="000F111B" w:rsidRDefault="000F111B">
      <w:r>
        <w:br w:type="page"/>
      </w:r>
    </w:p>
    <w:tbl>
      <w:tblPr>
        <w:tblStyle w:val="TableGrid"/>
        <w:tblW w:w="0" w:type="auto"/>
        <w:tblCellMar>
          <w:top w:w="57" w:type="dxa"/>
          <w:bottom w:w="57" w:type="dxa"/>
        </w:tblCellMar>
        <w:tblLook w:val="04A0" w:firstRow="1" w:lastRow="0" w:firstColumn="1" w:lastColumn="0" w:noHBand="0" w:noVBand="1"/>
      </w:tblPr>
      <w:tblGrid>
        <w:gridCol w:w="5070"/>
        <w:gridCol w:w="4677"/>
      </w:tblGrid>
      <w:tr w:rsidR="007642E8" w:rsidRPr="00AF0078" w:rsidTr="00A25C9E">
        <w:tc>
          <w:tcPr>
            <w:tcW w:w="5070" w:type="dxa"/>
            <w:shd w:val="clear" w:color="auto" w:fill="auto"/>
          </w:tcPr>
          <w:p w:rsidR="007642E8" w:rsidRPr="00AF0078" w:rsidRDefault="007642E8" w:rsidP="007642E8">
            <w:pPr>
              <w:jc w:val="both"/>
              <w:rPr>
                <w:rFonts w:ascii="Calibri" w:eastAsia="Calibri" w:hAnsi="Calibri" w:cs="Calibri"/>
              </w:rPr>
            </w:pPr>
            <w:r>
              <w:rPr>
                <w:rFonts w:ascii="Calibri" w:hAnsi="Calibri"/>
              </w:rPr>
              <w:lastRenderedPageBreak/>
              <w:t>Créer un comité officiel sur la participation citoyenne, qui deviendrait un espace structuré permanent permettant aux députés européens et aux représentants des OSC d’ouvrir les processus législatifs aux citoyens et aux OSC à tous les niveaux de participation (par exemple, prise de décision, suivi, etc.), et pas seulement aux consultations.</w:t>
            </w:r>
          </w:p>
        </w:tc>
        <w:tc>
          <w:tcPr>
            <w:tcW w:w="4677" w:type="dxa"/>
          </w:tcPr>
          <w:p w:rsidR="007642E8" w:rsidRPr="00AF0078" w:rsidRDefault="007642E8" w:rsidP="007642E8">
            <w:pPr>
              <w:jc w:val="both"/>
              <w:rPr>
                <w:rFonts w:ascii="Calibri" w:eastAsia="Calibri" w:hAnsi="Calibri" w:cs="Calibri"/>
                <w:b/>
                <w:highlight w:val="white"/>
              </w:rPr>
            </w:pPr>
            <w:r>
              <w:rPr>
                <w:rFonts w:ascii="Calibri" w:hAnsi="Calibri"/>
                <w:b/>
                <w:highlight w:val="white"/>
              </w:rPr>
              <w:t xml:space="preserve">Parlement européen </w:t>
            </w:r>
          </w:p>
          <w:p w:rsidR="007642E8" w:rsidRPr="00AF0078" w:rsidRDefault="007642E8" w:rsidP="007642E8">
            <w:pPr>
              <w:jc w:val="both"/>
              <w:rPr>
                <w:rFonts w:ascii="Calibri" w:eastAsia="Calibri" w:hAnsi="Calibri" w:cs="Calibri"/>
                <w:b/>
                <w:highlight w:val="white"/>
              </w:rPr>
            </w:pPr>
            <w:r>
              <w:rPr>
                <w:rFonts w:ascii="Calibri" w:hAnsi="Calibri"/>
                <w:b/>
                <w:highlight w:val="white"/>
              </w:rPr>
              <w:t>Comité économique et social européen</w:t>
            </w:r>
          </w:p>
        </w:tc>
      </w:tr>
      <w:tr w:rsidR="007642E8" w:rsidRPr="00AF0078" w:rsidTr="00A25C9E">
        <w:tc>
          <w:tcPr>
            <w:tcW w:w="5070" w:type="dxa"/>
            <w:shd w:val="clear" w:color="auto" w:fill="auto"/>
          </w:tcPr>
          <w:p w:rsidR="007642E8" w:rsidRPr="00AF0078" w:rsidRDefault="007642E8" w:rsidP="007642E8">
            <w:pPr>
              <w:jc w:val="both"/>
              <w:rPr>
                <w:rFonts w:ascii="Calibri" w:eastAsia="Calibri" w:hAnsi="Calibri" w:cs="Calibri"/>
              </w:rPr>
            </w:pPr>
            <w:r>
              <w:rPr>
                <w:rFonts w:ascii="Calibri" w:hAnsi="Calibri"/>
              </w:rPr>
              <w:t>Les députés européens devraient exploiter davantage les technologies de l’information et de la communication (TIC) et cocréer de nouvelles solutions numériques pour inclure les citoyens, en particulier les jeunes, dans les processus décisionnels. Les députés européens devraient ouvrir leurs rapports institutionnels aux citoyens en recourant à la production participative d’idées, et organiser davantage de discussions politiques en ligne avec les citoyens (par exemple, des séminaires en ligne).</w:t>
            </w:r>
          </w:p>
        </w:tc>
        <w:tc>
          <w:tcPr>
            <w:tcW w:w="4677" w:type="dxa"/>
          </w:tcPr>
          <w:p w:rsidR="007642E8" w:rsidRPr="00AF0078" w:rsidRDefault="007642E8" w:rsidP="007642E8">
            <w:pPr>
              <w:jc w:val="both"/>
              <w:rPr>
                <w:rFonts w:ascii="Calibri" w:eastAsia="Calibri" w:hAnsi="Calibri" w:cs="Calibri"/>
                <w:b/>
                <w:highlight w:val="white"/>
              </w:rPr>
            </w:pPr>
            <w:r>
              <w:rPr>
                <w:rFonts w:ascii="Calibri" w:hAnsi="Calibri"/>
                <w:b/>
              </w:rPr>
              <w:t>Parlement européen</w:t>
            </w:r>
          </w:p>
        </w:tc>
      </w:tr>
      <w:tr w:rsidR="007642E8" w:rsidRPr="00AF0078" w:rsidTr="00A25C9E">
        <w:tc>
          <w:tcPr>
            <w:tcW w:w="5070" w:type="dxa"/>
            <w:shd w:val="clear" w:color="auto" w:fill="auto"/>
          </w:tcPr>
          <w:p w:rsidR="007642E8" w:rsidRPr="00AF0078" w:rsidRDefault="008F1154" w:rsidP="007642E8">
            <w:pPr>
              <w:jc w:val="both"/>
              <w:rPr>
                <w:rFonts w:ascii="Calibri" w:eastAsia="Calibri" w:hAnsi="Calibri" w:cs="Calibri"/>
              </w:rPr>
            </w:pPr>
            <w:r>
              <w:rPr>
                <w:rFonts w:ascii="Calibri" w:hAnsi="Calibri"/>
              </w:rPr>
              <w:t>Les partis qui s’opposent aux valeurs fondamentales, telles que consacrées par l’article 2 du TUE, devraient être exclus des formations politiques auxquelles ils appartiennent au niveau européen ainsi que des groupes politiques du Parlement européen.</w:t>
            </w:r>
          </w:p>
        </w:tc>
        <w:tc>
          <w:tcPr>
            <w:tcW w:w="4677" w:type="dxa"/>
          </w:tcPr>
          <w:p w:rsidR="007642E8" w:rsidRPr="00AF0078" w:rsidRDefault="007642E8" w:rsidP="007642E8">
            <w:pPr>
              <w:jc w:val="both"/>
              <w:rPr>
                <w:rFonts w:ascii="Calibri" w:eastAsia="Calibri" w:hAnsi="Calibri" w:cs="Calibri"/>
                <w:b/>
              </w:rPr>
            </w:pPr>
            <w:r>
              <w:rPr>
                <w:rFonts w:ascii="Calibri" w:hAnsi="Calibri"/>
                <w:b/>
              </w:rPr>
              <w:t>Parlement européen</w:t>
            </w:r>
          </w:p>
          <w:p w:rsidR="007642E8" w:rsidRPr="00AF0078" w:rsidRDefault="007642E8" w:rsidP="007642E8">
            <w:pPr>
              <w:jc w:val="both"/>
              <w:rPr>
                <w:rFonts w:ascii="Calibri" w:eastAsia="Calibri" w:hAnsi="Calibri" w:cs="Calibri"/>
                <w:b/>
                <w:lang w:val="en-GB"/>
              </w:rPr>
            </w:pPr>
          </w:p>
        </w:tc>
      </w:tr>
      <w:tr w:rsidR="007642E8" w:rsidRPr="00AF0078" w:rsidTr="00A25C9E">
        <w:tc>
          <w:tcPr>
            <w:tcW w:w="5070" w:type="dxa"/>
            <w:shd w:val="clear" w:color="auto" w:fill="auto"/>
          </w:tcPr>
          <w:p w:rsidR="007642E8" w:rsidRPr="00AF0078" w:rsidRDefault="007642E8">
            <w:pPr>
              <w:jc w:val="both"/>
              <w:rPr>
                <w:rFonts w:ascii="Calibri" w:eastAsia="Calibri" w:hAnsi="Calibri" w:cs="Calibri"/>
              </w:rPr>
            </w:pPr>
            <w:r>
              <w:rPr>
                <w:rFonts w:ascii="Calibri" w:hAnsi="Calibri"/>
              </w:rPr>
              <w:t>Créer un manuel fondé sur les obligations juridiques des États membres vis-à-vis du droit de l’Union et de la CEDH, afin de permettre un contrôle systématique de la violation de la liberté d’expression artistique et universitaire (EACEA).</w:t>
            </w:r>
          </w:p>
        </w:tc>
        <w:tc>
          <w:tcPr>
            <w:tcW w:w="4677" w:type="dxa"/>
          </w:tcPr>
          <w:p w:rsidR="007642E8" w:rsidRPr="00AF0078" w:rsidRDefault="007642E8" w:rsidP="007642E8">
            <w:pPr>
              <w:jc w:val="both"/>
              <w:rPr>
                <w:rFonts w:ascii="Calibri" w:eastAsia="Calibri" w:hAnsi="Calibri" w:cs="Calibri"/>
                <w:b/>
              </w:rPr>
            </w:pPr>
            <w:r>
              <w:rPr>
                <w:rFonts w:ascii="Calibri" w:hAnsi="Calibri"/>
                <w:b/>
              </w:rPr>
              <w:t>Commission européenne</w:t>
            </w:r>
          </w:p>
        </w:tc>
      </w:tr>
    </w:tbl>
    <w:p w:rsidR="000F111B" w:rsidRDefault="000F111B" w:rsidP="003A77F5">
      <w:pPr>
        <w:pBdr>
          <w:top w:val="nil"/>
          <w:left w:val="nil"/>
          <w:bottom w:val="nil"/>
          <w:right w:val="nil"/>
          <w:between w:val="nil"/>
        </w:pBdr>
        <w:spacing w:line="240" w:lineRule="auto"/>
        <w:jc w:val="both"/>
        <w:rPr>
          <w:rFonts w:ascii="Calibri" w:hAnsi="Calibri"/>
          <w:b/>
          <w:color w:val="1155CC"/>
          <w:sz w:val="28"/>
          <w:szCs w:val="28"/>
        </w:rPr>
      </w:pPr>
    </w:p>
    <w:p w:rsidR="008A7178" w:rsidRDefault="00474B51" w:rsidP="003A77F5">
      <w:pPr>
        <w:pBdr>
          <w:top w:val="nil"/>
          <w:left w:val="nil"/>
          <w:bottom w:val="nil"/>
          <w:right w:val="nil"/>
          <w:between w:val="nil"/>
        </w:pBdr>
        <w:spacing w:line="240" w:lineRule="auto"/>
        <w:jc w:val="both"/>
        <w:rPr>
          <w:rFonts w:ascii="Calibri" w:hAnsi="Calibri"/>
          <w:b/>
          <w:color w:val="1155CC"/>
          <w:sz w:val="28"/>
          <w:szCs w:val="28"/>
        </w:rPr>
      </w:pPr>
      <w:r>
        <w:rPr>
          <w:rFonts w:ascii="Calibri" w:hAnsi="Calibri"/>
          <w:b/>
          <w:color w:val="1155CC"/>
          <w:sz w:val="28"/>
          <w:szCs w:val="28"/>
        </w:rPr>
        <w:t>Pour une Europe durable: climatiquement neutre et écologique, juste et sociale, forte et dotée d’une économie dynamique</w:t>
      </w:r>
    </w:p>
    <w:p w:rsidR="000F111B" w:rsidRPr="00AF0078" w:rsidRDefault="000F111B" w:rsidP="003A77F5">
      <w:pPr>
        <w:pBdr>
          <w:top w:val="nil"/>
          <w:left w:val="nil"/>
          <w:bottom w:val="nil"/>
          <w:right w:val="nil"/>
          <w:between w:val="nil"/>
        </w:pBdr>
        <w:spacing w:line="240" w:lineRule="auto"/>
        <w:jc w:val="both"/>
        <w:rPr>
          <w:rFonts w:ascii="Calibri" w:eastAsia="Calibri" w:hAnsi="Calibri" w:cs="Calibri"/>
          <w:b/>
          <w:color w:val="1155CC"/>
          <w:sz w:val="28"/>
          <w:szCs w:val="28"/>
        </w:rPr>
      </w:pPr>
    </w:p>
    <w:p w:rsidR="00D2595A" w:rsidRPr="00AF0078" w:rsidRDefault="00D2595A" w:rsidP="006A2171">
      <w:pPr>
        <w:pBdr>
          <w:top w:val="single" w:sz="4" w:space="1" w:color="auto"/>
          <w:left w:val="single" w:sz="4" w:space="2" w:color="auto"/>
          <w:bottom w:val="single" w:sz="4" w:space="1" w:color="auto"/>
          <w:right w:val="single" w:sz="4" w:space="4" w:color="auto"/>
        </w:pBdr>
        <w:rPr>
          <w:rFonts w:ascii="Calibri" w:eastAsia="Calibri" w:hAnsi="Calibri" w:cs="Calibri"/>
          <w:b/>
          <w:sz w:val="24"/>
          <w:szCs w:val="24"/>
        </w:rPr>
      </w:pPr>
      <w:r>
        <w:rPr>
          <w:rFonts w:ascii="Calibri" w:hAnsi="Calibri"/>
          <w:b/>
          <w:sz w:val="24"/>
          <w:szCs w:val="24"/>
        </w:rPr>
        <w:t>Vision</w:t>
      </w:r>
    </w:p>
    <w:p w:rsidR="008A7178" w:rsidRPr="00AF0078" w:rsidRDefault="00474B51" w:rsidP="00801197">
      <w:pPr>
        <w:pBdr>
          <w:top w:val="single" w:sz="4" w:space="1" w:color="auto"/>
          <w:left w:val="single" w:sz="4" w:space="2" w:color="auto"/>
          <w:bottom w:val="single" w:sz="4" w:space="1" w:color="auto"/>
          <w:right w:val="single" w:sz="4" w:space="4" w:color="auto"/>
        </w:pBdr>
        <w:jc w:val="both"/>
        <w:rPr>
          <w:rFonts w:ascii="Calibri" w:eastAsia="Calibri" w:hAnsi="Calibri" w:cs="Calibri"/>
        </w:rPr>
      </w:pPr>
      <w:r>
        <w:rPr>
          <w:rFonts w:ascii="Calibri" w:hAnsi="Calibri"/>
        </w:rPr>
        <w:t>Une évolution radicale et une approche systémique s’imposent pour relever les défis inédits auxquels nous devons faire face aujourd’hui. L’avenir de l’Europe doit être centré autour du développement durable en tant que projet axé sur les personnes et sur une économie qui œuvre pour la société en créant de la prospérité un environnement garant de la qualité de la vie. Le futur modèle économique européen doit être fondé sur la justice sociale et environnementale afin de parvenir à une démocratie durable. Dans le cadre de cette transition, les éléments tels que la qualité de l’emploi, la protection sociale et l’égalité sociale sont essentiels et doivent donc être protégés et renforcés. En outre, les bonnes pratiques telles que la démocratie au travail devraient être renforcées et soutenues, car elles ont un effet bénéfique sur la démocratie civique, les performances économiques, la réduction des inégalités, le développement durable et la qualité de l’emploi.</w:t>
      </w:r>
    </w:p>
    <w:p w:rsidR="00D2595A" w:rsidRPr="003A77F5" w:rsidRDefault="00D2595A">
      <w:pPr>
        <w:rPr>
          <w:rFonts w:ascii="Calibri" w:eastAsia="Calibri" w:hAnsi="Calibri" w:cs="Calibri"/>
          <w:sz w:val="16"/>
          <w:szCs w:val="16"/>
          <w:lang w:val="en-GB"/>
        </w:rPr>
      </w:pPr>
    </w:p>
    <w:p w:rsidR="000F111B" w:rsidRDefault="000F111B">
      <w:pPr>
        <w:rPr>
          <w:rFonts w:ascii="Calibri" w:hAnsi="Calibri"/>
          <w:b/>
          <w:sz w:val="24"/>
          <w:szCs w:val="24"/>
        </w:rPr>
      </w:pPr>
      <w:r>
        <w:rPr>
          <w:rFonts w:ascii="Calibri" w:hAnsi="Calibri"/>
          <w:b/>
          <w:sz w:val="24"/>
          <w:szCs w:val="24"/>
        </w:rPr>
        <w:br w:type="page"/>
      </w:r>
    </w:p>
    <w:p w:rsidR="00D2595A" w:rsidRPr="00AF0078" w:rsidRDefault="00D2595A">
      <w:pPr>
        <w:rPr>
          <w:rFonts w:ascii="Calibri" w:eastAsia="Calibri" w:hAnsi="Calibri" w:cs="Calibri"/>
          <w:b/>
          <w:sz w:val="24"/>
          <w:szCs w:val="24"/>
        </w:rPr>
      </w:pPr>
      <w:r>
        <w:rPr>
          <w:rFonts w:ascii="Calibri" w:hAnsi="Calibri"/>
          <w:b/>
          <w:sz w:val="24"/>
          <w:szCs w:val="24"/>
        </w:rPr>
        <w:lastRenderedPageBreak/>
        <w:t>Actions proposées:</w:t>
      </w:r>
    </w:p>
    <w:tbl>
      <w:tblPr>
        <w:tblStyle w:val="TableGrid"/>
        <w:tblW w:w="9889" w:type="dxa"/>
        <w:tblCellMar>
          <w:top w:w="57" w:type="dxa"/>
          <w:bottom w:w="57" w:type="dxa"/>
        </w:tblCellMar>
        <w:tblLook w:val="04A0" w:firstRow="1" w:lastRow="0" w:firstColumn="1" w:lastColumn="0" w:noHBand="0" w:noVBand="1"/>
      </w:tblPr>
      <w:tblGrid>
        <w:gridCol w:w="5070"/>
        <w:gridCol w:w="4819"/>
      </w:tblGrid>
      <w:tr w:rsidR="00D2595A" w:rsidRPr="00AF0078" w:rsidTr="00AB76D3">
        <w:tc>
          <w:tcPr>
            <w:tcW w:w="5070" w:type="dxa"/>
          </w:tcPr>
          <w:p w:rsidR="00D2595A" w:rsidRPr="00AF0078" w:rsidRDefault="00D2595A" w:rsidP="007642E8">
            <w:pPr>
              <w:jc w:val="center"/>
              <w:rPr>
                <w:rFonts w:ascii="Calibri" w:eastAsia="Calibri" w:hAnsi="Calibri" w:cs="Calibri"/>
                <w:b/>
                <w:sz w:val="24"/>
                <w:szCs w:val="24"/>
              </w:rPr>
            </w:pPr>
            <w:r>
              <w:rPr>
                <w:rFonts w:ascii="Calibri" w:hAnsi="Calibri"/>
                <w:b/>
                <w:sz w:val="24"/>
                <w:szCs w:val="24"/>
              </w:rPr>
              <w:t>Actions</w:t>
            </w:r>
          </w:p>
        </w:tc>
        <w:tc>
          <w:tcPr>
            <w:tcW w:w="4819" w:type="dxa"/>
          </w:tcPr>
          <w:p w:rsidR="00D2595A" w:rsidRPr="00AF0078" w:rsidRDefault="00D2595A" w:rsidP="007642E8">
            <w:pPr>
              <w:jc w:val="center"/>
              <w:rPr>
                <w:rFonts w:ascii="Calibri" w:eastAsia="Calibri" w:hAnsi="Calibri" w:cs="Calibri"/>
                <w:b/>
                <w:sz w:val="24"/>
                <w:szCs w:val="24"/>
              </w:rPr>
            </w:pPr>
            <w:r>
              <w:rPr>
                <w:rFonts w:ascii="Calibri" w:hAnsi="Calibri"/>
                <w:b/>
                <w:sz w:val="24"/>
                <w:szCs w:val="24"/>
              </w:rPr>
              <w:t>Partenaires</w:t>
            </w:r>
          </w:p>
        </w:tc>
      </w:tr>
      <w:tr w:rsidR="00D2595A" w:rsidRPr="00AF0078" w:rsidTr="00AB76D3">
        <w:tc>
          <w:tcPr>
            <w:tcW w:w="5070" w:type="dxa"/>
          </w:tcPr>
          <w:p w:rsidR="00801197" w:rsidRPr="00801197" w:rsidRDefault="00066291" w:rsidP="00AB76D3">
            <w:pPr>
              <w:jc w:val="both"/>
              <w:rPr>
                <w:rFonts w:ascii="Calibri" w:eastAsia="Calibri" w:hAnsi="Calibri" w:cs="Calibri"/>
                <w:sz w:val="12"/>
                <w:szCs w:val="12"/>
              </w:rPr>
            </w:pPr>
            <w:r>
              <w:rPr>
                <w:rFonts w:ascii="Calibri" w:hAnsi="Calibri"/>
              </w:rPr>
              <w:t>S’engager en faveur de la justice fiscale et faciliter la mise en œuvre d’un plan de lutte contre la fraude et l’évasion fiscales en adoptant le système de majorité qualifiée en matière de fiscalité (par exemple, fiscalité des entreprises/fiscalité environnementale).</w:t>
            </w:r>
          </w:p>
        </w:tc>
        <w:tc>
          <w:tcPr>
            <w:tcW w:w="4819" w:type="dxa"/>
          </w:tcPr>
          <w:p w:rsidR="00D2595A" w:rsidRPr="00AF0078" w:rsidRDefault="00066291">
            <w:pPr>
              <w:rPr>
                <w:rFonts w:ascii="Calibri" w:eastAsia="Calibri" w:hAnsi="Calibri" w:cs="Calibri"/>
                <w:b/>
              </w:rPr>
            </w:pPr>
            <w:r>
              <w:rPr>
                <w:rFonts w:ascii="Calibri" w:hAnsi="Calibri"/>
                <w:b/>
              </w:rPr>
              <w:t>Toutes les institutions de l’UE</w:t>
            </w:r>
          </w:p>
        </w:tc>
      </w:tr>
      <w:tr w:rsidR="00D2595A" w:rsidRPr="00AF0078" w:rsidTr="00AB76D3">
        <w:tc>
          <w:tcPr>
            <w:tcW w:w="5070" w:type="dxa"/>
          </w:tcPr>
          <w:p w:rsidR="00801197" w:rsidRPr="00801197" w:rsidRDefault="00D94308" w:rsidP="00AB76D3">
            <w:pPr>
              <w:jc w:val="both"/>
              <w:rPr>
                <w:rFonts w:ascii="Calibri" w:eastAsia="Calibri" w:hAnsi="Calibri" w:cs="Calibri"/>
                <w:sz w:val="12"/>
                <w:szCs w:val="12"/>
              </w:rPr>
            </w:pPr>
            <w:r>
              <w:rPr>
                <w:rFonts w:ascii="Calibri" w:hAnsi="Calibri"/>
              </w:rPr>
              <w:t>Approfondir l’UEM en créant la capacité budgétaire qui permettra à l’UE de mettre en place des stabilisateurs automatiques, tels que le régime européen de réassurance chômage.</w:t>
            </w:r>
          </w:p>
        </w:tc>
        <w:tc>
          <w:tcPr>
            <w:tcW w:w="4819" w:type="dxa"/>
          </w:tcPr>
          <w:p w:rsidR="00D2595A" w:rsidRPr="00AF0078" w:rsidRDefault="00066291">
            <w:pPr>
              <w:rPr>
                <w:rFonts w:ascii="Calibri" w:eastAsia="Calibri" w:hAnsi="Calibri" w:cs="Calibri"/>
              </w:rPr>
            </w:pPr>
            <w:r>
              <w:rPr>
                <w:rFonts w:ascii="Calibri" w:hAnsi="Calibri"/>
                <w:b/>
              </w:rPr>
              <w:t>Toutes les institutions de l’UE</w:t>
            </w:r>
          </w:p>
        </w:tc>
      </w:tr>
      <w:tr w:rsidR="00D2595A" w:rsidRPr="00AF0078" w:rsidTr="00AB76D3">
        <w:tc>
          <w:tcPr>
            <w:tcW w:w="5070" w:type="dxa"/>
          </w:tcPr>
          <w:p w:rsidR="00801197" w:rsidRPr="00801197" w:rsidRDefault="00D94308" w:rsidP="00AB76D3">
            <w:pPr>
              <w:jc w:val="both"/>
              <w:rPr>
                <w:rFonts w:ascii="Calibri" w:eastAsia="Calibri" w:hAnsi="Calibri" w:cs="Calibri"/>
                <w:sz w:val="12"/>
                <w:szCs w:val="12"/>
              </w:rPr>
            </w:pPr>
            <w:r>
              <w:rPr>
                <w:rFonts w:ascii="Calibri" w:hAnsi="Calibri"/>
              </w:rPr>
              <w:t>Adopter une législation contraignante pour la mise en œuvre du socle européen des droits sociaux (par exemple, directive-cadre sur un revenu minimum adéquat).</w:t>
            </w:r>
          </w:p>
        </w:tc>
        <w:tc>
          <w:tcPr>
            <w:tcW w:w="4819" w:type="dxa"/>
          </w:tcPr>
          <w:p w:rsidR="00D2595A" w:rsidRPr="00AF0078" w:rsidRDefault="00066291">
            <w:pPr>
              <w:rPr>
                <w:rFonts w:ascii="Calibri" w:eastAsia="Calibri" w:hAnsi="Calibri" w:cs="Calibri"/>
                <w:b/>
              </w:rPr>
            </w:pPr>
            <w:r>
              <w:rPr>
                <w:rFonts w:ascii="Calibri" w:hAnsi="Calibri"/>
                <w:b/>
              </w:rPr>
              <w:t>Commission européenne</w:t>
            </w:r>
          </w:p>
        </w:tc>
      </w:tr>
      <w:tr w:rsidR="00D2595A" w:rsidRPr="00AF0078" w:rsidTr="00AB76D3">
        <w:tc>
          <w:tcPr>
            <w:tcW w:w="5070" w:type="dxa"/>
          </w:tcPr>
          <w:p w:rsidR="00801197" w:rsidRPr="00801197" w:rsidRDefault="00C11C78" w:rsidP="00AB76D3">
            <w:pPr>
              <w:jc w:val="both"/>
              <w:rPr>
                <w:rFonts w:ascii="Calibri" w:eastAsia="Calibri" w:hAnsi="Calibri" w:cs="Calibri"/>
                <w:sz w:val="12"/>
                <w:szCs w:val="12"/>
              </w:rPr>
            </w:pPr>
            <w:r>
              <w:rPr>
                <w:rFonts w:ascii="Calibri" w:hAnsi="Calibri"/>
              </w:rPr>
              <w:t>Élaborer un cadre permettant de mettre en œuvre de façon cohérente les instruments existants dans l’acquis communautaire afin de renforcer les moyens d’action des travailleurs et de faire respecter leurs droits.</w:t>
            </w:r>
          </w:p>
        </w:tc>
        <w:tc>
          <w:tcPr>
            <w:tcW w:w="4819" w:type="dxa"/>
          </w:tcPr>
          <w:p w:rsidR="00D2595A" w:rsidRPr="00AF0078" w:rsidRDefault="00066291">
            <w:pPr>
              <w:rPr>
                <w:rFonts w:ascii="Calibri" w:eastAsia="Calibri" w:hAnsi="Calibri" w:cs="Calibri"/>
              </w:rPr>
            </w:pPr>
            <w:r>
              <w:rPr>
                <w:rFonts w:ascii="Calibri" w:hAnsi="Calibri"/>
                <w:b/>
              </w:rPr>
              <w:t>Conseil européen</w:t>
            </w:r>
          </w:p>
        </w:tc>
      </w:tr>
      <w:tr w:rsidR="00D2595A" w:rsidRPr="00AF0078" w:rsidTr="00AB76D3">
        <w:tc>
          <w:tcPr>
            <w:tcW w:w="5070" w:type="dxa"/>
          </w:tcPr>
          <w:p w:rsidR="00801197" w:rsidRPr="00801197" w:rsidRDefault="00066291" w:rsidP="00AB76D3">
            <w:pPr>
              <w:jc w:val="both"/>
              <w:rPr>
                <w:rFonts w:ascii="Calibri" w:eastAsia="Calibri" w:hAnsi="Calibri" w:cs="Calibri"/>
                <w:sz w:val="12"/>
                <w:szCs w:val="12"/>
              </w:rPr>
            </w:pPr>
            <w:r>
              <w:rPr>
                <w:rFonts w:ascii="Calibri" w:hAnsi="Calibri"/>
              </w:rPr>
              <w:t>Élaborer un avis d’initiative sur la démocratie au travail, fondé sur des éléments montrant que la démocratie au travail et la démocratie civi</w:t>
            </w:r>
            <w:r w:rsidR="00AB76D3">
              <w:rPr>
                <w:rFonts w:ascii="Calibri" w:hAnsi="Calibri"/>
              </w:rPr>
              <w:t>que se renforcent mutuellement.</w:t>
            </w:r>
          </w:p>
        </w:tc>
        <w:tc>
          <w:tcPr>
            <w:tcW w:w="4819" w:type="dxa"/>
          </w:tcPr>
          <w:p w:rsidR="00D2595A" w:rsidRPr="00AF0078" w:rsidRDefault="00066291">
            <w:pPr>
              <w:rPr>
                <w:rFonts w:ascii="Calibri" w:eastAsia="Calibri" w:hAnsi="Calibri" w:cs="Calibri"/>
              </w:rPr>
            </w:pPr>
            <w:r>
              <w:rPr>
                <w:rFonts w:ascii="Calibri" w:hAnsi="Calibri"/>
                <w:b/>
              </w:rPr>
              <w:t>Comité économique et social européen</w:t>
            </w:r>
          </w:p>
        </w:tc>
      </w:tr>
      <w:tr w:rsidR="00D2595A" w:rsidRPr="00AF0078" w:rsidTr="00AB76D3">
        <w:tc>
          <w:tcPr>
            <w:tcW w:w="5070" w:type="dxa"/>
          </w:tcPr>
          <w:p w:rsidR="00801197" w:rsidRPr="00801197" w:rsidRDefault="00827F91" w:rsidP="00AB76D3">
            <w:pPr>
              <w:jc w:val="both"/>
              <w:rPr>
                <w:rFonts w:ascii="Calibri" w:eastAsia="Calibri" w:hAnsi="Calibri" w:cs="Calibri"/>
                <w:sz w:val="12"/>
                <w:szCs w:val="12"/>
              </w:rPr>
            </w:pPr>
            <w:r>
              <w:rPr>
                <w:rFonts w:ascii="Calibri" w:hAnsi="Calibri"/>
              </w:rPr>
              <w:t>Soutenir, y compris financièrement, les OSC actives dans le domaine du bien-être et de l’économie post-croissance.</w:t>
            </w:r>
          </w:p>
        </w:tc>
        <w:tc>
          <w:tcPr>
            <w:tcW w:w="4819" w:type="dxa"/>
          </w:tcPr>
          <w:p w:rsidR="00D2595A" w:rsidRPr="00AF0078" w:rsidRDefault="00066291">
            <w:pPr>
              <w:rPr>
                <w:rFonts w:ascii="Calibri" w:eastAsia="Calibri" w:hAnsi="Calibri" w:cs="Calibri"/>
              </w:rPr>
            </w:pPr>
            <w:r>
              <w:rPr>
                <w:rFonts w:ascii="Calibri" w:hAnsi="Calibri"/>
                <w:b/>
              </w:rPr>
              <w:t>Toutes les institutions de l’UE</w:t>
            </w:r>
          </w:p>
        </w:tc>
      </w:tr>
      <w:tr w:rsidR="00D2595A" w:rsidRPr="00AF0078" w:rsidTr="00AB76D3">
        <w:tc>
          <w:tcPr>
            <w:tcW w:w="5070" w:type="dxa"/>
          </w:tcPr>
          <w:p w:rsidR="00066291" w:rsidRPr="00801197" w:rsidRDefault="00066291" w:rsidP="00AB76D3">
            <w:pPr>
              <w:jc w:val="both"/>
              <w:rPr>
                <w:rFonts w:ascii="Calibri" w:eastAsia="Calibri" w:hAnsi="Calibri" w:cs="Calibri"/>
                <w:sz w:val="12"/>
                <w:szCs w:val="12"/>
              </w:rPr>
            </w:pPr>
            <w:r>
              <w:rPr>
                <w:rFonts w:ascii="Calibri" w:hAnsi="Calibri"/>
              </w:rPr>
              <w:t>Modifier le traité afin de remplacer le pacte de stabilité et de croissance par un pacte de durabilité et de bien-être; rendre au CESE et au CdR les compétences qui leur étaient conférées par le traité de Maastricht. Donner à la BEI et à la BCE pour mission de travailler à une conception de l’argent en tant que bien social public, en se penchant sur le piège de la dette et l’innovation monétaire. Promouvoir en outre un NOUVEAU PACTE VERT MONDIAL.</w:t>
            </w:r>
          </w:p>
        </w:tc>
        <w:tc>
          <w:tcPr>
            <w:tcW w:w="4819" w:type="dxa"/>
          </w:tcPr>
          <w:p w:rsidR="00801197" w:rsidRPr="00AF0078" w:rsidRDefault="00066291" w:rsidP="000F111B">
            <w:pPr>
              <w:rPr>
                <w:rFonts w:ascii="Calibri" w:eastAsia="Calibri" w:hAnsi="Calibri" w:cs="Calibri"/>
                <w:b/>
                <w:lang w:val="en-GB"/>
              </w:rPr>
            </w:pPr>
            <w:r>
              <w:rPr>
                <w:rFonts w:ascii="Calibri" w:hAnsi="Calibri"/>
                <w:b/>
              </w:rPr>
              <w:t>Conseil européen</w:t>
            </w:r>
          </w:p>
        </w:tc>
      </w:tr>
      <w:tr w:rsidR="00D2595A" w:rsidRPr="00AF0078" w:rsidTr="00AB76D3">
        <w:tc>
          <w:tcPr>
            <w:tcW w:w="5070" w:type="dxa"/>
          </w:tcPr>
          <w:p w:rsidR="00801197" w:rsidRPr="00801197" w:rsidRDefault="00C90B90" w:rsidP="00AB76D3">
            <w:pPr>
              <w:jc w:val="both"/>
              <w:rPr>
                <w:rFonts w:ascii="Calibri" w:eastAsia="Calibri" w:hAnsi="Calibri" w:cs="Calibri"/>
                <w:sz w:val="12"/>
                <w:szCs w:val="12"/>
              </w:rPr>
            </w:pPr>
            <w:r>
              <w:rPr>
                <w:rFonts w:ascii="Calibri" w:hAnsi="Calibri"/>
              </w:rPr>
              <w:t>Créer, sous l’autorité du premier vice-président, une direction générale «Bien-être et générations futures», qui engloberait les DG GROW et ECFIN. Elle plancherait sur de NOUVEAUX modèles, objectifs et indicateurs économiques et établirait un budget pour le bien-être.</w:t>
            </w:r>
          </w:p>
        </w:tc>
        <w:tc>
          <w:tcPr>
            <w:tcW w:w="4819" w:type="dxa"/>
          </w:tcPr>
          <w:p w:rsidR="00D2595A" w:rsidRPr="00AF0078" w:rsidRDefault="00066291">
            <w:pPr>
              <w:rPr>
                <w:rFonts w:ascii="Calibri" w:eastAsia="Calibri" w:hAnsi="Calibri" w:cs="Calibri"/>
              </w:rPr>
            </w:pPr>
            <w:r>
              <w:rPr>
                <w:rFonts w:ascii="Calibri" w:hAnsi="Calibri"/>
                <w:b/>
              </w:rPr>
              <w:t>Commission européenne</w:t>
            </w:r>
          </w:p>
        </w:tc>
      </w:tr>
    </w:tbl>
    <w:p w:rsidR="00D2595A" w:rsidRPr="00AF0078" w:rsidRDefault="00D2595A" w:rsidP="00801197">
      <w:pPr>
        <w:rPr>
          <w:rFonts w:ascii="Calibri" w:eastAsia="Calibri" w:hAnsi="Calibri" w:cs="Calibri"/>
          <w:lang w:val="en-GB"/>
        </w:rPr>
      </w:pPr>
      <w:bookmarkStart w:id="1" w:name="_GoBack"/>
      <w:bookmarkEnd w:id="1"/>
    </w:p>
    <w:sectPr w:rsidR="00D2595A" w:rsidRPr="00AF0078" w:rsidSect="00801197">
      <w:footerReference w:type="default" r:id="rId8"/>
      <w:pgSz w:w="11909" w:h="16834" w:code="9"/>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ABA" w:rsidRDefault="00063ABA">
      <w:pPr>
        <w:spacing w:line="240" w:lineRule="auto"/>
      </w:pPr>
      <w:r>
        <w:separator/>
      </w:r>
    </w:p>
  </w:endnote>
  <w:endnote w:type="continuationSeparator" w:id="0">
    <w:p w:rsidR="00063ABA" w:rsidRDefault="00063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169450"/>
      <w:docPartObj>
        <w:docPartGallery w:val="Page Numbers (Bottom of Page)"/>
        <w:docPartUnique/>
      </w:docPartObj>
    </w:sdtPr>
    <w:sdtEndPr>
      <w:rPr>
        <w:noProof/>
      </w:rPr>
    </w:sdtEndPr>
    <w:sdtContent>
      <w:p w:rsidR="00C90B90" w:rsidRDefault="00C90B90">
        <w:pPr>
          <w:pStyle w:val="Footer"/>
          <w:jc w:val="center"/>
        </w:pPr>
        <w:r>
          <w:fldChar w:fldCharType="begin"/>
        </w:r>
        <w:r>
          <w:instrText xml:space="preserve"> PAGE   \* MERGEFORMAT </w:instrText>
        </w:r>
        <w:r>
          <w:fldChar w:fldCharType="separate"/>
        </w:r>
        <w:r w:rsidR="00AB76D3">
          <w:rPr>
            <w:noProof/>
          </w:rPr>
          <w:t>4</w:t>
        </w:r>
        <w:r>
          <w:fldChar w:fldCharType="end"/>
        </w:r>
      </w:p>
    </w:sdtContent>
  </w:sdt>
  <w:p w:rsidR="00C90B90" w:rsidRDefault="00C90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ABA" w:rsidRDefault="00063ABA">
      <w:pPr>
        <w:spacing w:line="240" w:lineRule="auto"/>
      </w:pPr>
      <w:r>
        <w:separator/>
      </w:r>
    </w:p>
  </w:footnote>
  <w:footnote w:type="continuationSeparator" w:id="0">
    <w:p w:rsidR="00063ABA" w:rsidRDefault="00063A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F65C0"/>
    <w:multiLevelType w:val="multilevel"/>
    <w:tmpl w:val="850A55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747598"/>
    <w:multiLevelType w:val="multilevel"/>
    <w:tmpl w:val="53182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178"/>
    <w:rsid w:val="00063ABA"/>
    <w:rsid w:val="00066291"/>
    <w:rsid w:val="000F111B"/>
    <w:rsid w:val="001E4D41"/>
    <w:rsid w:val="00206CDD"/>
    <w:rsid w:val="003A77F5"/>
    <w:rsid w:val="003E1811"/>
    <w:rsid w:val="00474B51"/>
    <w:rsid w:val="004F6F04"/>
    <w:rsid w:val="00531891"/>
    <w:rsid w:val="00555E84"/>
    <w:rsid w:val="006A2171"/>
    <w:rsid w:val="00714B93"/>
    <w:rsid w:val="007642E8"/>
    <w:rsid w:val="007B1759"/>
    <w:rsid w:val="00801197"/>
    <w:rsid w:val="00823F15"/>
    <w:rsid w:val="00827F91"/>
    <w:rsid w:val="008A7178"/>
    <w:rsid w:val="008B590B"/>
    <w:rsid w:val="008F1154"/>
    <w:rsid w:val="00914002"/>
    <w:rsid w:val="00924F51"/>
    <w:rsid w:val="00943210"/>
    <w:rsid w:val="00995CF6"/>
    <w:rsid w:val="00A25C9E"/>
    <w:rsid w:val="00AB76D3"/>
    <w:rsid w:val="00AF0078"/>
    <w:rsid w:val="00BC579E"/>
    <w:rsid w:val="00C11C78"/>
    <w:rsid w:val="00C90B90"/>
    <w:rsid w:val="00D2595A"/>
    <w:rsid w:val="00D94308"/>
    <w:rsid w:val="00E5161F"/>
    <w:rsid w:val="00EB0249"/>
    <w:rsid w:val="00EF4501"/>
    <w:rsid w:val="00EF6E0A"/>
    <w:rsid w:val="00F9651B"/>
    <w:rsid w:val="00FA24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33FB4F"/>
  <w15:docId w15:val="{7EF30916-BE9C-4183-8048-9D4024905464}"/>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FR" w:eastAsia="fr-B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55E84"/>
    <w:pPr>
      <w:tabs>
        <w:tab w:val="center" w:pos="4513"/>
        <w:tab w:val="right" w:pos="9026"/>
      </w:tabs>
      <w:spacing w:line="240" w:lineRule="auto"/>
    </w:pPr>
  </w:style>
  <w:style w:type="character" w:customStyle="1" w:styleId="HeaderChar">
    <w:name w:val="Header Char"/>
    <w:basedOn w:val="DefaultParagraphFont"/>
    <w:link w:val="Header"/>
    <w:uiPriority w:val="99"/>
    <w:rsid w:val="00555E84"/>
  </w:style>
  <w:style w:type="paragraph" w:styleId="Footer">
    <w:name w:val="footer"/>
    <w:basedOn w:val="Normal"/>
    <w:link w:val="FooterChar"/>
    <w:uiPriority w:val="99"/>
    <w:unhideWhenUsed/>
    <w:rsid w:val="00555E84"/>
    <w:pPr>
      <w:tabs>
        <w:tab w:val="center" w:pos="4513"/>
        <w:tab w:val="right" w:pos="9026"/>
      </w:tabs>
      <w:spacing w:line="240" w:lineRule="auto"/>
    </w:pPr>
  </w:style>
  <w:style w:type="character" w:customStyle="1" w:styleId="FooterChar">
    <w:name w:val="Footer Char"/>
    <w:basedOn w:val="DefaultParagraphFont"/>
    <w:link w:val="Footer"/>
    <w:uiPriority w:val="99"/>
    <w:rsid w:val="00555E84"/>
  </w:style>
  <w:style w:type="paragraph" w:styleId="BalloonText">
    <w:name w:val="Balloon Text"/>
    <w:basedOn w:val="Normal"/>
    <w:link w:val="BalloonTextChar"/>
    <w:uiPriority w:val="99"/>
    <w:semiHidden/>
    <w:unhideWhenUsed/>
    <w:rsid w:val="00555E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E84"/>
    <w:rPr>
      <w:rFonts w:ascii="Tahoma" w:hAnsi="Tahoma" w:cs="Tahoma"/>
      <w:sz w:val="16"/>
      <w:szCs w:val="16"/>
    </w:rPr>
  </w:style>
  <w:style w:type="table" w:styleId="TableGrid">
    <w:name w:val="Table Grid"/>
    <w:basedOn w:val="TableNormal"/>
    <w:uiPriority w:val="59"/>
    <w:rsid w:val="00555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settings.xml.rels>&#65279;<?xml version="1.0" encoding="utf-8"?><Relationships xmlns="http://schemas.openxmlformats.org/package/2006/relationships"><Relationship Type="http://schemas.openxmlformats.org/officeDocument/2006/relationships/attachedTemplate" Target="file:///\\isis\dfs\softwlib\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CTJJHAUHWN5E-318629884-675</_dlc_DocId>
    <_dlc_DocIdUrl xmlns="bfc960a6-20da-4c94-8684-71380fca093b">
      <Url>http://dm2016/eesc/2019/_layouts/15/DocIdRedir.aspx?ID=CTJJHAUHWN5E-318629884-675</Url>
      <Description>CTJJHAUHWN5E-318629884-675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2019-07-09T12:00:00+00:00</ProductionDate>
    <FicheYear xmlns="bfc960a6-20da-4c94-8684-71380fca093b">2019</FicheYear>
    <DocumentNumber xmlns="a69be8a7-9536-4706-a7cf-8bd1aed539a4">3213</DocumentNumber>
    <DocumentVersion xmlns="bfc960a6-20da-4c94-8684-71380fca093b">0</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11</Value>
      <Value>10</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7134</FicheNumber>
    <DocumentPart xmlns="bfc960a6-20da-4c94-8684-71380fca093b">0</DocumentPart>
    <AdoptionDate xmlns="bfc960a6-20da-4c94-8684-71380fca093b" xsi:nil="true"/>
    <RequestingService xmlns="bfc960a6-20da-4c94-8684-71380fca093b">Relations avec la société civile organisée et prospective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69be8a7-9536-4706-a7cf-8bd1aed539a4" xsi:nil="true"/>
    <DossierName_0 xmlns="http://schemas.microsoft.com/sharepoint/v3/fields">
      <Terms xmlns="http://schemas.microsoft.com/office/infopath/2007/PartnerControls"/>
    </DossierName_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D35D3BCF8F4544A8F08714FCE6E0FA1" ma:contentTypeVersion="4" ma:contentTypeDescription="Defines the documents for Document Manager V2" ma:contentTypeScope="" ma:versionID="32fa0bad10b3041c39328cc1de51cc7a">
  <xsd:schema xmlns:xsd="http://www.w3.org/2001/XMLSchema" xmlns:xs="http://www.w3.org/2001/XMLSchema" xmlns:p="http://schemas.microsoft.com/office/2006/metadata/properties" xmlns:ns2="bfc960a6-20da-4c94-8684-71380fca093b" xmlns:ns3="http://schemas.microsoft.com/sharepoint/v3/fields" xmlns:ns4="a69be8a7-9536-4706-a7cf-8bd1aed539a4" targetNamespace="http://schemas.microsoft.com/office/2006/metadata/properties" ma:root="true" ma:fieldsID="80ed43f531677b78d6727881f5bc703a" ns2:_="" ns3:_="" ns4:_="">
    <xsd:import namespace="bfc960a6-20da-4c94-8684-71380fca093b"/>
    <xsd:import namespace="http://schemas.microsoft.com/sharepoint/v3/fields"/>
    <xsd:import namespace="a69be8a7-9536-4706-a7cf-8bd1aed539a4"/>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9be8a7-9536-4706-a7cf-8bd1aed539a4"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FE784-CA18-4AC8-B8A8-C49709713EC7}"/>
</file>

<file path=customXml/itemProps2.xml><?xml version="1.0" encoding="utf-8"?>
<ds:datastoreItem xmlns:ds="http://schemas.openxmlformats.org/officeDocument/2006/customXml" ds:itemID="{1102D665-7508-46C8-9D1A-F6E1CB625330}"/>
</file>

<file path=customXml/itemProps3.xml><?xml version="1.0" encoding="utf-8"?>
<ds:datastoreItem xmlns:ds="http://schemas.openxmlformats.org/officeDocument/2006/customXml" ds:itemID="{CAC614AB-1699-4845-9BC1-733E2EC9360D}"/>
</file>

<file path=customXml/itemProps4.xml><?xml version="1.0" encoding="utf-8"?>
<ds:datastoreItem xmlns:ds="http://schemas.openxmlformats.org/officeDocument/2006/customXml" ds:itemID="{1314F335-0FAB-4743-83D0-A6F458BDE9E4}"/>
</file>

<file path=docProps/app.xml><?xml version="1.0" encoding="utf-8"?>
<Properties xmlns="http://schemas.openxmlformats.org/officeDocument/2006/extended-properties" xmlns:vt="http://schemas.openxmlformats.org/officeDocument/2006/docPropsVTypes">
  <Template>Styles</Template>
  <TotalTime>5</TotalTime>
  <Pages>4</Pages>
  <Words>1408</Words>
  <Characters>7750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 des Journées de la société civile 2019 - final</dc:title>
  <dc:subject>Documents d'information</dc:subject>
  <dc:creator>Serafini Karen</dc:creator>
  <cp:keywords>EESC-2019-03213-00-00-INFO-TRA-EN</cp:keywords>
  <dc:description>Rapporteur:  - Original language: EN - Date of document: 09/07/2019 - Date of meeting:  - External documents:  - Administrator: Mme Serafini Karen Juliane</dc:description>
  <cp:lastModifiedBy>glac</cp:lastModifiedBy>
  <cp:revision>5</cp:revision>
  <cp:lastPrinted>2019-07-03T07:19:00Z</cp:lastPrinted>
  <dcterms:created xsi:type="dcterms:W3CDTF">2019-07-04T05:14:00Z</dcterms:created>
  <dcterms:modified xsi:type="dcterms:W3CDTF">2019-07-09T09:12:00Z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04/07/2019</vt:lpwstr>
  </property>
  <property fmtid="{D5CDD505-2E9C-101B-9397-08002B2CF9AE}" pid="4" name="Pref_Time">
    <vt:lpwstr>07:12:52</vt:lpwstr>
  </property>
  <property fmtid="{D5CDD505-2E9C-101B-9397-08002B2CF9AE}" pid="5" name="Pref_User">
    <vt:lpwstr>enied</vt:lpwstr>
  </property>
  <property fmtid="{D5CDD505-2E9C-101B-9397-08002B2CF9AE}" pid="6" name="Pref_FileName">
    <vt:lpwstr>EESC-2019-03213-00-00-INFO-ORI.docx</vt:lpwstr>
  </property>
  <property fmtid="{D5CDD505-2E9C-101B-9397-08002B2CF9AE}" pid="7" name="ContentTypeId">
    <vt:lpwstr>0x010100EA97B91038054C99906057A708A1480A00AD35D3BCF8F4544A8F08714FCE6E0FA1</vt:lpwstr>
  </property>
  <property fmtid="{D5CDD505-2E9C-101B-9397-08002B2CF9AE}" pid="8" name="_dlc_DocIdItemGuid">
    <vt:lpwstr>c1f658b5-263b-40c7-88b0-15fc5bdaaa1e</vt:lpwstr>
  </property>
  <property fmtid="{D5CDD505-2E9C-101B-9397-08002B2CF9AE}" pid="9" name="AvailableTranslations">
    <vt:lpwstr>10;#FR|d2afafd3-4c81-4f60-8f52-ee33f2f54ff3;#4;#EN|f2175f21-25d7-44a3-96da-d6a61b075e1b</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3213</vt:i4>
  </property>
  <property fmtid="{D5CDD505-2E9C-101B-9397-08002B2CF9AE}" pid="14" name="FicheYear">
    <vt:i4>2019</vt:i4>
  </property>
  <property fmtid="{D5CDD505-2E9C-101B-9397-08002B2CF9AE}" pid="15" name="DocumentVersion">
    <vt:i4>0</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11;#INFO|d9136e7c-93a9-4c42-9d28-92b61e85f80c</vt:lpwstr>
  </property>
  <property fmtid="{D5CDD505-2E9C-101B-9397-08002B2CF9AE}" pid="22" name="RequestingService">
    <vt:lpwstr>Relations avec la société civile organisée et prospective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11;#INFO|d9136e7c-93a9-4c42-9d28-92b61e85f80c;#7;#Final|ea5e6674-7b27-4bac-b091-73adbb394efe;#5;#Unrestricted|826e22d7-d029-4ec0-a450-0c28ff673572;#4;#EN|f2175f21-25d7-44a3-96da-d6a61b075e1b;#2;#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2019</vt:i4>
  </property>
  <property fmtid="{D5CDD505-2E9C-101B-9397-08002B2CF9AE}" pid="36" name="FicheNumber">
    <vt:i4>7134</vt:i4>
  </property>
  <property fmtid="{D5CDD505-2E9C-101B-9397-08002B2CF9AE}" pid="37" name="DocumentLanguage">
    <vt:lpwstr>10;#FR|d2afafd3-4c81-4f60-8f52-ee33f2f54ff3</vt:lpwstr>
  </property>
  <property fmtid="{D5CDD505-2E9C-101B-9397-08002B2CF9AE}" pid="38" name="_docset_NoMedatataSyncRequired">
    <vt:lpwstr>False</vt:lpwstr>
  </property>
</Properties>
</file>