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48291B" w14:textId="77777777" w:rsidR="009C4A4E" w:rsidRPr="004D54C1" w:rsidRDefault="009C4A4E" w:rsidP="007B102C">
      <w:pPr>
        <w:pStyle w:val="NoSpacing"/>
        <w:rPr>
          <w:rFonts w:asciiTheme="minorHAnsi" w:hAnsiTheme="minorHAnsi"/>
          <w:noProof/>
          <w:sz w:val="22"/>
          <w:szCs w:val="22"/>
        </w:rPr>
      </w:pPr>
      <w:bookmarkStart w:id="0" w:name="_GoBack"/>
      <w:bookmarkEnd w:id="0"/>
    </w:p>
    <w:p w14:paraId="265DE613" w14:textId="77777777" w:rsidR="009C4A4E" w:rsidRPr="00DD39BE" w:rsidRDefault="009C4A4E" w:rsidP="007B102C">
      <w:pPr>
        <w:pStyle w:val="NoSpacing"/>
        <w:rPr>
          <w:rFonts w:asciiTheme="minorHAnsi" w:hAnsiTheme="minorHAnsi"/>
          <w:noProof/>
          <w:sz w:val="22"/>
          <w:szCs w:val="22"/>
          <w:lang w:val="en-US"/>
        </w:rPr>
      </w:pPr>
    </w:p>
    <w:p w14:paraId="7B5024B7" w14:textId="77777777" w:rsidR="009C4A4E" w:rsidRPr="004D54C1" w:rsidRDefault="009C4A4E" w:rsidP="007B102C">
      <w:pPr>
        <w:pStyle w:val="NoSpacing"/>
        <w:rPr>
          <w:rFonts w:asciiTheme="minorHAnsi" w:hAnsiTheme="minorHAnsi"/>
          <w:noProof/>
          <w:sz w:val="22"/>
          <w:szCs w:val="22"/>
        </w:rPr>
      </w:pPr>
    </w:p>
    <w:p w14:paraId="4C9D7B10" w14:textId="77777777" w:rsidR="009C4A4E" w:rsidRPr="004D54C1" w:rsidRDefault="009C4A4E" w:rsidP="007B102C">
      <w:pPr>
        <w:pStyle w:val="NoSpacing"/>
        <w:rPr>
          <w:rFonts w:asciiTheme="minorHAnsi" w:hAnsiTheme="minorHAnsi"/>
          <w:noProof/>
          <w:sz w:val="22"/>
          <w:szCs w:val="22"/>
        </w:rPr>
      </w:pPr>
    </w:p>
    <w:p w14:paraId="5086F4F2" w14:textId="245FB28B" w:rsidR="009C4A4E" w:rsidRPr="004D54C1" w:rsidRDefault="009C4A4E" w:rsidP="00C25BA6">
      <w:pPr>
        <w:pStyle w:val="NoSpacing"/>
        <w:tabs>
          <w:tab w:val="left" w:pos="5055"/>
        </w:tabs>
        <w:rPr>
          <w:rFonts w:asciiTheme="minorHAnsi" w:hAnsiTheme="minorHAnsi"/>
          <w:noProof/>
          <w:sz w:val="22"/>
          <w:szCs w:val="22"/>
        </w:rPr>
      </w:pPr>
    </w:p>
    <w:p w14:paraId="646FC379" w14:textId="77777777" w:rsidR="009C4A4E" w:rsidRPr="004D54C1" w:rsidRDefault="009C4A4E" w:rsidP="007B102C">
      <w:pPr>
        <w:pStyle w:val="NoSpacing"/>
        <w:rPr>
          <w:rFonts w:asciiTheme="minorHAnsi" w:hAnsiTheme="minorHAnsi"/>
          <w:noProof/>
          <w:sz w:val="22"/>
          <w:szCs w:val="22"/>
        </w:rPr>
      </w:pPr>
    </w:p>
    <w:p w14:paraId="2EAAF7D0" w14:textId="77777777" w:rsidR="009C4A4E" w:rsidRPr="004D54C1" w:rsidRDefault="009C4A4E" w:rsidP="007B102C">
      <w:pPr>
        <w:pStyle w:val="NoSpacing"/>
        <w:rPr>
          <w:rFonts w:asciiTheme="minorHAnsi" w:hAnsiTheme="minorHAnsi"/>
          <w:noProof/>
          <w:sz w:val="22"/>
          <w:szCs w:val="22"/>
        </w:rPr>
      </w:pPr>
    </w:p>
    <w:p w14:paraId="6FF1ADE4" w14:textId="77777777" w:rsidR="007B102C" w:rsidRPr="004D54C1" w:rsidRDefault="007B102C" w:rsidP="007B102C">
      <w:pPr>
        <w:pStyle w:val="NoSpacing"/>
        <w:rPr>
          <w:rFonts w:asciiTheme="minorHAnsi" w:hAnsiTheme="minorHAnsi"/>
          <w:noProof/>
          <w:sz w:val="22"/>
          <w:szCs w:val="22"/>
          <w:lang w:val="en-US"/>
        </w:rPr>
      </w:pPr>
    </w:p>
    <w:p w14:paraId="25A90109" w14:textId="77777777" w:rsidR="007B102C" w:rsidRPr="004D54C1" w:rsidRDefault="007B102C" w:rsidP="007B102C">
      <w:pPr>
        <w:pStyle w:val="NoSpacing"/>
        <w:rPr>
          <w:rFonts w:asciiTheme="minorHAnsi" w:hAnsiTheme="minorHAnsi"/>
          <w:noProof/>
          <w:sz w:val="22"/>
          <w:szCs w:val="22"/>
          <w:lang w:val="en-US"/>
        </w:rPr>
      </w:pPr>
    </w:p>
    <w:p w14:paraId="5F997DD3" w14:textId="77777777" w:rsidR="007B102C" w:rsidRPr="004D54C1" w:rsidRDefault="007B102C" w:rsidP="007B102C">
      <w:pPr>
        <w:pStyle w:val="NoSpacing"/>
        <w:rPr>
          <w:rFonts w:asciiTheme="minorHAnsi" w:hAnsiTheme="minorHAnsi"/>
          <w:noProof/>
          <w:sz w:val="22"/>
          <w:szCs w:val="22"/>
          <w:lang w:val="en-US"/>
        </w:rPr>
      </w:pPr>
    </w:p>
    <w:p w14:paraId="1E7CF367" w14:textId="77777777" w:rsidR="007B102C" w:rsidRPr="004D54C1" w:rsidRDefault="007B102C" w:rsidP="007B102C">
      <w:pPr>
        <w:pStyle w:val="NoSpacing"/>
        <w:rPr>
          <w:rFonts w:asciiTheme="minorHAnsi" w:hAnsiTheme="minorHAnsi"/>
          <w:noProof/>
          <w:sz w:val="22"/>
          <w:szCs w:val="22"/>
          <w:lang w:val="en-US"/>
        </w:rPr>
      </w:pPr>
    </w:p>
    <w:p w14:paraId="3A927189" w14:textId="77777777" w:rsidR="00E52778" w:rsidRPr="004D54C1" w:rsidRDefault="00E52778" w:rsidP="007B102C">
      <w:pPr>
        <w:pStyle w:val="NoSpacing"/>
        <w:rPr>
          <w:rFonts w:asciiTheme="minorHAnsi" w:hAnsiTheme="minorHAnsi"/>
          <w:noProof/>
          <w:sz w:val="22"/>
          <w:szCs w:val="22"/>
          <w:lang w:val="en-US"/>
        </w:rPr>
      </w:pPr>
    </w:p>
    <w:p w14:paraId="31EB29C2" w14:textId="0B334D97" w:rsidR="00734375" w:rsidRDefault="00C0594F" w:rsidP="00E142D1">
      <w:pPr>
        <w:pStyle w:val="NoSpacing"/>
        <w:jc w:val="center"/>
        <w:rPr>
          <w:rFonts w:asciiTheme="minorHAnsi" w:hAnsiTheme="minorHAnsi"/>
          <w:b/>
          <w:sz w:val="22"/>
          <w:szCs w:val="22"/>
          <w:lang w:val="en-US"/>
        </w:rPr>
      </w:pPr>
      <w:r>
        <w:rPr>
          <w:rFonts w:asciiTheme="minorHAnsi" w:hAnsiTheme="minorHAnsi"/>
          <w:b/>
          <w:noProof/>
          <w:sz w:val="22"/>
          <w:szCs w:val="22"/>
          <w:lang w:val="fr-BE" w:eastAsia="fr-BE"/>
        </w:rPr>
        <mc:AlternateContent>
          <mc:Choice Requires="wps">
            <w:drawing>
              <wp:anchor distT="0" distB="0" distL="114300" distR="114300" simplePos="0" relativeHeight="251657728" behindDoc="1" locked="1" layoutInCell="1" allowOverlap="1" wp14:anchorId="7E28B8B6" wp14:editId="37369630">
                <wp:simplePos x="0" y="0"/>
                <wp:positionH relativeFrom="page">
                  <wp:posOffset>4972050</wp:posOffset>
                </wp:positionH>
                <wp:positionV relativeFrom="page">
                  <wp:posOffset>1645920</wp:posOffset>
                </wp:positionV>
                <wp:extent cx="1951990" cy="1894840"/>
                <wp:effectExtent l="0" t="0" r="3810" b="1016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189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7BBD0" w14:textId="77777777" w:rsidR="00E6082C" w:rsidRPr="001C07DE" w:rsidRDefault="00E6082C" w:rsidP="001175A3">
                            <w:pPr>
                              <w:pStyle w:val="NoSpacing"/>
                              <w:rPr>
                                <w:rFonts w:asciiTheme="minorHAnsi" w:hAnsiTheme="minorHAnsi"/>
                                <w:sz w:val="18"/>
                                <w:szCs w:val="18"/>
                                <w:lang w:eastAsia="zh-CN"/>
                              </w:rPr>
                            </w:pPr>
                            <w:r w:rsidRPr="001C07DE">
                              <w:rPr>
                                <w:rFonts w:asciiTheme="minorHAnsi" w:hAnsiTheme="minorHAnsi"/>
                                <w:sz w:val="18"/>
                                <w:szCs w:val="18"/>
                                <w:lang w:eastAsia="zh-CN"/>
                              </w:rPr>
                              <w:t>Prof. Dr. Christoph Spengel</w:t>
                            </w:r>
                          </w:p>
                          <w:p w14:paraId="270CD30F" w14:textId="77777777" w:rsidR="00E6082C" w:rsidRPr="001C07DE" w:rsidRDefault="00E6082C" w:rsidP="001175A3">
                            <w:pPr>
                              <w:pStyle w:val="NoSpacing"/>
                              <w:rPr>
                                <w:rFonts w:asciiTheme="minorHAnsi" w:hAnsiTheme="minorHAnsi"/>
                                <w:sz w:val="18"/>
                                <w:szCs w:val="18"/>
                                <w:lang w:eastAsia="zh-CN"/>
                              </w:rPr>
                            </w:pPr>
                            <w:r w:rsidRPr="001C07DE">
                              <w:rPr>
                                <w:rFonts w:asciiTheme="minorHAnsi" w:hAnsiTheme="minorHAnsi"/>
                                <w:sz w:val="18"/>
                                <w:szCs w:val="18"/>
                              </w:rPr>
                              <w:t>Schloss</w:t>
                            </w:r>
                          </w:p>
                          <w:p w14:paraId="3209BEA4" w14:textId="77777777" w:rsidR="00E6082C" w:rsidRPr="001C07DE" w:rsidRDefault="00E6082C" w:rsidP="001175A3">
                            <w:pPr>
                              <w:pStyle w:val="NoSpacing"/>
                              <w:rPr>
                                <w:rFonts w:asciiTheme="minorHAnsi" w:hAnsiTheme="minorHAnsi"/>
                                <w:sz w:val="18"/>
                                <w:szCs w:val="18"/>
                                <w:lang w:eastAsia="zh-CN"/>
                              </w:rPr>
                            </w:pPr>
                            <w:r w:rsidRPr="001C07DE">
                              <w:rPr>
                                <w:rFonts w:asciiTheme="minorHAnsi" w:hAnsiTheme="minorHAnsi"/>
                                <w:sz w:val="18"/>
                                <w:szCs w:val="18"/>
                              </w:rPr>
                              <w:t>68131 Mannheim</w:t>
                            </w:r>
                          </w:p>
                          <w:p w14:paraId="3AE36B67" w14:textId="77777777" w:rsidR="00E6082C" w:rsidRPr="00B575F9" w:rsidRDefault="00E6082C" w:rsidP="001175A3">
                            <w:pPr>
                              <w:pStyle w:val="NoSpacing"/>
                              <w:rPr>
                                <w:rFonts w:asciiTheme="minorHAnsi" w:hAnsiTheme="minorHAnsi"/>
                                <w:sz w:val="18"/>
                                <w:szCs w:val="18"/>
                                <w:lang w:val="en-US" w:eastAsia="zh-CN"/>
                              </w:rPr>
                            </w:pPr>
                            <w:r w:rsidRPr="00B575F9">
                              <w:rPr>
                                <w:rFonts w:asciiTheme="minorHAnsi" w:hAnsiTheme="minorHAnsi" w:hint="eastAsia"/>
                                <w:sz w:val="18"/>
                                <w:szCs w:val="18"/>
                                <w:lang w:val="en-US" w:eastAsia="zh-CN"/>
                              </w:rPr>
                              <w:t>Germany</w:t>
                            </w:r>
                          </w:p>
                          <w:p w14:paraId="419C0F62" w14:textId="77777777" w:rsidR="00E6082C" w:rsidRPr="001C07DE" w:rsidRDefault="00E6082C" w:rsidP="001175A3">
                            <w:pPr>
                              <w:pStyle w:val="NoSpacing"/>
                              <w:rPr>
                                <w:rFonts w:asciiTheme="minorHAnsi" w:hAnsiTheme="minorHAnsi"/>
                                <w:sz w:val="18"/>
                                <w:szCs w:val="18"/>
                                <w:lang w:val="en-US" w:eastAsia="zh-CN"/>
                              </w:rPr>
                            </w:pPr>
                            <w:r w:rsidRPr="001C07DE">
                              <w:rPr>
                                <w:rFonts w:asciiTheme="minorHAnsi" w:hAnsiTheme="minorHAnsi"/>
                                <w:sz w:val="18"/>
                                <w:szCs w:val="18"/>
                                <w:lang w:val="en-US" w:eastAsia="zh-CN"/>
                              </w:rPr>
                              <w:t xml:space="preserve">Phone </w:t>
                            </w:r>
                            <w:r w:rsidRPr="001C07DE">
                              <w:rPr>
                                <w:rFonts w:asciiTheme="minorHAnsi" w:hAnsiTheme="minorHAnsi"/>
                                <w:sz w:val="18"/>
                                <w:szCs w:val="18"/>
                                <w:lang w:val="en-US"/>
                              </w:rPr>
                              <w:t>+49 621 181-1704</w:t>
                            </w:r>
                          </w:p>
                          <w:p w14:paraId="1B06E896" w14:textId="77777777" w:rsidR="00E6082C" w:rsidRPr="00D26A45" w:rsidRDefault="00E6082C" w:rsidP="001175A3">
                            <w:pPr>
                              <w:pStyle w:val="NoSpacing"/>
                              <w:rPr>
                                <w:rFonts w:asciiTheme="minorHAnsi" w:hAnsiTheme="minorHAnsi"/>
                                <w:sz w:val="18"/>
                                <w:szCs w:val="18"/>
                                <w:lang w:val="en-US" w:eastAsia="zh-CN"/>
                              </w:rPr>
                            </w:pPr>
                            <w:r>
                              <w:rPr>
                                <w:rFonts w:asciiTheme="minorHAnsi" w:hAnsiTheme="minorHAnsi" w:hint="eastAsia"/>
                                <w:sz w:val="18"/>
                                <w:szCs w:val="18"/>
                                <w:lang w:val="en-US" w:eastAsia="zh-CN"/>
                              </w:rPr>
                              <w:t>spengel</w:t>
                            </w:r>
                            <w:r w:rsidRPr="00D26A45">
                              <w:rPr>
                                <w:rFonts w:asciiTheme="minorHAnsi" w:hAnsiTheme="minorHAnsi"/>
                                <w:sz w:val="18"/>
                                <w:szCs w:val="18"/>
                                <w:lang w:val="en-US"/>
                              </w:rPr>
                              <w:t>@uni-mannheim.de</w:t>
                            </w:r>
                          </w:p>
                          <w:p w14:paraId="73158EFE" w14:textId="77777777" w:rsidR="00E6082C" w:rsidRPr="00D26A45" w:rsidRDefault="00E6082C" w:rsidP="001175A3">
                            <w:pPr>
                              <w:pStyle w:val="NoSpacing"/>
                              <w:rPr>
                                <w:rFonts w:asciiTheme="minorHAnsi" w:hAnsiTheme="minorHAnsi"/>
                                <w:b/>
                                <w:bCs/>
                                <w:sz w:val="18"/>
                                <w:szCs w:val="18"/>
                                <w:lang w:val="en-US"/>
                              </w:rPr>
                            </w:pPr>
                          </w:p>
                          <w:p w14:paraId="1D1B9193" w14:textId="77777777" w:rsidR="00E6082C" w:rsidRPr="00D26A45" w:rsidRDefault="00E6082C" w:rsidP="001175A3">
                            <w:pPr>
                              <w:pStyle w:val="NoSpacing"/>
                              <w:rPr>
                                <w:rFonts w:asciiTheme="minorHAnsi" w:hAnsiTheme="minorHAnsi"/>
                                <w:sz w:val="18"/>
                                <w:szCs w:val="18"/>
                                <w:lang w:val="en-US" w:eastAsia="zh-CN"/>
                              </w:rPr>
                            </w:pPr>
                            <w:r w:rsidRPr="00D26A45">
                              <w:rPr>
                                <w:rFonts w:asciiTheme="minorHAnsi" w:hAnsiTheme="minorHAnsi"/>
                                <w:b/>
                                <w:bCs/>
                                <w:sz w:val="18"/>
                                <w:szCs w:val="18"/>
                                <w:lang w:val="en-US"/>
                              </w:rPr>
                              <w:t>Secretary’</w:t>
                            </w:r>
                            <w:r w:rsidRPr="00D26A45">
                              <w:rPr>
                                <w:rFonts w:asciiTheme="minorHAnsi" w:hAnsiTheme="minorHAnsi" w:hint="eastAsia"/>
                                <w:b/>
                                <w:bCs/>
                                <w:sz w:val="18"/>
                                <w:szCs w:val="18"/>
                                <w:lang w:val="en-US" w:eastAsia="zh-CN"/>
                              </w:rPr>
                              <w:t>s Office</w:t>
                            </w:r>
                            <w:r w:rsidRPr="00D26A45">
                              <w:rPr>
                                <w:rFonts w:asciiTheme="minorHAnsi" w:hAnsiTheme="minorHAnsi"/>
                                <w:b/>
                                <w:bCs/>
                                <w:sz w:val="18"/>
                                <w:szCs w:val="18"/>
                                <w:lang w:val="en-US"/>
                              </w:rPr>
                              <w:t xml:space="preserve">: </w:t>
                            </w:r>
                            <w:r>
                              <w:rPr>
                                <w:rFonts w:asciiTheme="minorHAnsi" w:hAnsiTheme="minorHAnsi"/>
                                <w:sz w:val="18"/>
                                <w:szCs w:val="18"/>
                                <w:lang w:val="en-US" w:eastAsia="zh-CN"/>
                              </w:rPr>
                              <w:t>Christine Buerner</w:t>
                            </w:r>
                          </w:p>
                          <w:p w14:paraId="45AC6C13" w14:textId="77777777" w:rsidR="00E6082C" w:rsidRPr="00D26A45" w:rsidRDefault="00E6082C" w:rsidP="001175A3">
                            <w:pPr>
                              <w:pStyle w:val="NoSpacing"/>
                              <w:rPr>
                                <w:rFonts w:asciiTheme="minorHAnsi" w:hAnsiTheme="minorHAnsi"/>
                                <w:sz w:val="18"/>
                                <w:szCs w:val="18"/>
                                <w:lang w:val="en-US" w:eastAsia="zh-CN"/>
                              </w:rPr>
                            </w:pPr>
                            <w:r w:rsidRPr="00D26A45">
                              <w:rPr>
                                <w:rFonts w:asciiTheme="minorHAnsi" w:hAnsiTheme="minorHAnsi"/>
                                <w:sz w:val="18"/>
                                <w:szCs w:val="18"/>
                                <w:lang w:val="en-US"/>
                              </w:rPr>
                              <w:t>Phone +49 621 181-</w:t>
                            </w:r>
                            <w:r>
                              <w:rPr>
                                <w:rFonts w:asciiTheme="minorHAnsi" w:hAnsiTheme="minorHAnsi"/>
                                <w:sz w:val="18"/>
                                <w:szCs w:val="18"/>
                                <w:lang w:val="en-US"/>
                              </w:rPr>
                              <w:t>1705</w:t>
                            </w:r>
                          </w:p>
                          <w:p w14:paraId="02BAED2C" w14:textId="77777777" w:rsidR="00E6082C" w:rsidRPr="00D26A45" w:rsidRDefault="00E6082C" w:rsidP="001175A3">
                            <w:pPr>
                              <w:pStyle w:val="NoSpacing"/>
                              <w:rPr>
                                <w:rFonts w:asciiTheme="minorHAnsi" w:hAnsiTheme="minorHAnsi"/>
                                <w:sz w:val="18"/>
                                <w:szCs w:val="18"/>
                                <w:lang w:val="en-US" w:eastAsia="zh-CN"/>
                              </w:rPr>
                            </w:pPr>
                            <w:r w:rsidRPr="00D26A45">
                              <w:rPr>
                                <w:rFonts w:asciiTheme="minorHAnsi" w:hAnsiTheme="minorHAnsi"/>
                                <w:sz w:val="18"/>
                                <w:szCs w:val="18"/>
                                <w:lang w:val="en-US"/>
                              </w:rPr>
                              <w:t xml:space="preserve">Fax </w:t>
                            </w:r>
                            <w:r>
                              <w:rPr>
                                <w:rFonts w:asciiTheme="minorHAnsi" w:hAnsiTheme="minorHAnsi"/>
                                <w:sz w:val="18"/>
                                <w:szCs w:val="18"/>
                                <w:lang w:val="en-US"/>
                              </w:rPr>
                              <w:t xml:space="preserve">     </w:t>
                            </w:r>
                            <w:r w:rsidRPr="00D26A45">
                              <w:rPr>
                                <w:rFonts w:asciiTheme="minorHAnsi" w:hAnsiTheme="minorHAnsi"/>
                                <w:sz w:val="18"/>
                                <w:szCs w:val="18"/>
                                <w:lang w:val="en-US"/>
                              </w:rPr>
                              <w:t>+49 621 181-</w:t>
                            </w:r>
                            <w:r>
                              <w:rPr>
                                <w:rFonts w:asciiTheme="minorHAnsi" w:hAnsiTheme="minorHAnsi"/>
                                <w:sz w:val="18"/>
                                <w:szCs w:val="18"/>
                                <w:lang w:val="en-US"/>
                              </w:rPr>
                              <w:t>1706</w:t>
                            </w:r>
                          </w:p>
                          <w:p w14:paraId="58296369" w14:textId="77777777" w:rsidR="00E6082C" w:rsidRPr="00B97326" w:rsidRDefault="00E6082C" w:rsidP="001175A3">
                            <w:pPr>
                              <w:pStyle w:val="NoSpacing"/>
                              <w:rPr>
                                <w:rFonts w:asciiTheme="minorHAnsi" w:hAnsiTheme="minorHAnsi"/>
                                <w:sz w:val="18"/>
                                <w:szCs w:val="18"/>
                                <w:lang w:val="en-US"/>
                              </w:rPr>
                            </w:pPr>
                            <w:r>
                              <w:rPr>
                                <w:rFonts w:asciiTheme="minorHAnsi" w:hAnsiTheme="minorHAnsi" w:hint="eastAsia"/>
                                <w:sz w:val="18"/>
                                <w:szCs w:val="18"/>
                                <w:lang w:val="en-US" w:eastAsia="zh-CN"/>
                              </w:rPr>
                              <w:t>buerner</w:t>
                            </w:r>
                            <w:r w:rsidRPr="00B97326">
                              <w:rPr>
                                <w:rFonts w:asciiTheme="minorHAnsi" w:hAnsiTheme="minorHAnsi"/>
                                <w:sz w:val="18"/>
                                <w:szCs w:val="18"/>
                                <w:lang w:val="en-US"/>
                              </w:rPr>
                              <w:t>@uni-mannheim.de</w:t>
                            </w:r>
                          </w:p>
                          <w:p w14:paraId="46D7965A" w14:textId="77777777" w:rsidR="00E6082C" w:rsidRPr="00B97326" w:rsidRDefault="00E6082C" w:rsidP="001175A3">
                            <w:pPr>
                              <w:pStyle w:val="NoSpacing"/>
                              <w:rPr>
                                <w:rFonts w:asciiTheme="minorHAnsi" w:hAnsiTheme="minorHAnsi"/>
                                <w:sz w:val="18"/>
                                <w:szCs w:val="18"/>
                                <w:lang w:val="en-US"/>
                              </w:rPr>
                            </w:pPr>
                            <w:r>
                              <w:rPr>
                                <w:rFonts w:asciiTheme="minorHAnsi" w:hAnsiTheme="minorHAnsi"/>
                                <w:sz w:val="18"/>
                                <w:szCs w:val="18"/>
                                <w:lang w:val="en-US"/>
                              </w:rPr>
                              <w:t>http://spengel.bwl.uni-mannheim.de</w:t>
                            </w:r>
                          </w:p>
                          <w:p w14:paraId="238414F6" w14:textId="77777777" w:rsidR="00E6082C" w:rsidRPr="001C07DE" w:rsidRDefault="00E6082C" w:rsidP="00703268">
                            <w:pPr>
                              <w:pStyle w:val="NoSpacing"/>
                              <w:rPr>
                                <w:rFonts w:asciiTheme="minorHAnsi" w:hAnsiTheme="minorHAnsi"/>
                                <w:sz w:val="18"/>
                                <w:szCs w:val="18"/>
                                <w:lang w:val="en-US"/>
                              </w:rPr>
                            </w:pPr>
                          </w:p>
                          <w:p w14:paraId="1D24DD3D" w14:textId="77777777" w:rsidR="00E6082C" w:rsidRPr="00B97326" w:rsidRDefault="00E6082C" w:rsidP="00703268">
                            <w:pPr>
                              <w:pStyle w:val="NoSpacing"/>
                              <w:rPr>
                                <w:rFonts w:asciiTheme="minorHAnsi" w:hAnsiTheme="minorHAnsi"/>
                                <w:sz w:val="18"/>
                                <w:szCs w:val="1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28B8B6" id="_x0000_t202" coordsize="21600,21600" o:spt="202" path="m,l,21600r21600,l21600,xe">
                <v:stroke joinstyle="miter"/>
                <v:path gradientshapeok="t" o:connecttype="rect"/>
              </v:shapetype>
              <v:shape id="Text Box 10" o:spid="_x0000_s1026" type="#_x0000_t202" style="position:absolute;left:0;text-align:left;margin-left:391.5pt;margin-top:129.6pt;width:153.7pt;height:149.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" filled="f" stroked="f">
                <v:textbox inset="0,0,0,0">
                  <w:txbxContent>
                    <w:p w14:paraId="1B97BBD0" w14:textId="77777777" w:rsidR="00E6082C" w:rsidRPr="001C07DE" w:rsidRDefault="00E6082C" w:rsidP="001175A3">
                      <w:pPr>
                        <w:pStyle w:val="KeinLeerraum"/>
                        <w:rPr>
                          <w:rFonts w:asciiTheme="minorHAnsi" w:hAnsiTheme="minorHAnsi"/>
                          <w:sz w:val="18"/>
                          <w:szCs w:val="18"/>
                          <w:lang w:eastAsia="zh-CN"/>
                        </w:rPr>
                      </w:pPr>
                      <w:r w:rsidRPr="001C07DE">
                        <w:rPr>
                          <w:rFonts w:asciiTheme="minorHAnsi" w:hAnsiTheme="minorHAnsi"/>
                          <w:sz w:val="18"/>
                          <w:szCs w:val="18"/>
                          <w:lang w:eastAsia="zh-CN"/>
                        </w:rPr>
                        <w:t>Prof. Dr. Christoph Spengel</w:t>
                      </w:r>
                    </w:p>
                    <w:p w14:paraId="270CD30F" w14:textId="77777777" w:rsidR="00E6082C" w:rsidRPr="001C07DE" w:rsidRDefault="00E6082C" w:rsidP="001175A3">
                      <w:pPr>
                        <w:pStyle w:val="KeinLeerraum"/>
                        <w:rPr>
                          <w:rFonts w:asciiTheme="minorHAnsi" w:hAnsiTheme="minorHAnsi"/>
                          <w:sz w:val="18"/>
                          <w:szCs w:val="18"/>
                          <w:lang w:eastAsia="zh-CN"/>
                        </w:rPr>
                      </w:pPr>
                      <w:r w:rsidRPr="001C07DE">
                        <w:rPr>
                          <w:rFonts w:asciiTheme="minorHAnsi" w:hAnsiTheme="minorHAnsi"/>
                          <w:sz w:val="18"/>
                          <w:szCs w:val="18"/>
                        </w:rPr>
                        <w:t>Schloss</w:t>
                      </w:r>
                    </w:p>
                    <w:p w14:paraId="3209BEA4" w14:textId="77777777" w:rsidR="00E6082C" w:rsidRPr="001C07DE" w:rsidRDefault="00E6082C" w:rsidP="001175A3">
                      <w:pPr>
                        <w:pStyle w:val="KeinLeerraum"/>
                        <w:rPr>
                          <w:rFonts w:asciiTheme="minorHAnsi" w:hAnsiTheme="minorHAnsi"/>
                          <w:sz w:val="18"/>
                          <w:szCs w:val="18"/>
                          <w:lang w:eastAsia="zh-CN"/>
                        </w:rPr>
                      </w:pPr>
                      <w:r w:rsidRPr="001C07DE">
                        <w:rPr>
                          <w:rFonts w:asciiTheme="minorHAnsi" w:hAnsiTheme="minorHAnsi"/>
                          <w:sz w:val="18"/>
                          <w:szCs w:val="18"/>
                        </w:rPr>
                        <w:t>68131 Mannheim</w:t>
                      </w:r>
                    </w:p>
                    <w:p w14:paraId="3AE36B67" w14:textId="77777777" w:rsidR="00E6082C" w:rsidRPr="00B575F9" w:rsidRDefault="00E6082C" w:rsidP="001175A3">
                      <w:pPr>
                        <w:pStyle w:val="KeinLeerraum"/>
                        <w:rPr>
                          <w:rFonts w:asciiTheme="minorHAnsi" w:hAnsiTheme="minorHAnsi"/>
                          <w:sz w:val="18"/>
                          <w:szCs w:val="18"/>
                          <w:lang w:val="en-US" w:eastAsia="zh-CN"/>
                        </w:rPr>
                      </w:pPr>
                      <w:r w:rsidRPr="00B575F9">
                        <w:rPr>
                          <w:rFonts w:asciiTheme="minorHAnsi" w:hAnsiTheme="minorHAnsi" w:hint="eastAsia"/>
                          <w:sz w:val="18"/>
                          <w:szCs w:val="18"/>
                          <w:lang w:val="en-US" w:eastAsia="zh-CN"/>
                        </w:rPr>
                        <w:t>Germany</w:t>
                      </w:r>
                    </w:p>
                    <w:p w14:paraId="419C0F62" w14:textId="77777777" w:rsidR="00E6082C" w:rsidRPr="001C07DE" w:rsidRDefault="00E6082C" w:rsidP="001175A3">
                      <w:pPr>
                        <w:pStyle w:val="KeinLeerraum"/>
                        <w:rPr>
                          <w:rFonts w:asciiTheme="minorHAnsi" w:hAnsiTheme="minorHAnsi"/>
                          <w:sz w:val="18"/>
                          <w:szCs w:val="18"/>
                          <w:lang w:val="en-US" w:eastAsia="zh-CN"/>
                        </w:rPr>
                      </w:pPr>
                      <w:r w:rsidRPr="001C07DE">
                        <w:rPr>
                          <w:rFonts w:asciiTheme="minorHAnsi" w:hAnsiTheme="minorHAnsi"/>
                          <w:sz w:val="18"/>
                          <w:szCs w:val="18"/>
                          <w:lang w:val="en-US" w:eastAsia="zh-CN"/>
                        </w:rPr>
                        <w:t xml:space="preserve">Phone </w:t>
                      </w:r>
                      <w:r w:rsidRPr="001C07DE">
                        <w:rPr>
                          <w:rFonts w:asciiTheme="minorHAnsi" w:hAnsiTheme="minorHAnsi"/>
                          <w:sz w:val="18"/>
                          <w:szCs w:val="18"/>
                          <w:lang w:val="en-US"/>
                        </w:rPr>
                        <w:t>+49 621 181-1704</w:t>
                      </w:r>
                    </w:p>
                    <w:p w14:paraId="1B06E896" w14:textId="77777777" w:rsidR="00E6082C" w:rsidRPr="00D26A45" w:rsidRDefault="00E6082C" w:rsidP="001175A3">
                      <w:pPr>
                        <w:pStyle w:val="KeinLeerraum"/>
                        <w:rPr>
                          <w:rFonts w:asciiTheme="minorHAnsi" w:hAnsiTheme="minorHAnsi"/>
                          <w:sz w:val="18"/>
                          <w:szCs w:val="18"/>
                          <w:lang w:val="en-US" w:eastAsia="zh-CN"/>
                        </w:rPr>
                      </w:pPr>
                      <w:r>
                        <w:rPr>
                          <w:rFonts w:asciiTheme="minorHAnsi" w:hAnsiTheme="minorHAnsi" w:hint="eastAsia"/>
                          <w:sz w:val="18"/>
                          <w:szCs w:val="18"/>
                          <w:lang w:val="en-US" w:eastAsia="zh-CN"/>
                        </w:rPr>
                        <w:t>spengel</w:t>
                      </w:r>
                      <w:r w:rsidRPr="00D26A45">
                        <w:rPr>
                          <w:rFonts w:asciiTheme="minorHAnsi" w:hAnsiTheme="minorHAnsi"/>
                          <w:sz w:val="18"/>
                          <w:szCs w:val="18"/>
                          <w:lang w:val="en-US"/>
                        </w:rPr>
                        <w:t>@uni-mannheim.de</w:t>
                      </w:r>
                    </w:p>
                    <w:p w14:paraId="73158EFE" w14:textId="77777777" w:rsidR="00E6082C" w:rsidRPr="00D26A45" w:rsidRDefault="00E6082C" w:rsidP="001175A3">
                      <w:pPr>
                        <w:pStyle w:val="KeinLeerraum"/>
                        <w:rPr>
                          <w:rFonts w:asciiTheme="minorHAnsi" w:hAnsiTheme="minorHAnsi"/>
                          <w:b/>
                          <w:bCs/>
                          <w:sz w:val="18"/>
                          <w:szCs w:val="18"/>
                          <w:lang w:val="en-US"/>
                        </w:rPr>
                      </w:pPr>
                    </w:p>
                    <w:p w14:paraId="1D1B9193" w14:textId="77777777" w:rsidR="00E6082C" w:rsidRPr="00D26A45" w:rsidRDefault="00E6082C" w:rsidP="001175A3">
                      <w:pPr>
                        <w:pStyle w:val="KeinLeerraum"/>
                        <w:rPr>
                          <w:rFonts w:asciiTheme="minorHAnsi" w:hAnsiTheme="minorHAnsi"/>
                          <w:sz w:val="18"/>
                          <w:szCs w:val="18"/>
                          <w:lang w:val="en-US" w:eastAsia="zh-CN"/>
                        </w:rPr>
                      </w:pPr>
                      <w:r w:rsidRPr="00D26A45">
                        <w:rPr>
                          <w:rFonts w:asciiTheme="minorHAnsi" w:hAnsiTheme="minorHAnsi"/>
                          <w:b/>
                          <w:bCs/>
                          <w:sz w:val="18"/>
                          <w:szCs w:val="18"/>
                          <w:lang w:val="en-US"/>
                        </w:rPr>
                        <w:t>Secretary’</w:t>
                      </w:r>
                      <w:r w:rsidRPr="00D26A45">
                        <w:rPr>
                          <w:rFonts w:asciiTheme="minorHAnsi" w:hAnsiTheme="minorHAnsi" w:hint="eastAsia"/>
                          <w:b/>
                          <w:bCs/>
                          <w:sz w:val="18"/>
                          <w:szCs w:val="18"/>
                          <w:lang w:val="en-US" w:eastAsia="zh-CN"/>
                        </w:rPr>
                        <w:t>s Office</w:t>
                      </w:r>
                      <w:r w:rsidRPr="00D26A45">
                        <w:rPr>
                          <w:rFonts w:asciiTheme="minorHAnsi" w:hAnsiTheme="minorHAnsi"/>
                          <w:b/>
                          <w:bCs/>
                          <w:sz w:val="18"/>
                          <w:szCs w:val="18"/>
                          <w:lang w:val="en-US"/>
                        </w:rPr>
                        <w:t xml:space="preserve">: </w:t>
                      </w:r>
                      <w:r>
                        <w:rPr>
                          <w:rFonts w:asciiTheme="minorHAnsi" w:hAnsiTheme="minorHAnsi"/>
                          <w:sz w:val="18"/>
                          <w:szCs w:val="18"/>
                          <w:lang w:val="en-US" w:eastAsia="zh-CN"/>
                        </w:rPr>
                        <w:t xml:space="preserve">Christine </w:t>
                      </w:r>
                      <w:proofErr w:type="spellStart"/>
                      <w:r>
                        <w:rPr>
                          <w:rFonts w:asciiTheme="minorHAnsi" w:hAnsiTheme="minorHAnsi"/>
                          <w:sz w:val="18"/>
                          <w:szCs w:val="18"/>
                          <w:lang w:val="en-US" w:eastAsia="zh-CN"/>
                        </w:rPr>
                        <w:t>Buerner</w:t>
                      </w:r>
                      <w:proofErr w:type="spellEnd"/>
                    </w:p>
                    <w:p w14:paraId="45AC6C13" w14:textId="77777777" w:rsidR="00E6082C" w:rsidRPr="00D26A45" w:rsidRDefault="00E6082C" w:rsidP="001175A3">
                      <w:pPr>
                        <w:pStyle w:val="KeinLeerraum"/>
                        <w:rPr>
                          <w:rFonts w:asciiTheme="minorHAnsi" w:hAnsiTheme="minorHAnsi"/>
                          <w:sz w:val="18"/>
                          <w:szCs w:val="18"/>
                          <w:lang w:val="en-US" w:eastAsia="zh-CN"/>
                        </w:rPr>
                      </w:pPr>
                      <w:r w:rsidRPr="00D26A45">
                        <w:rPr>
                          <w:rFonts w:asciiTheme="minorHAnsi" w:hAnsiTheme="minorHAnsi"/>
                          <w:sz w:val="18"/>
                          <w:szCs w:val="18"/>
                          <w:lang w:val="en-US"/>
                        </w:rPr>
                        <w:t>Phone +49 621 181-</w:t>
                      </w:r>
                      <w:r>
                        <w:rPr>
                          <w:rFonts w:asciiTheme="minorHAnsi" w:hAnsiTheme="minorHAnsi"/>
                          <w:sz w:val="18"/>
                          <w:szCs w:val="18"/>
                          <w:lang w:val="en-US"/>
                        </w:rPr>
                        <w:t>1705</w:t>
                      </w:r>
                    </w:p>
                    <w:p w14:paraId="02BAED2C" w14:textId="77777777" w:rsidR="00E6082C" w:rsidRPr="00D26A45" w:rsidRDefault="00E6082C" w:rsidP="001175A3">
                      <w:pPr>
                        <w:pStyle w:val="KeinLeerraum"/>
                        <w:rPr>
                          <w:rFonts w:asciiTheme="minorHAnsi" w:hAnsiTheme="minorHAnsi"/>
                          <w:sz w:val="18"/>
                          <w:szCs w:val="18"/>
                          <w:lang w:val="en-US" w:eastAsia="zh-CN"/>
                        </w:rPr>
                      </w:pPr>
                      <w:r w:rsidRPr="00D26A45">
                        <w:rPr>
                          <w:rFonts w:asciiTheme="minorHAnsi" w:hAnsiTheme="minorHAnsi"/>
                          <w:sz w:val="18"/>
                          <w:szCs w:val="18"/>
                          <w:lang w:val="en-US"/>
                        </w:rPr>
                        <w:t xml:space="preserve">Fax </w:t>
                      </w:r>
                      <w:r>
                        <w:rPr>
                          <w:rFonts w:asciiTheme="minorHAnsi" w:hAnsiTheme="minorHAnsi"/>
                          <w:sz w:val="18"/>
                          <w:szCs w:val="18"/>
                          <w:lang w:val="en-US"/>
                        </w:rPr>
                        <w:t xml:space="preserve">     </w:t>
                      </w:r>
                      <w:r w:rsidRPr="00D26A45">
                        <w:rPr>
                          <w:rFonts w:asciiTheme="minorHAnsi" w:hAnsiTheme="minorHAnsi"/>
                          <w:sz w:val="18"/>
                          <w:szCs w:val="18"/>
                          <w:lang w:val="en-US"/>
                        </w:rPr>
                        <w:t>+49 621 181-</w:t>
                      </w:r>
                      <w:r>
                        <w:rPr>
                          <w:rFonts w:asciiTheme="minorHAnsi" w:hAnsiTheme="minorHAnsi"/>
                          <w:sz w:val="18"/>
                          <w:szCs w:val="18"/>
                          <w:lang w:val="en-US"/>
                        </w:rPr>
                        <w:t>1706</w:t>
                      </w:r>
                    </w:p>
                    <w:p w14:paraId="58296369" w14:textId="77777777" w:rsidR="00E6082C" w:rsidRPr="00B97326" w:rsidRDefault="00E6082C" w:rsidP="001175A3">
                      <w:pPr>
                        <w:pStyle w:val="KeinLeerraum"/>
                        <w:rPr>
                          <w:rFonts w:asciiTheme="minorHAnsi" w:hAnsiTheme="minorHAnsi"/>
                          <w:sz w:val="18"/>
                          <w:szCs w:val="18"/>
                          <w:lang w:val="en-US"/>
                        </w:rPr>
                      </w:pPr>
                      <w:r>
                        <w:rPr>
                          <w:rFonts w:asciiTheme="minorHAnsi" w:hAnsiTheme="minorHAnsi" w:hint="eastAsia"/>
                          <w:sz w:val="18"/>
                          <w:szCs w:val="18"/>
                          <w:lang w:val="en-US" w:eastAsia="zh-CN"/>
                        </w:rPr>
                        <w:t>buerner</w:t>
                      </w:r>
                      <w:r w:rsidRPr="00B97326">
                        <w:rPr>
                          <w:rFonts w:asciiTheme="minorHAnsi" w:hAnsiTheme="minorHAnsi"/>
                          <w:sz w:val="18"/>
                          <w:szCs w:val="18"/>
                          <w:lang w:val="en-US"/>
                        </w:rPr>
                        <w:t>@uni-mannheim.de</w:t>
                      </w:r>
                    </w:p>
                    <w:p w14:paraId="46D7965A" w14:textId="77777777" w:rsidR="00E6082C" w:rsidRPr="00B97326" w:rsidRDefault="00E6082C" w:rsidP="001175A3">
                      <w:pPr>
                        <w:pStyle w:val="KeinLeerraum"/>
                        <w:rPr>
                          <w:rFonts w:asciiTheme="minorHAnsi" w:hAnsiTheme="minorHAnsi"/>
                          <w:sz w:val="18"/>
                          <w:szCs w:val="18"/>
                          <w:lang w:val="en-US"/>
                        </w:rPr>
                      </w:pPr>
                      <w:r>
                        <w:rPr>
                          <w:rFonts w:asciiTheme="minorHAnsi" w:hAnsiTheme="minorHAnsi"/>
                          <w:sz w:val="18"/>
                          <w:szCs w:val="18"/>
                          <w:lang w:val="en-US"/>
                        </w:rPr>
                        <w:t>http://spengel.bwl.uni-mannheim.de</w:t>
                      </w:r>
                    </w:p>
                    <w:p w14:paraId="238414F6" w14:textId="77777777" w:rsidR="00E6082C" w:rsidRPr="001C07DE" w:rsidRDefault="00E6082C" w:rsidP="00703268">
                      <w:pPr>
                        <w:pStyle w:val="KeinLeerraum"/>
                        <w:rPr>
                          <w:rFonts w:asciiTheme="minorHAnsi" w:hAnsiTheme="minorHAnsi"/>
                          <w:sz w:val="18"/>
                          <w:szCs w:val="18"/>
                          <w:lang w:val="en-US"/>
                        </w:rPr>
                      </w:pPr>
                    </w:p>
                    <w:p w14:paraId="1D24DD3D" w14:textId="77777777" w:rsidR="00E6082C" w:rsidRPr="00B97326" w:rsidRDefault="00E6082C" w:rsidP="00703268">
                      <w:pPr>
                        <w:pStyle w:val="KeinLeerraum"/>
                        <w:rPr>
                          <w:rFonts w:asciiTheme="minorHAnsi" w:hAnsiTheme="minorHAnsi"/>
                          <w:sz w:val="18"/>
                          <w:szCs w:val="18"/>
                          <w:lang w:val="en-US"/>
                        </w:rPr>
                      </w:pPr>
                    </w:p>
                  </w:txbxContent>
                </v:textbox>
                <w10:wrap anchorx="page" anchory="page"/>
                <w10:anchorlock/>
              </v:shape>
            </w:pict>
          </mc:Fallback>
        </mc:AlternateContent>
      </w:r>
      <w:r>
        <w:rPr>
          <w:rFonts w:asciiTheme="minorHAnsi" w:hAnsiTheme="minorHAnsi"/>
          <w:b/>
          <w:noProof/>
          <w:sz w:val="22"/>
          <w:szCs w:val="22"/>
          <w:lang w:val="fr-BE" w:eastAsia="fr-BE"/>
        </w:rPr>
        <mc:AlternateContent>
          <mc:Choice Requires="wps">
            <w:drawing>
              <wp:anchor distT="0" distB="0" distL="114300" distR="114300" simplePos="0" relativeHeight="251656704" behindDoc="0" locked="1" layoutInCell="0" allowOverlap="1" wp14:anchorId="7B431AF2" wp14:editId="59BCE93B">
                <wp:simplePos x="0" y="0"/>
                <wp:positionH relativeFrom="page">
                  <wp:posOffset>900430</wp:posOffset>
                </wp:positionH>
                <wp:positionV relativeFrom="page">
                  <wp:posOffset>1944370</wp:posOffset>
                </wp:positionV>
                <wp:extent cx="2736215" cy="1256665"/>
                <wp:effectExtent l="0" t="0" r="6985" b="1333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1256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7345E" w14:textId="18EFEA18" w:rsidR="00E6082C" w:rsidRDefault="00E6082C" w:rsidP="00970B11">
                            <w:pPr>
                              <w:pStyle w:val="NoSpacing"/>
                              <w:rPr>
                                <w:rFonts w:asciiTheme="minorHAnsi" w:hAnsiTheme="minorHAnsi"/>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431AF2" id="Text Box 6" o:spid="_x0000_s1027" type="#_x0000_t202" style="position:absolute;left:0;text-align:left;margin-left:70.9pt;margin-top:153.1pt;width:215.45pt;height:98.9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lGsA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" o:allowincell="f" filled="f" stroked="f">
                <v:textbox inset="0,0,0,0">
                  <w:txbxContent>
                    <w:p w14:paraId="6A67345E" w14:textId="18EFEA18" w:rsidR="00E6082C" w:rsidRDefault="00E6082C" w:rsidP="00970B11">
                      <w:pPr>
                        <w:pStyle w:val="KeinLeerraum"/>
                        <w:rPr>
                          <w:rFonts w:asciiTheme="minorHAnsi" w:hAnsiTheme="minorHAnsi"/>
                          <w:sz w:val="18"/>
                          <w:szCs w:val="18"/>
                        </w:rPr>
                      </w:pPr>
                    </w:p>
                  </w:txbxContent>
                </v:textbox>
                <w10:wrap anchorx="page" anchory="page"/>
                <w10:anchorlock/>
              </v:shape>
            </w:pict>
          </mc:Fallback>
        </mc:AlternateContent>
      </w:r>
      <w:r>
        <w:rPr>
          <w:rFonts w:asciiTheme="minorHAnsi" w:hAnsiTheme="minorHAnsi"/>
          <w:b/>
          <w:noProof/>
          <w:sz w:val="22"/>
          <w:szCs w:val="22"/>
          <w:lang w:val="fr-BE" w:eastAsia="fr-BE"/>
        </w:rPr>
        <mc:AlternateContent>
          <mc:Choice Requires="wps">
            <w:drawing>
              <wp:anchor distT="0" distB="0" distL="114300" distR="114300" simplePos="0" relativeHeight="251658752" behindDoc="0" locked="1" layoutInCell="0" allowOverlap="1" wp14:anchorId="586DA76E" wp14:editId="215CAFC6">
                <wp:simplePos x="0" y="0"/>
                <wp:positionH relativeFrom="page">
                  <wp:posOffset>900430</wp:posOffset>
                </wp:positionH>
                <wp:positionV relativeFrom="page">
                  <wp:posOffset>1662430</wp:posOffset>
                </wp:positionV>
                <wp:extent cx="3163570" cy="215900"/>
                <wp:effectExtent l="0" t="0" r="11430" b="1270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5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BFEDF" w14:textId="2EC74A29" w:rsidR="00E6082C" w:rsidRPr="003C4648" w:rsidRDefault="00E6082C" w:rsidP="00E4032A">
                            <w:pPr>
                              <w:pStyle w:val="NoSpacing"/>
                              <w:jc w:val="center"/>
                              <w:rPr>
                                <w:rFonts w:asciiTheme="minorHAnsi" w:hAnsiTheme="minorHAnsi"/>
                                <w:sz w:val="14"/>
                                <w:szCs w:val="14"/>
                                <w:lang w:val="en-US" w:eastAsia="zh-CN"/>
                              </w:rPr>
                            </w:pPr>
                            <w:r w:rsidRPr="003C4648">
                              <w:rPr>
                                <w:rFonts w:asciiTheme="minorHAnsi" w:hAnsiTheme="minorHAnsi"/>
                                <w:sz w:val="14"/>
                                <w:szCs w:val="14"/>
                                <w:lang w:val="en-US"/>
                              </w:rPr>
                              <w:t>Uni</w:t>
                            </w:r>
                            <w:r w:rsidRPr="003C4648">
                              <w:rPr>
                                <w:rFonts w:asciiTheme="minorHAnsi" w:hAnsiTheme="minorHAnsi" w:hint="eastAsia"/>
                                <w:sz w:val="14"/>
                                <w:szCs w:val="14"/>
                                <w:lang w:val="en-US" w:eastAsia="zh-CN"/>
                              </w:rPr>
                              <w:t>versity of</w:t>
                            </w:r>
                            <w:r w:rsidRPr="003C4648">
                              <w:rPr>
                                <w:rFonts w:asciiTheme="minorHAnsi" w:hAnsiTheme="minorHAnsi"/>
                                <w:sz w:val="14"/>
                                <w:szCs w:val="14"/>
                                <w:lang w:val="en-US"/>
                              </w:rPr>
                              <w:t xml:space="preserve"> Mannheim </w:t>
                            </w:r>
                            <w:r>
                              <w:rPr>
                                <w:rFonts w:asciiTheme="minorHAnsi" w:hAnsiTheme="minorHAnsi"/>
                                <w:sz w:val="14"/>
                                <w:szCs w:val="14"/>
                              </w:rPr>
                              <w:sym w:font="Symbol" w:char="F0D7"/>
                            </w:r>
                            <w:r w:rsidRPr="003C4648">
                              <w:rPr>
                                <w:rFonts w:asciiTheme="minorHAnsi" w:hAnsiTheme="minorHAnsi"/>
                                <w:sz w:val="14"/>
                                <w:szCs w:val="14"/>
                                <w:lang w:val="en-US"/>
                              </w:rPr>
                              <w:t xml:space="preserve"> </w:t>
                            </w:r>
                            <w:r>
                              <w:rPr>
                                <w:rFonts w:asciiTheme="minorHAnsi" w:hAnsiTheme="minorHAnsi"/>
                                <w:sz w:val="14"/>
                                <w:szCs w:val="14"/>
                                <w:lang w:val="en-US"/>
                              </w:rPr>
                              <w:t>Chair of International Taxation</w:t>
                            </w:r>
                          </w:p>
                          <w:p w14:paraId="3FAD8695" w14:textId="77777777" w:rsidR="00E6082C" w:rsidRPr="004D54C1" w:rsidRDefault="00E6082C" w:rsidP="00E4032A">
                            <w:pPr>
                              <w:pStyle w:val="NoSpacing"/>
                              <w:jc w:val="center"/>
                              <w:rPr>
                                <w:rFonts w:asciiTheme="minorHAnsi" w:hAnsiTheme="minorHAnsi"/>
                                <w:sz w:val="14"/>
                                <w:szCs w:val="14"/>
                                <w:lang w:eastAsia="zh-CN"/>
                              </w:rPr>
                            </w:pPr>
                            <w:r>
                              <w:rPr>
                                <w:rFonts w:asciiTheme="minorHAnsi" w:hAnsiTheme="minorHAnsi"/>
                                <w:sz w:val="14"/>
                                <w:szCs w:val="14"/>
                              </w:rPr>
                              <w:t>Prof. Dr. Christoph Spengel</w:t>
                            </w:r>
                            <w:r w:rsidRPr="001C07DE">
                              <w:rPr>
                                <w:rFonts w:asciiTheme="minorHAnsi" w:hAnsiTheme="minorHAnsi"/>
                                <w:sz w:val="14"/>
                                <w:szCs w:val="14"/>
                              </w:rPr>
                              <w:t xml:space="preserve"> </w:t>
                            </w:r>
                            <w:r>
                              <w:rPr>
                                <w:rFonts w:asciiTheme="minorHAnsi" w:hAnsiTheme="minorHAnsi"/>
                                <w:sz w:val="14"/>
                                <w:szCs w:val="14"/>
                              </w:rPr>
                              <w:sym w:font="Symbol" w:char="F0D7"/>
                            </w:r>
                            <w:r>
                              <w:rPr>
                                <w:rFonts w:asciiTheme="minorHAnsi" w:hAnsiTheme="minorHAnsi"/>
                                <w:sz w:val="14"/>
                                <w:szCs w:val="14"/>
                              </w:rPr>
                              <w:t xml:space="preserve"> Schloss </w:t>
                            </w:r>
                            <w:r>
                              <w:rPr>
                                <w:rFonts w:asciiTheme="minorHAnsi" w:hAnsiTheme="minorHAnsi"/>
                                <w:sz w:val="14"/>
                                <w:szCs w:val="14"/>
                              </w:rPr>
                              <w:sym w:font="Symbol" w:char="F0D7"/>
                            </w:r>
                            <w:r>
                              <w:rPr>
                                <w:rFonts w:asciiTheme="minorHAnsi" w:hAnsiTheme="minorHAnsi"/>
                                <w:sz w:val="14"/>
                                <w:szCs w:val="14"/>
                              </w:rPr>
                              <w:t xml:space="preserve"> </w:t>
                            </w:r>
                            <w:r w:rsidRPr="004D54C1">
                              <w:rPr>
                                <w:rFonts w:asciiTheme="minorHAnsi" w:hAnsiTheme="minorHAnsi"/>
                                <w:sz w:val="14"/>
                                <w:szCs w:val="14"/>
                              </w:rPr>
                              <w:t>68131 Mannheim</w:t>
                            </w:r>
                            <w:r>
                              <w:rPr>
                                <w:rFonts w:asciiTheme="minorHAnsi" w:hAnsiTheme="minorHAnsi"/>
                                <w:sz w:val="14"/>
                                <w:szCs w:val="14"/>
                              </w:rPr>
                              <w:t xml:space="preserve"> </w:t>
                            </w:r>
                            <w:r>
                              <w:rPr>
                                <w:rFonts w:asciiTheme="minorHAnsi" w:hAnsiTheme="minorHAnsi"/>
                                <w:sz w:val="14"/>
                                <w:szCs w:val="14"/>
                              </w:rPr>
                              <w:sym w:font="Symbol" w:char="F0D7"/>
                            </w:r>
                            <w:r>
                              <w:rPr>
                                <w:rFonts w:asciiTheme="minorHAnsi" w:hAnsiTheme="minorHAnsi" w:hint="eastAsia"/>
                                <w:sz w:val="14"/>
                                <w:szCs w:val="14"/>
                                <w:lang w:eastAsia="zh-CN"/>
                              </w:rPr>
                              <w:t xml:space="preserve"> Germany</w:t>
                            </w:r>
                          </w:p>
                          <w:p w14:paraId="56EBF777" w14:textId="40A34933" w:rsidR="00E6082C" w:rsidRPr="001C07DE" w:rsidRDefault="00E6082C" w:rsidP="00703268">
                            <w:pPr>
                              <w:pStyle w:val="NoSpacing"/>
                              <w:rPr>
                                <w:rFonts w:asciiTheme="minorHAnsi" w:hAnsiTheme="minorHAnsi"/>
                                <w:sz w:val="14"/>
                                <w:szCs w:val="14"/>
                                <w:lang w:eastAsia="zh-CN"/>
                              </w:rPr>
                            </w:pPr>
                          </w:p>
                          <w:p w14:paraId="35816FFD" w14:textId="77777777" w:rsidR="00E6082C" w:rsidRPr="004D54C1" w:rsidRDefault="00E6082C" w:rsidP="00703268">
                            <w:pPr>
                              <w:pStyle w:val="NoSpacing"/>
                              <w:rPr>
                                <w:rFonts w:asciiTheme="minorHAnsi" w:hAnsiTheme="minorHAnsi"/>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6DA76E" id="Text Box 11" o:spid="_x0000_s1028" type="#_x0000_t202" style="position:absolute;left:0;text-align:left;margin-left:70.9pt;margin-top:130.9pt;width:249.1pt;height:1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" o:allowincell="f" filled="f" stroked="f">
                <v:textbox inset="0,0,0,0">
                  <w:txbxContent>
                    <w:p w14:paraId="533BFEDF" w14:textId="2EC74A29" w:rsidR="00E6082C" w:rsidRPr="003C4648" w:rsidRDefault="00E6082C" w:rsidP="00E4032A">
                      <w:pPr>
                        <w:pStyle w:val="KeinLeerraum"/>
                        <w:jc w:val="center"/>
                        <w:rPr>
                          <w:rFonts w:asciiTheme="minorHAnsi" w:hAnsiTheme="minorHAnsi"/>
                          <w:sz w:val="14"/>
                          <w:szCs w:val="14"/>
                          <w:lang w:val="en-US" w:eastAsia="zh-CN"/>
                        </w:rPr>
                      </w:pPr>
                      <w:r w:rsidRPr="003C4648">
                        <w:rPr>
                          <w:rFonts w:asciiTheme="minorHAnsi" w:hAnsiTheme="minorHAnsi"/>
                          <w:sz w:val="14"/>
                          <w:szCs w:val="14"/>
                          <w:lang w:val="en-US"/>
                        </w:rPr>
                        <w:t>Uni</w:t>
                      </w:r>
                      <w:r w:rsidRPr="003C4648">
                        <w:rPr>
                          <w:rFonts w:asciiTheme="minorHAnsi" w:hAnsiTheme="minorHAnsi" w:hint="eastAsia"/>
                          <w:sz w:val="14"/>
                          <w:szCs w:val="14"/>
                          <w:lang w:val="en-US" w:eastAsia="zh-CN"/>
                        </w:rPr>
                        <w:t>versity of</w:t>
                      </w:r>
                      <w:r w:rsidRPr="003C4648">
                        <w:rPr>
                          <w:rFonts w:asciiTheme="minorHAnsi" w:hAnsiTheme="minorHAnsi"/>
                          <w:sz w:val="14"/>
                          <w:szCs w:val="14"/>
                          <w:lang w:val="en-US"/>
                        </w:rPr>
                        <w:t xml:space="preserve"> Mannheim </w:t>
                      </w:r>
                      <w:r>
                        <w:rPr>
                          <w:rFonts w:asciiTheme="minorHAnsi" w:hAnsiTheme="minorHAnsi"/>
                          <w:sz w:val="14"/>
                          <w:szCs w:val="14"/>
                        </w:rPr>
                        <w:sym w:font="Symbol" w:char="F0D7"/>
                      </w:r>
                      <w:r w:rsidRPr="003C4648">
                        <w:rPr>
                          <w:rFonts w:asciiTheme="minorHAnsi" w:hAnsiTheme="minorHAnsi"/>
                          <w:sz w:val="14"/>
                          <w:szCs w:val="14"/>
                          <w:lang w:val="en-US"/>
                        </w:rPr>
                        <w:t xml:space="preserve"> </w:t>
                      </w:r>
                      <w:r>
                        <w:rPr>
                          <w:rFonts w:asciiTheme="minorHAnsi" w:hAnsiTheme="minorHAnsi"/>
                          <w:sz w:val="14"/>
                          <w:szCs w:val="14"/>
                          <w:lang w:val="en-US"/>
                        </w:rPr>
                        <w:t>Chair of International Taxation</w:t>
                      </w:r>
                    </w:p>
                    <w:p w14:paraId="3FAD8695" w14:textId="77777777" w:rsidR="00E6082C" w:rsidRPr="004D54C1" w:rsidRDefault="00E6082C" w:rsidP="00E4032A">
                      <w:pPr>
                        <w:pStyle w:val="KeinLeerraum"/>
                        <w:jc w:val="center"/>
                        <w:rPr>
                          <w:rFonts w:asciiTheme="minorHAnsi" w:hAnsiTheme="minorHAnsi"/>
                          <w:sz w:val="14"/>
                          <w:szCs w:val="14"/>
                          <w:lang w:eastAsia="zh-CN"/>
                        </w:rPr>
                      </w:pPr>
                      <w:r>
                        <w:rPr>
                          <w:rFonts w:asciiTheme="minorHAnsi" w:hAnsiTheme="minorHAnsi"/>
                          <w:sz w:val="14"/>
                          <w:szCs w:val="14"/>
                        </w:rPr>
                        <w:t>Prof. Dr. Christoph Spengel</w:t>
                      </w:r>
                      <w:r w:rsidRPr="001C07DE">
                        <w:rPr>
                          <w:rFonts w:asciiTheme="minorHAnsi" w:hAnsiTheme="minorHAnsi"/>
                          <w:sz w:val="14"/>
                          <w:szCs w:val="14"/>
                        </w:rPr>
                        <w:t xml:space="preserve"> </w:t>
                      </w:r>
                      <w:r>
                        <w:rPr>
                          <w:rFonts w:asciiTheme="minorHAnsi" w:hAnsiTheme="minorHAnsi"/>
                          <w:sz w:val="14"/>
                          <w:szCs w:val="14"/>
                        </w:rPr>
                        <w:sym w:font="Symbol" w:char="F0D7"/>
                      </w:r>
                      <w:r>
                        <w:rPr>
                          <w:rFonts w:asciiTheme="minorHAnsi" w:hAnsiTheme="minorHAnsi"/>
                          <w:sz w:val="14"/>
                          <w:szCs w:val="14"/>
                        </w:rPr>
                        <w:t xml:space="preserve"> Schloss </w:t>
                      </w:r>
                      <w:r>
                        <w:rPr>
                          <w:rFonts w:asciiTheme="minorHAnsi" w:hAnsiTheme="minorHAnsi"/>
                          <w:sz w:val="14"/>
                          <w:szCs w:val="14"/>
                        </w:rPr>
                        <w:sym w:font="Symbol" w:char="F0D7"/>
                      </w:r>
                      <w:r>
                        <w:rPr>
                          <w:rFonts w:asciiTheme="minorHAnsi" w:hAnsiTheme="minorHAnsi"/>
                          <w:sz w:val="14"/>
                          <w:szCs w:val="14"/>
                        </w:rPr>
                        <w:t xml:space="preserve"> </w:t>
                      </w:r>
                      <w:r w:rsidRPr="004D54C1">
                        <w:rPr>
                          <w:rFonts w:asciiTheme="minorHAnsi" w:hAnsiTheme="minorHAnsi"/>
                          <w:sz w:val="14"/>
                          <w:szCs w:val="14"/>
                        </w:rPr>
                        <w:t>68131 Mannheim</w:t>
                      </w:r>
                      <w:r>
                        <w:rPr>
                          <w:rFonts w:asciiTheme="minorHAnsi" w:hAnsiTheme="minorHAnsi"/>
                          <w:sz w:val="14"/>
                          <w:szCs w:val="14"/>
                        </w:rPr>
                        <w:t xml:space="preserve"> </w:t>
                      </w:r>
                      <w:r>
                        <w:rPr>
                          <w:rFonts w:asciiTheme="minorHAnsi" w:hAnsiTheme="minorHAnsi"/>
                          <w:sz w:val="14"/>
                          <w:szCs w:val="14"/>
                        </w:rPr>
                        <w:sym w:font="Symbol" w:char="F0D7"/>
                      </w:r>
                      <w:r>
                        <w:rPr>
                          <w:rFonts w:asciiTheme="minorHAnsi" w:hAnsiTheme="minorHAnsi" w:hint="eastAsia"/>
                          <w:sz w:val="14"/>
                          <w:szCs w:val="14"/>
                          <w:lang w:eastAsia="zh-CN"/>
                        </w:rPr>
                        <w:t xml:space="preserve"> Germany</w:t>
                      </w:r>
                    </w:p>
                    <w:p w14:paraId="56EBF777" w14:textId="40A34933" w:rsidR="00E6082C" w:rsidRPr="001C07DE" w:rsidRDefault="00E6082C" w:rsidP="00703268">
                      <w:pPr>
                        <w:pStyle w:val="KeinLeerraum"/>
                        <w:rPr>
                          <w:rFonts w:asciiTheme="minorHAnsi" w:hAnsiTheme="minorHAnsi"/>
                          <w:sz w:val="14"/>
                          <w:szCs w:val="14"/>
                          <w:lang w:eastAsia="zh-CN"/>
                        </w:rPr>
                      </w:pPr>
                    </w:p>
                    <w:p w14:paraId="35816FFD" w14:textId="77777777" w:rsidR="00E6082C" w:rsidRPr="004D54C1" w:rsidRDefault="00E6082C" w:rsidP="00703268">
                      <w:pPr>
                        <w:pStyle w:val="KeinLeerraum"/>
                        <w:rPr>
                          <w:rFonts w:asciiTheme="minorHAnsi" w:hAnsiTheme="minorHAnsi"/>
                          <w:sz w:val="14"/>
                          <w:szCs w:val="14"/>
                        </w:rPr>
                      </w:pPr>
                    </w:p>
                  </w:txbxContent>
                </v:textbox>
                <w10:wrap anchorx="page" anchory="page"/>
                <w10:anchorlock/>
              </v:shape>
            </w:pict>
          </mc:Fallback>
        </mc:AlternateContent>
      </w:r>
      <w:r w:rsidR="002A4A5D">
        <w:rPr>
          <w:rFonts w:asciiTheme="minorHAnsi" w:hAnsiTheme="minorHAnsi"/>
          <w:b/>
          <w:sz w:val="22"/>
          <w:szCs w:val="22"/>
          <w:lang w:val="en-US"/>
        </w:rPr>
        <w:t>European Economic and Social Committee – International Monetary Fund</w:t>
      </w:r>
    </w:p>
    <w:p w14:paraId="4A344923" w14:textId="750A5A63" w:rsidR="002A4A5D" w:rsidRDefault="002A4A5D" w:rsidP="00E142D1">
      <w:pPr>
        <w:pStyle w:val="NoSpacing"/>
        <w:jc w:val="center"/>
        <w:rPr>
          <w:rFonts w:asciiTheme="minorHAnsi" w:hAnsiTheme="minorHAnsi"/>
          <w:b/>
          <w:sz w:val="22"/>
          <w:szCs w:val="22"/>
          <w:lang w:val="en-US"/>
        </w:rPr>
      </w:pPr>
      <w:r>
        <w:rPr>
          <w:rFonts w:asciiTheme="minorHAnsi" w:hAnsiTheme="minorHAnsi"/>
          <w:b/>
          <w:sz w:val="22"/>
          <w:szCs w:val="22"/>
          <w:lang w:val="en-US"/>
        </w:rPr>
        <w:t>Joint Public Debate</w:t>
      </w:r>
    </w:p>
    <w:p w14:paraId="293A8865" w14:textId="081A1BC6" w:rsidR="002A4A5D" w:rsidRDefault="002A4A5D" w:rsidP="00E142D1">
      <w:pPr>
        <w:pStyle w:val="NoSpacing"/>
        <w:jc w:val="center"/>
        <w:rPr>
          <w:rFonts w:asciiTheme="minorHAnsi" w:hAnsiTheme="minorHAnsi"/>
          <w:b/>
          <w:sz w:val="22"/>
          <w:szCs w:val="22"/>
          <w:lang w:val="en-US"/>
        </w:rPr>
      </w:pPr>
      <w:r>
        <w:rPr>
          <w:rFonts w:asciiTheme="minorHAnsi" w:hAnsiTheme="minorHAnsi"/>
          <w:b/>
          <w:sz w:val="22"/>
          <w:szCs w:val="22"/>
          <w:lang w:val="en-US"/>
        </w:rPr>
        <w:t>“Taxing Multinationals in Europe”</w:t>
      </w:r>
    </w:p>
    <w:p w14:paraId="032EDF20" w14:textId="3832865F" w:rsidR="002B3959" w:rsidRDefault="002B3959" w:rsidP="001C07DE">
      <w:pPr>
        <w:pStyle w:val="NoSpacing"/>
        <w:jc w:val="center"/>
        <w:rPr>
          <w:rFonts w:asciiTheme="minorHAnsi" w:hAnsiTheme="minorHAnsi"/>
          <w:b/>
          <w:sz w:val="22"/>
          <w:szCs w:val="22"/>
          <w:lang w:val="en-US"/>
        </w:rPr>
      </w:pPr>
    </w:p>
    <w:p w14:paraId="0559C9C0" w14:textId="77ABCF33" w:rsidR="002B3959" w:rsidRDefault="002B3959" w:rsidP="001C07DE">
      <w:pPr>
        <w:pStyle w:val="NoSpacing"/>
        <w:jc w:val="center"/>
        <w:rPr>
          <w:rFonts w:asciiTheme="minorHAnsi" w:hAnsiTheme="minorHAnsi"/>
          <w:b/>
          <w:sz w:val="22"/>
          <w:szCs w:val="22"/>
          <w:lang w:val="en-US"/>
        </w:rPr>
      </w:pPr>
      <w:r>
        <w:rPr>
          <w:rFonts w:asciiTheme="minorHAnsi" w:hAnsiTheme="minorHAnsi"/>
          <w:b/>
          <w:sz w:val="22"/>
          <w:szCs w:val="22"/>
          <w:lang w:val="en-US"/>
        </w:rPr>
        <w:t>2</w:t>
      </w:r>
      <w:r w:rsidR="002A4A5D">
        <w:rPr>
          <w:rFonts w:asciiTheme="minorHAnsi" w:hAnsiTheme="minorHAnsi"/>
          <w:b/>
          <w:sz w:val="22"/>
          <w:szCs w:val="22"/>
          <w:lang w:val="en-US"/>
        </w:rPr>
        <w:t>5</w:t>
      </w:r>
      <w:r>
        <w:rPr>
          <w:rFonts w:asciiTheme="minorHAnsi" w:hAnsiTheme="minorHAnsi"/>
          <w:b/>
          <w:sz w:val="22"/>
          <w:szCs w:val="22"/>
          <w:lang w:val="en-US"/>
        </w:rPr>
        <w:t xml:space="preserve"> </w:t>
      </w:r>
      <w:r w:rsidR="002A4A5D">
        <w:rPr>
          <w:rFonts w:asciiTheme="minorHAnsi" w:hAnsiTheme="minorHAnsi"/>
          <w:b/>
          <w:sz w:val="22"/>
          <w:szCs w:val="22"/>
          <w:lang w:val="en-US"/>
        </w:rPr>
        <w:t>Ma</w:t>
      </w:r>
      <w:r>
        <w:rPr>
          <w:rFonts w:asciiTheme="minorHAnsi" w:hAnsiTheme="minorHAnsi"/>
          <w:b/>
          <w:sz w:val="22"/>
          <w:szCs w:val="22"/>
          <w:lang w:val="en-US"/>
        </w:rPr>
        <w:t>y 2021</w:t>
      </w:r>
    </w:p>
    <w:p w14:paraId="50905BB2" w14:textId="4D1A8A1D" w:rsidR="002B3959" w:rsidRDefault="002B3959" w:rsidP="001C07DE">
      <w:pPr>
        <w:pStyle w:val="NoSpacing"/>
        <w:jc w:val="center"/>
        <w:rPr>
          <w:rFonts w:asciiTheme="minorHAnsi" w:hAnsiTheme="minorHAnsi"/>
          <w:b/>
          <w:sz w:val="22"/>
          <w:szCs w:val="22"/>
          <w:lang w:val="en-US"/>
        </w:rPr>
      </w:pPr>
    </w:p>
    <w:p w14:paraId="0E315B32" w14:textId="4C145D70" w:rsidR="002B3959" w:rsidRDefault="004E5EAB" w:rsidP="001C07DE">
      <w:pPr>
        <w:pStyle w:val="NoSpacing"/>
        <w:jc w:val="center"/>
        <w:rPr>
          <w:rFonts w:asciiTheme="minorHAnsi" w:hAnsiTheme="minorHAnsi"/>
          <w:b/>
          <w:sz w:val="22"/>
          <w:szCs w:val="22"/>
          <w:lang w:val="en-US"/>
        </w:rPr>
      </w:pPr>
      <w:r>
        <w:rPr>
          <w:rFonts w:asciiTheme="minorHAnsi" w:hAnsiTheme="minorHAnsi"/>
          <w:b/>
          <w:sz w:val="22"/>
          <w:szCs w:val="22"/>
          <w:lang w:val="en-US"/>
        </w:rPr>
        <w:t xml:space="preserve">Statement by </w:t>
      </w:r>
      <w:r w:rsidR="002B3959">
        <w:rPr>
          <w:rFonts w:asciiTheme="minorHAnsi" w:hAnsiTheme="minorHAnsi"/>
          <w:b/>
          <w:sz w:val="22"/>
          <w:szCs w:val="22"/>
          <w:lang w:val="en-US"/>
        </w:rPr>
        <w:t>Prof. Dr. Christoph Spengel</w:t>
      </w:r>
    </w:p>
    <w:p w14:paraId="65425B22" w14:textId="40A7B97E" w:rsidR="001C07DE" w:rsidRDefault="001C07DE" w:rsidP="002558E3">
      <w:pPr>
        <w:pStyle w:val="NoSpacing"/>
        <w:jc w:val="both"/>
        <w:rPr>
          <w:rFonts w:asciiTheme="minorHAnsi" w:hAnsiTheme="minorHAnsi"/>
          <w:b/>
          <w:sz w:val="22"/>
          <w:szCs w:val="22"/>
          <w:lang w:val="en-US"/>
        </w:rPr>
      </w:pPr>
    </w:p>
    <w:p w14:paraId="7D83EE96" w14:textId="333A5AFC" w:rsidR="005A06A2" w:rsidRDefault="005A06A2" w:rsidP="005A06A2">
      <w:pPr>
        <w:pStyle w:val="NoSpacing"/>
        <w:numPr>
          <w:ilvl w:val="0"/>
          <w:numId w:val="19"/>
        </w:numPr>
        <w:jc w:val="both"/>
        <w:rPr>
          <w:rFonts w:asciiTheme="minorHAnsi" w:hAnsiTheme="minorHAnsi"/>
          <w:b/>
          <w:sz w:val="22"/>
          <w:szCs w:val="22"/>
          <w:lang w:val="en-US"/>
        </w:rPr>
      </w:pPr>
      <w:r>
        <w:rPr>
          <w:rFonts w:asciiTheme="minorHAnsi" w:hAnsiTheme="minorHAnsi"/>
          <w:b/>
          <w:sz w:val="22"/>
          <w:szCs w:val="22"/>
          <w:lang w:val="en-US"/>
        </w:rPr>
        <w:t xml:space="preserve">The IMF proposal in a nutshell: CCCTB and minimum corporate tax rate </w:t>
      </w:r>
    </w:p>
    <w:p w14:paraId="5436DD7A" w14:textId="77777777" w:rsidR="005A06A2" w:rsidRDefault="005A06A2" w:rsidP="002558E3">
      <w:pPr>
        <w:pStyle w:val="NoSpacing"/>
        <w:jc w:val="both"/>
        <w:rPr>
          <w:rFonts w:asciiTheme="minorHAnsi" w:hAnsiTheme="minorHAnsi"/>
          <w:sz w:val="22"/>
          <w:szCs w:val="22"/>
          <w:lang w:val="en-US"/>
        </w:rPr>
      </w:pPr>
    </w:p>
    <w:p w14:paraId="4E36CE1E" w14:textId="77D983A9" w:rsidR="008A4B43" w:rsidRDefault="00C5324B" w:rsidP="002558E3">
      <w:pPr>
        <w:pStyle w:val="NoSpacing"/>
        <w:jc w:val="both"/>
        <w:rPr>
          <w:rFonts w:asciiTheme="minorHAnsi" w:hAnsiTheme="minorHAnsi"/>
          <w:sz w:val="22"/>
          <w:szCs w:val="22"/>
          <w:lang w:val="en-US"/>
        </w:rPr>
      </w:pPr>
      <w:r>
        <w:rPr>
          <w:rFonts w:asciiTheme="minorHAnsi" w:hAnsiTheme="minorHAnsi"/>
          <w:sz w:val="22"/>
          <w:szCs w:val="22"/>
          <w:lang w:val="en-US"/>
        </w:rPr>
        <w:t xml:space="preserve">In </w:t>
      </w:r>
      <w:r w:rsidR="005A06A2">
        <w:rPr>
          <w:rFonts w:asciiTheme="minorHAnsi" w:hAnsiTheme="minorHAnsi"/>
          <w:sz w:val="22"/>
          <w:szCs w:val="22"/>
          <w:lang w:val="en-US"/>
        </w:rPr>
        <w:t>its</w:t>
      </w:r>
      <w:r w:rsidR="00436B40">
        <w:rPr>
          <w:rFonts w:asciiTheme="minorHAnsi" w:hAnsiTheme="minorHAnsi"/>
          <w:sz w:val="22"/>
          <w:szCs w:val="22"/>
          <w:lang w:val="en-US"/>
        </w:rPr>
        <w:t xml:space="preserve"> report “Taxing Multinationals in Europe” the IMF proposes a joint implementation of a Common Consolidated Corporate Tax Base </w:t>
      </w:r>
      <w:r w:rsidR="005A06A2">
        <w:rPr>
          <w:rFonts w:asciiTheme="minorHAnsi" w:hAnsiTheme="minorHAnsi"/>
          <w:sz w:val="22"/>
          <w:szCs w:val="22"/>
          <w:lang w:val="en-US"/>
        </w:rPr>
        <w:t xml:space="preserve">(CCCTB) </w:t>
      </w:r>
      <w:r w:rsidR="00436B40">
        <w:rPr>
          <w:rFonts w:asciiTheme="minorHAnsi" w:hAnsiTheme="minorHAnsi"/>
          <w:sz w:val="22"/>
          <w:szCs w:val="22"/>
          <w:lang w:val="en-US"/>
        </w:rPr>
        <w:t xml:space="preserve">with a minimum corporate tax rate across the European Union. The arguments put forward in the report to justify such a far-reaching </w:t>
      </w:r>
      <w:r w:rsidR="008A4B43">
        <w:rPr>
          <w:rFonts w:asciiTheme="minorHAnsi" w:hAnsiTheme="minorHAnsi"/>
          <w:sz w:val="22"/>
          <w:szCs w:val="22"/>
          <w:lang w:val="en-US"/>
        </w:rPr>
        <w:t xml:space="preserve">proposal for reform </w:t>
      </w:r>
      <w:r w:rsidR="00436B40">
        <w:rPr>
          <w:rFonts w:asciiTheme="minorHAnsi" w:hAnsiTheme="minorHAnsi"/>
          <w:sz w:val="22"/>
          <w:szCs w:val="22"/>
          <w:lang w:val="en-US"/>
        </w:rPr>
        <w:t>a</w:t>
      </w:r>
      <w:r w:rsidR="005A06A2">
        <w:rPr>
          <w:rFonts w:asciiTheme="minorHAnsi" w:hAnsiTheme="minorHAnsi"/>
          <w:sz w:val="22"/>
          <w:szCs w:val="22"/>
          <w:lang w:val="en-US"/>
        </w:rPr>
        <w:t>re</w:t>
      </w:r>
      <w:r w:rsidR="00436B40">
        <w:rPr>
          <w:rFonts w:asciiTheme="minorHAnsi" w:hAnsiTheme="minorHAnsi"/>
          <w:sz w:val="22"/>
          <w:szCs w:val="22"/>
          <w:lang w:val="en-US"/>
        </w:rPr>
        <w:t xml:space="preserve"> manifold</w:t>
      </w:r>
      <w:r w:rsidR="008A4B43">
        <w:rPr>
          <w:rFonts w:asciiTheme="minorHAnsi" w:hAnsiTheme="minorHAnsi"/>
          <w:sz w:val="22"/>
          <w:szCs w:val="22"/>
          <w:lang w:val="en-US"/>
        </w:rPr>
        <w:t>:</w:t>
      </w:r>
    </w:p>
    <w:p w14:paraId="144ABE58" w14:textId="77777777" w:rsidR="008A4B43" w:rsidRDefault="008A4B43" w:rsidP="002558E3">
      <w:pPr>
        <w:pStyle w:val="NoSpacing"/>
        <w:jc w:val="both"/>
        <w:rPr>
          <w:rFonts w:asciiTheme="minorHAnsi" w:hAnsiTheme="minorHAnsi"/>
          <w:sz w:val="22"/>
          <w:szCs w:val="22"/>
          <w:lang w:val="en-US"/>
        </w:rPr>
      </w:pPr>
    </w:p>
    <w:p w14:paraId="7F9C51A6" w14:textId="77075955" w:rsidR="001C07DE" w:rsidRDefault="005A06A2" w:rsidP="008A4B43">
      <w:pPr>
        <w:pStyle w:val="NoSpacing"/>
        <w:numPr>
          <w:ilvl w:val="0"/>
          <w:numId w:val="18"/>
        </w:numPr>
        <w:ind w:left="357" w:hanging="357"/>
        <w:jc w:val="both"/>
        <w:rPr>
          <w:rFonts w:asciiTheme="minorHAnsi" w:hAnsiTheme="minorHAnsi"/>
          <w:sz w:val="22"/>
          <w:szCs w:val="22"/>
          <w:lang w:val="en-US"/>
        </w:rPr>
      </w:pPr>
      <w:r>
        <w:rPr>
          <w:rFonts w:asciiTheme="minorHAnsi" w:hAnsiTheme="minorHAnsi"/>
          <w:sz w:val="22"/>
          <w:szCs w:val="22"/>
          <w:lang w:val="en-US"/>
        </w:rPr>
        <w:t>Combat</w:t>
      </w:r>
      <w:r w:rsidR="008A4B43">
        <w:rPr>
          <w:rFonts w:asciiTheme="minorHAnsi" w:hAnsiTheme="minorHAnsi"/>
          <w:sz w:val="22"/>
          <w:szCs w:val="22"/>
          <w:lang w:val="en-US"/>
        </w:rPr>
        <w:t xml:space="preserve"> the erosion of corporate tax revenues stemming from tax competition and profit shifting. </w:t>
      </w:r>
      <w:r w:rsidR="00436B40">
        <w:rPr>
          <w:rFonts w:asciiTheme="minorHAnsi" w:hAnsiTheme="minorHAnsi"/>
          <w:sz w:val="22"/>
          <w:szCs w:val="22"/>
          <w:lang w:val="en-US"/>
        </w:rPr>
        <w:t xml:space="preserve"> </w:t>
      </w:r>
    </w:p>
    <w:p w14:paraId="7597FEEB" w14:textId="714CF839" w:rsidR="008A4B43" w:rsidRDefault="008A4B43" w:rsidP="008A4B43">
      <w:pPr>
        <w:pStyle w:val="NoSpacing"/>
        <w:numPr>
          <w:ilvl w:val="0"/>
          <w:numId w:val="18"/>
        </w:numPr>
        <w:ind w:left="357" w:hanging="357"/>
        <w:jc w:val="both"/>
        <w:rPr>
          <w:rFonts w:asciiTheme="minorHAnsi" w:hAnsiTheme="minorHAnsi"/>
          <w:sz w:val="22"/>
          <w:szCs w:val="22"/>
          <w:lang w:val="en-US"/>
        </w:rPr>
      </w:pPr>
      <w:r>
        <w:rPr>
          <w:rFonts w:asciiTheme="minorHAnsi" w:hAnsiTheme="minorHAnsi"/>
          <w:sz w:val="22"/>
          <w:szCs w:val="22"/>
          <w:lang w:val="en-US"/>
        </w:rPr>
        <w:t>Increase corporate tax revenues to re-finance deficit spending due to the COVID-19 pandemic.</w:t>
      </w:r>
    </w:p>
    <w:p w14:paraId="2BB4E930" w14:textId="705E79A4" w:rsidR="00584F37" w:rsidRDefault="00584F37" w:rsidP="008A4B43">
      <w:pPr>
        <w:pStyle w:val="NoSpacing"/>
        <w:numPr>
          <w:ilvl w:val="0"/>
          <w:numId w:val="18"/>
        </w:numPr>
        <w:ind w:left="357" w:hanging="357"/>
        <w:jc w:val="both"/>
        <w:rPr>
          <w:rFonts w:asciiTheme="minorHAnsi" w:hAnsiTheme="minorHAnsi"/>
          <w:sz w:val="22"/>
          <w:szCs w:val="22"/>
          <w:lang w:val="en-US"/>
        </w:rPr>
      </w:pPr>
      <w:r>
        <w:rPr>
          <w:rFonts w:asciiTheme="minorHAnsi" w:hAnsiTheme="minorHAnsi"/>
          <w:sz w:val="22"/>
          <w:szCs w:val="22"/>
          <w:lang w:val="en-US"/>
        </w:rPr>
        <w:t xml:space="preserve">Relocation of taxing rights to market jurisdictions as an answer to the increasing importance of digital business models based on the exploitation of mobile intangible assets. </w:t>
      </w:r>
    </w:p>
    <w:p w14:paraId="05BCD672" w14:textId="387B8BB0" w:rsidR="005913A2" w:rsidRDefault="005913A2" w:rsidP="002558E3">
      <w:pPr>
        <w:pStyle w:val="NoSpacing"/>
        <w:jc w:val="both"/>
        <w:rPr>
          <w:rFonts w:asciiTheme="minorHAnsi" w:hAnsiTheme="minorHAnsi"/>
          <w:sz w:val="22"/>
          <w:szCs w:val="22"/>
          <w:lang w:val="en-US"/>
        </w:rPr>
      </w:pPr>
    </w:p>
    <w:p w14:paraId="76AAA238" w14:textId="62EE9C96" w:rsidR="005913A2" w:rsidRPr="005913A2" w:rsidRDefault="00E55EB0" w:rsidP="00E55EB0">
      <w:pPr>
        <w:pStyle w:val="NoSpacing"/>
        <w:numPr>
          <w:ilvl w:val="0"/>
          <w:numId w:val="19"/>
        </w:numPr>
        <w:rPr>
          <w:rFonts w:asciiTheme="minorHAnsi" w:hAnsiTheme="minorHAnsi"/>
          <w:b/>
          <w:sz w:val="22"/>
          <w:szCs w:val="22"/>
          <w:lang w:val="en-US"/>
        </w:rPr>
      </w:pPr>
      <w:r>
        <w:rPr>
          <w:rFonts w:asciiTheme="minorHAnsi" w:hAnsiTheme="minorHAnsi"/>
          <w:b/>
          <w:sz w:val="22"/>
          <w:szCs w:val="22"/>
          <w:lang w:val="en-US"/>
        </w:rPr>
        <w:t>CCCTB and minimum corporate tax rates: an old hat</w:t>
      </w:r>
    </w:p>
    <w:p w14:paraId="08E13977" w14:textId="77777777" w:rsidR="00CE38D4" w:rsidRDefault="00CE38D4" w:rsidP="00CE38D4">
      <w:pPr>
        <w:pStyle w:val="NoSpacing"/>
        <w:ind w:left="360"/>
        <w:rPr>
          <w:rFonts w:asciiTheme="minorHAnsi" w:hAnsiTheme="minorHAnsi"/>
          <w:sz w:val="22"/>
          <w:szCs w:val="22"/>
          <w:lang w:val="en-US"/>
        </w:rPr>
      </w:pPr>
    </w:p>
    <w:p w14:paraId="6923F5EC" w14:textId="77777777" w:rsidR="00AD2CDD" w:rsidRDefault="00E55EB0" w:rsidP="00151DB5">
      <w:pPr>
        <w:pStyle w:val="NoSpacing"/>
        <w:jc w:val="both"/>
        <w:rPr>
          <w:rFonts w:asciiTheme="minorHAnsi" w:hAnsiTheme="minorHAnsi"/>
          <w:sz w:val="22"/>
          <w:szCs w:val="22"/>
          <w:lang w:val="en-US"/>
        </w:rPr>
      </w:pPr>
      <w:r>
        <w:rPr>
          <w:rFonts w:asciiTheme="minorHAnsi" w:hAnsiTheme="minorHAnsi"/>
          <w:sz w:val="22"/>
          <w:szCs w:val="22"/>
          <w:lang w:val="en-US"/>
        </w:rPr>
        <w:t xml:space="preserve">It is well known that a CCCTB </w:t>
      </w:r>
      <w:r w:rsidR="008D3EC7">
        <w:rPr>
          <w:rFonts w:asciiTheme="minorHAnsi" w:hAnsiTheme="minorHAnsi"/>
          <w:sz w:val="22"/>
          <w:szCs w:val="22"/>
          <w:lang w:val="en-US"/>
        </w:rPr>
        <w:t>reduces compliance costs</w:t>
      </w:r>
      <w:r w:rsidR="00ED0053">
        <w:rPr>
          <w:rFonts w:asciiTheme="minorHAnsi" w:hAnsiTheme="minorHAnsi"/>
          <w:sz w:val="22"/>
          <w:szCs w:val="22"/>
          <w:lang w:val="en-US"/>
        </w:rPr>
        <w:t xml:space="preserve"> and makes – due to consolidation – profit shifting via transfer prices impossible. In particular, preferential tax regimes such as IP-boxes simply will be netted out. </w:t>
      </w:r>
    </w:p>
    <w:p w14:paraId="0A5A1525" w14:textId="77777777" w:rsidR="00AD2CDD" w:rsidRDefault="00AD2CDD" w:rsidP="00151DB5">
      <w:pPr>
        <w:pStyle w:val="NoSpacing"/>
        <w:jc w:val="both"/>
        <w:rPr>
          <w:rFonts w:asciiTheme="minorHAnsi" w:hAnsiTheme="minorHAnsi"/>
          <w:sz w:val="22"/>
          <w:szCs w:val="22"/>
          <w:lang w:val="en-US"/>
        </w:rPr>
      </w:pPr>
    </w:p>
    <w:p w14:paraId="77D06FE5" w14:textId="4590B829" w:rsidR="00567255" w:rsidRDefault="00ED0053" w:rsidP="00151DB5">
      <w:pPr>
        <w:pStyle w:val="NoSpacing"/>
        <w:jc w:val="both"/>
        <w:rPr>
          <w:rFonts w:asciiTheme="minorHAnsi" w:hAnsiTheme="minorHAnsi"/>
          <w:sz w:val="22"/>
          <w:szCs w:val="22"/>
          <w:lang w:val="en-US"/>
        </w:rPr>
      </w:pPr>
      <w:r>
        <w:rPr>
          <w:rFonts w:asciiTheme="minorHAnsi" w:hAnsiTheme="minorHAnsi"/>
          <w:sz w:val="22"/>
          <w:szCs w:val="22"/>
          <w:lang w:val="en-US"/>
        </w:rPr>
        <w:t xml:space="preserve">The arm’s length principle, however, is substituted by the apportionment of consolidated group profits to </w:t>
      </w:r>
      <w:r w:rsidR="0091380B">
        <w:rPr>
          <w:rFonts w:asciiTheme="minorHAnsi" w:hAnsiTheme="minorHAnsi"/>
          <w:sz w:val="22"/>
          <w:szCs w:val="22"/>
          <w:lang w:val="en-US"/>
        </w:rPr>
        <w:t xml:space="preserve">group members located in different </w:t>
      </w:r>
      <w:r>
        <w:rPr>
          <w:rFonts w:asciiTheme="minorHAnsi" w:hAnsiTheme="minorHAnsi"/>
          <w:sz w:val="22"/>
          <w:szCs w:val="22"/>
          <w:lang w:val="en-US"/>
        </w:rPr>
        <w:t>member states. Since</w:t>
      </w:r>
      <w:r w:rsidR="0091380B">
        <w:rPr>
          <w:rFonts w:asciiTheme="minorHAnsi" w:hAnsiTheme="minorHAnsi"/>
          <w:sz w:val="22"/>
          <w:szCs w:val="22"/>
          <w:lang w:val="en-US"/>
        </w:rPr>
        <w:t xml:space="preserve"> under formulary apportionment, the effective tax burden is a direct function of the nominal corporate tax rate and the apportionment factors such as assets, labor and sales, multinationals may enter into substantive tax planning by relocati</w:t>
      </w:r>
      <w:r w:rsidR="008477B9">
        <w:rPr>
          <w:rFonts w:asciiTheme="minorHAnsi" w:hAnsiTheme="minorHAnsi"/>
          <w:sz w:val="22"/>
          <w:szCs w:val="22"/>
          <w:lang w:val="en-US"/>
        </w:rPr>
        <w:t>ng</w:t>
      </w:r>
      <w:r w:rsidR="0091380B">
        <w:rPr>
          <w:rFonts w:asciiTheme="minorHAnsi" w:hAnsiTheme="minorHAnsi"/>
          <w:sz w:val="22"/>
          <w:szCs w:val="22"/>
          <w:lang w:val="en-US"/>
        </w:rPr>
        <w:t xml:space="preserve"> the place of production, that means assets and labor, to low tax jurisdiction</w:t>
      </w:r>
      <w:r w:rsidR="008477B9">
        <w:rPr>
          <w:rFonts w:asciiTheme="minorHAnsi" w:hAnsiTheme="minorHAnsi"/>
          <w:sz w:val="22"/>
          <w:szCs w:val="22"/>
          <w:lang w:val="en-US"/>
        </w:rPr>
        <w:t>s</w:t>
      </w:r>
      <w:r w:rsidR="0091380B">
        <w:rPr>
          <w:rFonts w:asciiTheme="minorHAnsi" w:hAnsiTheme="minorHAnsi"/>
          <w:sz w:val="22"/>
          <w:szCs w:val="22"/>
          <w:lang w:val="en-US"/>
        </w:rPr>
        <w:t>.</w:t>
      </w:r>
      <w:r w:rsidR="008477B9">
        <w:rPr>
          <w:rFonts w:asciiTheme="minorHAnsi" w:hAnsiTheme="minorHAnsi"/>
          <w:sz w:val="22"/>
          <w:szCs w:val="22"/>
          <w:lang w:val="en-US"/>
        </w:rPr>
        <w:t xml:space="preserve"> Such a relocation is promoted by a CCCTB since the transfer of functions constitutes no taxable event due to the elimination of intra-group profits.</w:t>
      </w:r>
      <w:r w:rsidR="00567255">
        <w:rPr>
          <w:rFonts w:asciiTheme="minorHAnsi" w:hAnsiTheme="minorHAnsi"/>
          <w:sz w:val="22"/>
          <w:szCs w:val="22"/>
          <w:lang w:val="en-US"/>
        </w:rPr>
        <w:t xml:space="preserve"> </w:t>
      </w:r>
    </w:p>
    <w:p w14:paraId="5BF5E425" w14:textId="75E163BF" w:rsidR="00567255" w:rsidRDefault="00567255" w:rsidP="00151DB5">
      <w:pPr>
        <w:pStyle w:val="NoSpacing"/>
        <w:jc w:val="both"/>
        <w:rPr>
          <w:rFonts w:asciiTheme="minorHAnsi" w:hAnsiTheme="minorHAnsi"/>
          <w:sz w:val="22"/>
          <w:szCs w:val="22"/>
          <w:lang w:val="en-US"/>
        </w:rPr>
      </w:pPr>
      <w:r>
        <w:rPr>
          <w:rFonts w:asciiTheme="minorHAnsi" w:hAnsiTheme="minorHAnsi"/>
          <w:sz w:val="22"/>
          <w:szCs w:val="22"/>
          <w:lang w:val="en-US"/>
        </w:rPr>
        <w:lastRenderedPageBreak/>
        <w:t>Given the considerable EU-wide range of nominal corporate tax rates, tax competition within the EU presumably will increase. This inevitably raises the question whether a CCCTB should be combined with a minimum tax rate on corporate profits?</w:t>
      </w:r>
    </w:p>
    <w:p w14:paraId="62BC96AA" w14:textId="77ECD065" w:rsidR="00567255" w:rsidRDefault="00567255" w:rsidP="00151DB5">
      <w:pPr>
        <w:pStyle w:val="NoSpacing"/>
        <w:jc w:val="both"/>
        <w:rPr>
          <w:rFonts w:asciiTheme="minorHAnsi" w:hAnsiTheme="minorHAnsi"/>
          <w:sz w:val="22"/>
          <w:szCs w:val="22"/>
          <w:lang w:val="en-US"/>
        </w:rPr>
      </w:pPr>
    </w:p>
    <w:p w14:paraId="5303AE52" w14:textId="51CB5D98" w:rsidR="00567255" w:rsidRDefault="00A13FF5" w:rsidP="00151DB5">
      <w:pPr>
        <w:pStyle w:val="NoSpacing"/>
        <w:jc w:val="both"/>
        <w:rPr>
          <w:rFonts w:asciiTheme="minorHAnsi" w:hAnsiTheme="minorHAnsi"/>
          <w:sz w:val="22"/>
          <w:szCs w:val="22"/>
          <w:lang w:val="en-US"/>
        </w:rPr>
      </w:pPr>
      <w:r>
        <w:rPr>
          <w:rFonts w:asciiTheme="minorHAnsi" w:hAnsiTheme="minorHAnsi"/>
          <w:sz w:val="22"/>
          <w:szCs w:val="22"/>
          <w:lang w:val="en-US"/>
        </w:rPr>
        <w:t xml:space="preserve">A minimum corporate tax rate has two objectives: it protects an efficient allocation of resources and, thus, the economic goals of </w:t>
      </w:r>
      <w:r w:rsidR="005D25B4">
        <w:rPr>
          <w:rFonts w:asciiTheme="minorHAnsi" w:hAnsiTheme="minorHAnsi"/>
          <w:sz w:val="22"/>
          <w:szCs w:val="22"/>
          <w:lang w:val="en-US"/>
        </w:rPr>
        <w:t xml:space="preserve">the </w:t>
      </w:r>
      <w:r>
        <w:rPr>
          <w:rFonts w:asciiTheme="minorHAnsi" w:hAnsiTheme="minorHAnsi"/>
          <w:sz w:val="22"/>
          <w:szCs w:val="22"/>
          <w:lang w:val="en-US"/>
        </w:rPr>
        <w:t xml:space="preserve">European Union’s treaties. Moreover, it protects the autonomy of member states with respect to the personal income tax. </w:t>
      </w:r>
      <w:r w:rsidR="00BB7017">
        <w:rPr>
          <w:rFonts w:asciiTheme="minorHAnsi" w:hAnsiTheme="minorHAnsi"/>
          <w:sz w:val="22"/>
          <w:szCs w:val="22"/>
          <w:lang w:val="en-US"/>
        </w:rPr>
        <w:t xml:space="preserve">The latter, the personal income tax, has not been addressed in the IMF </w:t>
      </w:r>
      <w:r w:rsidR="00511FD1">
        <w:rPr>
          <w:rFonts w:asciiTheme="minorHAnsi" w:hAnsiTheme="minorHAnsi"/>
          <w:sz w:val="22"/>
          <w:szCs w:val="22"/>
          <w:lang w:val="en-US"/>
        </w:rPr>
        <w:t>Report. I will explain this afterwards.</w:t>
      </w:r>
    </w:p>
    <w:p w14:paraId="147AFDAA" w14:textId="4D621E8D" w:rsidR="00387454" w:rsidRDefault="00387454" w:rsidP="00151DB5">
      <w:pPr>
        <w:pStyle w:val="NoSpacing"/>
        <w:jc w:val="both"/>
        <w:rPr>
          <w:rFonts w:asciiTheme="minorHAnsi" w:hAnsiTheme="minorHAnsi"/>
          <w:sz w:val="22"/>
          <w:szCs w:val="22"/>
          <w:lang w:val="en-US"/>
        </w:rPr>
      </w:pPr>
    </w:p>
    <w:p w14:paraId="1ACAC5E9" w14:textId="45832043" w:rsidR="00306E28" w:rsidRDefault="00387454" w:rsidP="00151DB5">
      <w:pPr>
        <w:pStyle w:val="NoSpacing"/>
        <w:jc w:val="both"/>
        <w:rPr>
          <w:rFonts w:asciiTheme="minorHAnsi" w:hAnsiTheme="minorHAnsi"/>
          <w:sz w:val="22"/>
          <w:szCs w:val="22"/>
          <w:lang w:val="en-US"/>
        </w:rPr>
      </w:pPr>
      <w:r>
        <w:rPr>
          <w:rFonts w:asciiTheme="minorHAnsi" w:hAnsiTheme="minorHAnsi"/>
          <w:sz w:val="22"/>
          <w:szCs w:val="22"/>
          <w:lang w:val="en-US"/>
        </w:rPr>
        <w:t>All this has already been made very clear soon after the release of the Commission’s staff working paper on “Company Taxation in the Internal Market”</w:t>
      </w:r>
      <w:r w:rsidR="00C90F25">
        <w:rPr>
          <w:rStyle w:val="FootnoteReference"/>
          <w:rFonts w:asciiTheme="minorHAnsi" w:hAnsiTheme="minorHAnsi"/>
          <w:sz w:val="22"/>
          <w:szCs w:val="22"/>
          <w:lang w:val="en-US"/>
        </w:rPr>
        <w:footnoteReference w:id="1"/>
      </w:r>
      <w:r>
        <w:rPr>
          <w:rFonts w:asciiTheme="minorHAnsi" w:hAnsiTheme="minorHAnsi"/>
          <w:sz w:val="22"/>
          <w:szCs w:val="22"/>
          <w:lang w:val="en-US"/>
        </w:rPr>
        <w:t xml:space="preserve"> two decades ago</w:t>
      </w:r>
      <w:r w:rsidR="00306E28">
        <w:rPr>
          <w:rFonts w:asciiTheme="minorHAnsi" w:hAnsiTheme="minorHAnsi"/>
          <w:sz w:val="22"/>
          <w:szCs w:val="22"/>
          <w:lang w:val="en-US"/>
        </w:rPr>
        <w:t xml:space="preserve"> in 2001.</w:t>
      </w:r>
      <w:r w:rsidR="00306E28">
        <w:rPr>
          <w:rStyle w:val="FootnoteReference"/>
          <w:rFonts w:asciiTheme="minorHAnsi" w:hAnsiTheme="minorHAnsi"/>
          <w:sz w:val="22"/>
          <w:szCs w:val="22"/>
          <w:lang w:val="en-US"/>
        </w:rPr>
        <w:footnoteReference w:id="2"/>
      </w:r>
      <w:r w:rsidR="002E52F4">
        <w:rPr>
          <w:rFonts w:asciiTheme="minorHAnsi" w:hAnsiTheme="minorHAnsi"/>
          <w:sz w:val="22"/>
          <w:szCs w:val="22"/>
          <w:lang w:val="en-US"/>
        </w:rPr>
        <w:t xml:space="preserve"> </w:t>
      </w:r>
      <w:r w:rsidR="00306E28">
        <w:rPr>
          <w:rFonts w:asciiTheme="minorHAnsi" w:hAnsiTheme="minorHAnsi"/>
          <w:sz w:val="22"/>
          <w:szCs w:val="22"/>
          <w:lang w:val="en-US"/>
        </w:rPr>
        <w:t xml:space="preserve">Given this, one has to ask why these efforts have not been taken up by the European Council? </w:t>
      </w:r>
      <w:r w:rsidR="0076596E">
        <w:rPr>
          <w:rFonts w:asciiTheme="minorHAnsi" w:hAnsiTheme="minorHAnsi"/>
          <w:sz w:val="22"/>
          <w:szCs w:val="22"/>
          <w:lang w:val="en-US"/>
        </w:rPr>
        <w:t xml:space="preserve">There might be several </w:t>
      </w:r>
      <w:r w:rsidR="002E52F4">
        <w:rPr>
          <w:rFonts w:asciiTheme="minorHAnsi" w:hAnsiTheme="minorHAnsi"/>
          <w:sz w:val="22"/>
          <w:szCs w:val="22"/>
          <w:lang w:val="en-US"/>
        </w:rPr>
        <w:t>reasons</w:t>
      </w:r>
      <w:r w:rsidR="0076596E">
        <w:rPr>
          <w:rFonts w:asciiTheme="minorHAnsi" w:hAnsiTheme="minorHAnsi"/>
          <w:sz w:val="22"/>
          <w:szCs w:val="22"/>
          <w:lang w:val="en-US"/>
        </w:rPr>
        <w:t>:</w:t>
      </w:r>
    </w:p>
    <w:p w14:paraId="2B0706F8" w14:textId="47A3244C" w:rsidR="0076596E" w:rsidRDefault="0076596E" w:rsidP="00151DB5">
      <w:pPr>
        <w:pStyle w:val="NoSpacing"/>
        <w:jc w:val="both"/>
        <w:rPr>
          <w:rFonts w:asciiTheme="minorHAnsi" w:hAnsiTheme="minorHAnsi"/>
          <w:sz w:val="22"/>
          <w:szCs w:val="22"/>
          <w:lang w:val="en-US"/>
        </w:rPr>
      </w:pPr>
    </w:p>
    <w:p w14:paraId="52B55E25" w14:textId="35031F9F" w:rsidR="005920A6" w:rsidRDefault="002E52F4" w:rsidP="002E52F4">
      <w:pPr>
        <w:pStyle w:val="NoSpacing"/>
        <w:numPr>
          <w:ilvl w:val="0"/>
          <w:numId w:val="20"/>
        </w:numPr>
        <w:ind w:left="357" w:hanging="357"/>
        <w:jc w:val="both"/>
        <w:rPr>
          <w:rFonts w:asciiTheme="minorHAnsi" w:hAnsiTheme="minorHAnsi"/>
          <w:sz w:val="22"/>
          <w:szCs w:val="22"/>
          <w:lang w:val="en-US"/>
        </w:rPr>
      </w:pPr>
      <w:r>
        <w:rPr>
          <w:rFonts w:asciiTheme="minorHAnsi" w:hAnsiTheme="minorHAnsi"/>
          <w:sz w:val="22"/>
          <w:szCs w:val="22"/>
          <w:lang w:val="en-US"/>
        </w:rPr>
        <w:t xml:space="preserve">The </w:t>
      </w:r>
      <w:r w:rsidR="0076596E">
        <w:rPr>
          <w:rFonts w:asciiTheme="minorHAnsi" w:hAnsiTheme="minorHAnsi"/>
          <w:sz w:val="22"/>
          <w:szCs w:val="22"/>
          <w:lang w:val="en-US"/>
        </w:rPr>
        <w:t xml:space="preserve">harmonization of tax bases, </w:t>
      </w:r>
      <w:r>
        <w:rPr>
          <w:rFonts w:asciiTheme="minorHAnsi" w:hAnsiTheme="minorHAnsi"/>
          <w:sz w:val="22"/>
          <w:szCs w:val="22"/>
          <w:lang w:val="en-US"/>
        </w:rPr>
        <w:t xml:space="preserve">the consolidation of individual profits of group members, the apportionment of consolidated profits to group members and a minimum corporate tax rate might be considered as too far reaching. In addition, it is crucial to set the concrete level of the minimum tax: should </w:t>
      </w:r>
      <w:r w:rsidR="0092064F">
        <w:rPr>
          <w:rFonts w:asciiTheme="minorHAnsi" w:hAnsiTheme="minorHAnsi"/>
          <w:sz w:val="22"/>
          <w:szCs w:val="22"/>
          <w:lang w:val="en-US"/>
        </w:rPr>
        <w:t xml:space="preserve">it </w:t>
      </w:r>
      <w:r>
        <w:rPr>
          <w:rFonts w:asciiTheme="minorHAnsi" w:hAnsiTheme="minorHAnsi"/>
          <w:sz w:val="22"/>
          <w:szCs w:val="22"/>
          <w:lang w:val="en-US"/>
        </w:rPr>
        <w:t>be 10 per cent or 21 per cent as proposed recently by U.S. Department of the Treasury?</w:t>
      </w:r>
      <w:r>
        <w:rPr>
          <w:rStyle w:val="FootnoteReference"/>
          <w:rFonts w:asciiTheme="minorHAnsi" w:hAnsiTheme="minorHAnsi"/>
          <w:sz w:val="22"/>
          <w:szCs w:val="22"/>
          <w:lang w:val="en-US"/>
        </w:rPr>
        <w:footnoteReference w:id="3"/>
      </w:r>
      <w:r>
        <w:rPr>
          <w:rFonts w:asciiTheme="minorHAnsi" w:hAnsiTheme="minorHAnsi"/>
          <w:sz w:val="22"/>
          <w:szCs w:val="22"/>
          <w:lang w:val="en-US"/>
        </w:rPr>
        <w:t xml:space="preserve"> </w:t>
      </w:r>
      <w:r w:rsidR="004D23F7">
        <w:rPr>
          <w:rFonts w:asciiTheme="minorHAnsi" w:hAnsiTheme="minorHAnsi"/>
          <w:sz w:val="22"/>
          <w:szCs w:val="22"/>
          <w:lang w:val="en-US"/>
        </w:rPr>
        <w:t>In</w:t>
      </w:r>
      <w:r w:rsidR="005920A6">
        <w:rPr>
          <w:rFonts w:asciiTheme="minorHAnsi" w:hAnsiTheme="minorHAnsi"/>
          <w:sz w:val="22"/>
          <w:szCs w:val="22"/>
          <w:lang w:val="en-US"/>
        </w:rPr>
        <w:t xml:space="preserve"> </w:t>
      </w:r>
      <w:r w:rsidR="004D23F7">
        <w:rPr>
          <w:rFonts w:asciiTheme="minorHAnsi" w:hAnsiTheme="minorHAnsi"/>
          <w:sz w:val="22"/>
          <w:szCs w:val="22"/>
          <w:lang w:val="en-US"/>
        </w:rPr>
        <w:t>the latter case,</w:t>
      </w:r>
      <w:r w:rsidR="005920A6">
        <w:rPr>
          <w:rFonts w:asciiTheme="minorHAnsi" w:hAnsiTheme="minorHAnsi"/>
          <w:sz w:val="22"/>
          <w:szCs w:val="22"/>
          <w:lang w:val="en-US"/>
        </w:rPr>
        <w:t xml:space="preserve"> on average, all EU Member States would be considered as low tax jurisdiction. Moreover, a CCCTB lacks of clear guidance with regard to transition into and out of the system, meaning that the </w:t>
      </w:r>
      <w:r w:rsidR="0092064F">
        <w:rPr>
          <w:rFonts w:asciiTheme="minorHAnsi" w:hAnsiTheme="minorHAnsi"/>
          <w:sz w:val="22"/>
          <w:szCs w:val="22"/>
          <w:lang w:val="en-US"/>
        </w:rPr>
        <w:t>suggested</w:t>
      </w:r>
      <w:r w:rsidR="005920A6">
        <w:rPr>
          <w:rFonts w:asciiTheme="minorHAnsi" w:hAnsiTheme="minorHAnsi"/>
          <w:sz w:val="22"/>
          <w:szCs w:val="22"/>
          <w:lang w:val="en-US"/>
        </w:rPr>
        <w:t xml:space="preserve"> exit and entry rules are not yet specified.</w:t>
      </w:r>
      <w:r w:rsidR="00F23AFF">
        <w:rPr>
          <w:rStyle w:val="FootnoteReference"/>
          <w:rFonts w:asciiTheme="minorHAnsi" w:hAnsiTheme="minorHAnsi"/>
          <w:sz w:val="22"/>
          <w:szCs w:val="22"/>
          <w:lang w:val="en-US"/>
        </w:rPr>
        <w:footnoteReference w:id="4"/>
      </w:r>
      <w:r w:rsidR="00D979BC">
        <w:rPr>
          <w:rFonts w:asciiTheme="minorHAnsi" w:hAnsiTheme="minorHAnsi"/>
          <w:sz w:val="22"/>
          <w:szCs w:val="22"/>
          <w:lang w:val="en-US"/>
        </w:rPr>
        <w:t xml:space="preserve"> Today, we have to acknowledge that EU Member States have </w:t>
      </w:r>
      <w:r w:rsidR="0092064F">
        <w:rPr>
          <w:rFonts w:asciiTheme="minorHAnsi" w:hAnsiTheme="minorHAnsi"/>
          <w:sz w:val="22"/>
          <w:szCs w:val="22"/>
          <w:lang w:val="en-US"/>
        </w:rPr>
        <w:t xml:space="preserve">not </w:t>
      </w:r>
      <w:r w:rsidR="00D979BC">
        <w:rPr>
          <w:rFonts w:asciiTheme="minorHAnsi" w:hAnsiTheme="minorHAnsi"/>
          <w:sz w:val="22"/>
          <w:szCs w:val="22"/>
          <w:lang w:val="en-US"/>
        </w:rPr>
        <w:t xml:space="preserve">even found a compromise on a Common Corporate Tax Base as </w:t>
      </w:r>
      <w:r w:rsidR="0045600F">
        <w:rPr>
          <w:rFonts w:asciiTheme="minorHAnsi" w:hAnsiTheme="minorHAnsi"/>
          <w:sz w:val="22"/>
          <w:szCs w:val="22"/>
          <w:lang w:val="en-US"/>
        </w:rPr>
        <w:t>proposed</w:t>
      </w:r>
      <w:r w:rsidR="00D979BC">
        <w:rPr>
          <w:rFonts w:asciiTheme="minorHAnsi" w:hAnsiTheme="minorHAnsi"/>
          <w:sz w:val="22"/>
          <w:szCs w:val="22"/>
          <w:lang w:val="en-US"/>
        </w:rPr>
        <w:t xml:space="preserve"> by the </w:t>
      </w:r>
      <w:r w:rsidR="0045600F">
        <w:rPr>
          <w:rFonts w:asciiTheme="minorHAnsi" w:hAnsiTheme="minorHAnsi"/>
          <w:sz w:val="22"/>
          <w:szCs w:val="22"/>
          <w:lang w:val="en-US"/>
        </w:rPr>
        <w:t xml:space="preserve">European </w:t>
      </w:r>
      <w:r w:rsidR="00D979BC">
        <w:rPr>
          <w:rFonts w:asciiTheme="minorHAnsi" w:hAnsiTheme="minorHAnsi"/>
          <w:sz w:val="22"/>
          <w:szCs w:val="22"/>
          <w:lang w:val="en-US"/>
        </w:rPr>
        <w:t>Commission in 2016.</w:t>
      </w:r>
      <w:r w:rsidR="0045600F">
        <w:rPr>
          <w:rStyle w:val="FootnoteReference"/>
          <w:rFonts w:asciiTheme="minorHAnsi" w:hAnsiTheme="minorHAnsi"/>
          <w:sz w:val="22"/>
          <w:szCs w:val="22"/>
          <w:lang w:val="en-US"/>
        </w:rPr>
        <w:footnoteReference w:id="5"/>
      </w:r>
      <w:r w:rsidR="00D979BC">
        <w:rPr>
          <w:rFonts w:asciiTheme="minorHAnsi" w:hAnsiTheme="minorHAnsi"/>
          <w:sz w:val="22"/>
          <w:szCs w:val="22"/>
          <w:lang w:val="en-US"/>
        </w:rPr>
        <w:t xml:space="preserve"> In </w:t>
      </w:r>
      <w:r w:rsidR="0092064F">
        <w:rPr>
          <w:rFonts w:asciiTheme="minorHAnsi" w:hAnsiTheme="minorHAnsi"/>
          <w:sz w:val="22"/>
          <w:szCs w:val="22"/>
          <w:lang w:val="en-US"/>
        </w:rPr>
        <w:t>addition</w:t>
      </w:r>
      <w:r w:rsidR="00D979BC">
        <w:rPr>
          <w:rFonts w:asciiTheme="minorHAnsi" w:hAnsiTheme="minorHAnsi"/>
          <w:sz w:val="22"/>
          <w:szCs w:val="22"/>
          <w:lang w:val="en-US"/>
        </w:rPr>
        <w:t>, the Notional Interest Deduction (NID) would offer new tax planning opportunities since an interest income is effectively tax exempt with sincere backlashes to the personal income tax.</w:t>
      </w:r>
    </w:p>
    <w:p w14:paraId="15384EA5" w14:textId="77777777" w:rsidR="00105E0F" w:rsidRDefault="00105E0F" w:rsidP="00105E0F">
      <w:pPr>
        <w:pStyle w:val="NoSpacing"/>
        <w:ind w:left="357"/>
        <w:jc w:val="both"/>
        <w:rPr>
          <w:rFonts w:asciiTheme="minorHAnsi" w:hAnsiTheme="minorHAnsi"/>
          <w:sz w:val="22"/>
          <w:szCs w:val="22"/>
          <w:lang w:val="en-US"/>
        </w:rPr>
      </w:pPr>
    </w:p>
    <w:p w14:paraId="5CD41D60" w14:textId="4E336D42" w:rsidR="00D81391" w:rsidRPr="00105E0F" w:rsidRDefault="004B27AC" w:rsidP="00CE38D4">
      <w:pPr>
        <w:pStyle w:val="NoSpacing"/>
        <w:numPr>
          <w:ilvl w:val="0"/>
          <w:numId w:val="20"/>
        </w:numPr>
        <w:ind w:left="357" w:hanging="357"/>
        <w:jc w:val="both"/>
        <w:rPr>
          <w:rFonts w:asciiTheme="minorHAnsi" w:hAnsiTheme="minorHAnsi"/>
          <w:sz w:val="22"/>
          <w:szCs w:val="22"/>
          <w:lang w:val="en-US"/>
        </w:rPr>
      </w:pPr>
      <w:r>
        <w:rPr>
          <w:rFonts w:asciiTheme="minorHAnsi" w:hAnsiTheme="minorHAnsi"/>
          <w:sz w:val="22"/>
          <w:szCs w:val="22"/>
          <w:lang w:val="en-US"/>
        </w:rPr>
        <w:t xml:space="preserve">The loss </w:t>
      </w:r>
      <w:r w:rsidR="00576669">
        <w:rPr>
          <w:rFonts w:asciiTheme="minorHAnsi" w:hAnsiTheme="minorHAnsi"/>
          <w:sz w:val="22"/>
          <w:szCs w:val="22"/>
          <w:lang w:val="en-US"/>
        </w:rPr>
        <w:t xml:space="preserve">in </w:t>
      </w:r>
      <w:r w:rsidR="00616476">
        <w:rPr>
          <w:rFonts w:asciiTheme="minorHAnsi" w:hAnsiTheme="minorHAnsi"/>
          <w:sz w:val="22"/>
          <w:szCs w:val="22"/>
          <w:lang w:val="en-US"/>
        </w:rPr>
        <w:t xml:space="preserve">corporation </w:t>
      </w:r>
      <w:r w:rsidR="00576669">
        <w:rPr>
          <w:rFonts w:asciiTheme="minorHAnsi" w:hAnsiTheme="minorHAnsi"/>
          <w:sz w:val="22"/>
          <w:szCs w:val="22"/>
          <w:lang w:val="en-US"/>
        </w:rPr>
        <w:t xml:space="preserve">tax revenue due to tax </w:t>
      </w:r>
      <w:r w:rsidR="00855389">
        <w:rPr>
          <w:rFonts w:asciiTheme="minorHAnsi" w:hAnsiTheme="minorHAnsi"/>
          <w:sz w:val="22"/>
          <w:szCs w:val="22"/>
          <w:lang w:val="en-US"/>
        </w:rPr>
        <w:t>compet</w:t>
      </w:r>
      <w:r w:rsidR="0076596E">
        <w:rPr>
          <w:rFonts w:asciiTheme="minorHAnsi" w:hAnsiTheme="minorHAnsi"/>
          <w:sz w:val="22"/>
          <w:szCs w:val="22"/>
          <w:lang w:val="en-US"/>
        </w:rPr>
        <w:t xml:space="preserve">ition </w:t>
      </w:r>
      <w:r w:rsidR="00576669">
        <w:rPr>
          <w:rFonts w:asciiTheme="minorHAnsi" w:hAnsiTheme="minorHAnsi"/>
          <w:sz w:val="22"/>
          <w:szCs w:val="22"/>
          <w:lang w:val="en-US"/>
        </w:rPr>
        <w:t xml:space="preserve">and tax planning </w:t>
      </w:r>
      <w:r w:rsidR="00616476">
        <w:rPr>
          <w:rFonts w:asciiTheme="minorHAnsi" w:hAnsiTheme="minorHAnsi"/>
          <w:sz w:val="22"/>
          <w:szCs w:val="22"/>
          <w:lang w:val="en-US"/>
        </w:rPr>
        <w:t>is not that pronounced</w:t>
      </w:r>
      <w:r w:rsidR="00576669">
        <w:rPr>
          <w:rFonts w:asciiTheme="minorHAnsi" w:hAnsiTheme="minorHAnsi"/>
          <w:sz w:val="22"/>
          <w:szCs w:val="22"/>
          <w:lang w:val="en-US"/>
        </w:rPr>
        <w:t xml:space="preserve">. </w:t>
      </w:r>
      <w:r w:rsidR="00B028FD">
        <w:rPr>
          <w:rFonts w:asciiTheme="minorHAnsi" w:hAnsiTheme="minorHAnsi"/>
          <w:sz w:val="22"/>
          <w:szCs w:val="22"/>
          <w:lang w:val="en-US"/>
        </w:rPr>
        <w:t xml:space="preserve">Both the studies based on micro- and macro-data reveal low percentages in forgone revenues and semi-elasticities respectively. In addition, at least for </w:t>
      </w:r>
      <w:r w:rsidR="00576669">
        <w:rPr>
          <w:rFonts w:asciiTheme="minorHAnsi" w:hAnsiTheme="minorHAnsi"/>
          <w:sz w:val="22"/>
          <w:szCs w:val="22"/>
          <w:lang w:val="en-US"/>
        </w:rPr>
        <w:t xml:space="preserve">me, it remains unclear whether the studies cited in the IMF report </w:t>
      </w:r>
      <w:r w:rsidR="007C660E">
        <w:rPr>
          <w:rFonts w:asciiTheme="minorHAnsi" w:hAnsiTheme="minorHAnsi"/>
          <w:sz w:val="22"/>
          <w:szCs w:val="22"/>
          <w:lang w:val="en-US"/>
        </w:rPr>
        <w:t>consider</w:t>
      </w:r>
      <w:r w:rsidR="00576669">
        <w:rPr>
          <w:rFonts w:asciiTheme="minorHAnsi" w:hAnsiTheme="minorHAnsi"/>
          <w:sz w:val="22"/>
          <w:szCs w:val="22"/>
          <w:lang w:val="en-US"/>
        </w:rPr>
        <w:t xml:space="preserve"> the impacts of the Anti-Tax-Avoidance Directives (ATAD I+II), the confidential Country-by-Country Reporting (DAC 2) and the disclosure of cross-border tax planning strategies (DAC 6)</w:t>
      </w:r>
      <w:r w:rsidR="00B028FD">
        <w:rPr>
          <w:rFonts w:asciiTheme="minorHAnsi" w:hAnsiTheme="minorHAnsi"/>
          <w:sz w:val="22"/>
          <w:szCs w:val="22"/>
          <w:lang w:val="en-US"/>
        </w:rPr>
        <w:t xml:space="preserve"> on profit shifting</w:t>
      </w:r>
      <w:r w:rsidR="00576669">
        <w:rPr>
          <w:rFonts w:asciiTheme="minorHAnsi" w:hAnsiTheme="minorHAnsi"/>
          <w:sz w:val="22"/>
          <w:szCs w:val="22"/>
          <w:lang w:val="en-US"/>
        </w:rPr>
        <w:t>?</w:t>
      </w:r>
      <w:r w:rsidR="00511FD1">
        <w:rPr>
          <w:rFonts w:asciiTheme="minorHAnsi" w:hAnsiTheme="minorHAnsi"/>
          <w:sz w:val="22"/>
          <w:szCs w:val="22"/>
          <w:lang w:val="en-US"/>
        </w:rPr>
        <w:t xml:space="preserve"> </w:t>
      </w:r>
      <w:r w:rsidR="00B028FD">
        <w:rPr>
          <w:rFonts w:asciiTheme="minorHAnsi" w:hAnsiTheme="minorHAnsi"/>
          <w:sz w:val="22"/>
          <w:szCs w:val="22"/>
          <w:lang w:val="en-US"/>
        </w:rPr>
        <w:t>Moreover</w:t>
      </w:r>
      <w:r w:rsidR="007C660E">
        <w:rPr>
          <w:rFonts w:asciiTheme="minorHAnsi" w:hAnsiTheme="minorHAnsi"/>
          <w:sz w:val="22"/>
          <w:szCs w:val="22"/>
          <w:lang w:val="en-US"/>
        </w:rPr>
        <w:t xml:space="preserve">, we have to acknowledge that the reduction of corporate income tax rates was accompanied by a sharp increase of the </w:t>
      </w:r>
      <w:r w:rsidR="00511FD1">
        <w:rPr>
          <w:rFonts w:asciiTheme="minorHAnsi" w:hAnsiTheme="minorHAnsi"/>
          <w:sz w:val="22"/>
          <w:szCs w:val="22"/>
          <w:lang w:val="en-US"/>
        </w:rPr>
        <w:t>personal income tax on both dividends and capital gains</w:t>
      </w:r>
      <w:r w:rsidR="007C660E">
        <w:rPr>
          <w:rFonts w:asciiTheme="minorHAnsi" w:hAnsiTheme="minorHAnsi"/>
          <w:sz w:val="22"/>
          <w:szCs w:val="22"/>
          <w:lang w:val="en-US"/>
        </w:rPr>
        <w:t>. Finally,</w:t>
      </w:r>
      <w:r w:rsidR="00511FD1">
        <w:rPr>
          <w:rFonts w:asciiTheme="minorHAnsi" w:hAnsiTheme="minorHAnsi"/>
          <w:sz w:val="22"/>
          <w:szCs w:val="22"/>
          <w:lang w:val="en-US"/>
        </w:rPr>
        <w:t xml:space="preserve"> </w:t>
      </w:r>
      <w:r w:rsidR="007C660E">
        <w:rPr>
          <w:rFonts w:asciiTheme="minorHAnsi" w:hAnsiTheme="minorHAnsi"/>
          <w:sz w:val="22"/>
          <w:szCs w:val="22"/>
          <w:lang w:val="en-US"/>
        </w:rPr>
        <w:t xml:space="preserve">several major industries such as the </w:t>
      </w:r>
      <w:r w:rsidR="00511FD1">
        <w:rPr>
          <w:rFonts w:asciiTheme="minorHAnsi" w:hAnsiTheme="minorHAnsi"/>
          <w:sz w:val="22"/>
          <w:szCs w:val="22"/>
          <w:lang w:val="en-US"/>
        </w:rPr>
        <w:t>US</w:t>
      </w:r>
      <w:r w:rsidR="005653DD">
        <w:rPr>
          <w:rStyle w:val="FootnoteReference"/>
          <w:rFonts w:asciiTheme="minorHAnsi" w:hAnsiTheme="minorHAnsi"/>
          <w:sz w:val="22"/>
          <w:szCs w:val="22"/>
          <w:lang w:val="en-US"/>
        </w:rPr>
        <w:footnoteReference w:id="6"/>
      </w:r>
      <w:r w:rsidR="007C660E">
        <w:rPr>
          <w:rFonts w:asciiTheme="minorHAnsi" w:hAnsiTheme="minorHAnsi"/>
          <w:sz w:val="22"/>
          <w:szCs w:val="22"/>
          <w:lang w:val="en-US"/>
        </w:rPr>
        <w:t xml:space="preserve"> </w:t>
      </w:r>
      <w:r w:rsidR="00511FD1">
        <w:rPr>
          <w:rFonts w:asciiTheme="minorHAnsi" w:hAnsiTheme="minorHAnsi"/>
          <w:sz w:val="22"/>
          <w:szCs w:val="22"/>
          <w:lang w:val="en-US"/>
        </w:rPr>
        <w:t xml:space="preserve">and </w:t>
      </w:r>
      <w:r w:rsidR="007C660E">
        <w:rPr>
          <w:rFonts w:asciiTheme="minorHAnsi" w:hAnsiTheme="minorHAnsi"/>
          <w:sz w:val="22"/>
          <w:szCs w:val="22"/>
          <w:lang w:val="en-US"/>
        </w:rPr>
        <w:t xml:space="preserve">the </w:t>
      </w:r>
      <w:r w:rsidR="00511FD1">
        <w:rPr>
          <w:rFonts w:asciiTheme="minorHAnsi" w:hAnsiTheme="minorHAnsi"/>
          <w:sz w:val="22"/>
          <w:szCs w:val="22"/>
          <w:lang w:val="en-US"/>
        </w:rPr>
        <w:t>UK</w:t>
      </w:r>
      <w:r w:rsidR="00616476">
        <w:rPr>
          <w:rStyle w:val="FootnoteReference"/>
          <w:rFonts w:asciiTheme="minorHAnsi" w:hAnsiTheme="minorHAnsi"/>
          <w:sz w:val="22"/>
          <w:szCs w:val="22"/>
          <w:lang w:val="en-US"/>
        </w:rPr>
        <w:footnoteReference w:id="7"/>
      </w:r>
      <w:r w:rsidR="00511FD1">
        <w:rPr>
          <w:rFonts w:asciiTheme="minorHAnsi" w:hAnsiTheme="minorHAnsi"/>
          <w:sz w:val="22"/>
          <w:szCs w:val="22"/>
          <w:lang w:val="en-US"/>
        </w:rPr>
        <w:t xml:space="preserve"> </w:t>
      </w:r>
      <w:r w:rsidR="007C660E">
        <w:rPr>
          <w:rFonts w:asciiTheme="minorHAnsi" w:hAnsiTheme="minorHAnsi"/>
          <w:sz w:val="22"/>
          <w:szCs w:val="22"/>
          <w:lang w:val="en-US"/>
        </w:rPr>
        <w:t>have announced to increase their corporate income tax rates</w:t>
      </w:r>
      <w:r w:rsidR="00B028FD">
        <w:rPr>
          <w:rFonts w:asciiTheme="minorHAnsi" w:hAnsiTheme="minorHAnsi"/>
          <w:sz w:val="22"/>
          <w:szCs w:val="22"/>
          <w:lang w:val="en-US"/>
        </w:rPr>
        <w:t xml:space="preserve"> (in the US from 21 to 28 per cent and in the UK from 19 to 25 per cent)</w:t>
      </w:r>
      <w:r w:rsidR="007C660E">
        <w:rPr>
          <w:rFonts w:asciiTheme="minorHAnsi" w:hAnsiTheme="minorHAnsi"/>
          <w:sz w:val="22"/>
          <w:szCs w:val="22"/>
          <w:lang w:val="en-US"/>
        </w:rPr>
        <w:t>.</w:t>
      </w:r>
    </w:p>
    <w:p w14:paraId="23D85ED5" w14:textId="437B13C5" w:rsidR="00D81391" w:rsidRPr="005913A2" w:rsidRDefault="00105E0F" w:rsidP="00E55EB0">
      <w:pPr>
        <w:pStyle w:val="NoSpacing"/>
        <w:numPr>
          <w:ilvl w:val="0"/>
          <w:numId w:val="19"/>
        </w:numPr>
        <w:rPr>
          <w:rFonts w:asciiTheme="minorHAnsi" w:hAnsiTheme="minorHAnsi"/>
          <w:b/>
          <w:sz w:val="22"/>
          <w:szCs w:val="22"/>
          <w:lang w:val="en-US"/>
        </w:rPr>
      </w:pPr>
      <w:r>
        <w:rPr>
          <w:rFonts w:asciiTheme="minorHAnsi" w:hAnsiTheme="minorHAnsi"/>
          <w:b/>
          <w:sz w:val="22"/>
          <w:szCs w:val="22"/>
          <w:lang w:val="en-US"/>
        </w:rPr>
        <w:lastRenderedPageBreak/>
        <w:t>No</w:t>
      </w:r>
      <w:r w:rsidR="00511FD1">
        <w:rPr>
          <w:rFonts w:asciiTheme="minorHAnsi" w:hAnsiTheme="minorHAnsi"/>
          <w:b/>
          <w:sz w:val="22"/>
          <w:szCs w:val="22"/>
          <w:lang w:val="en-US"/>
        </w:rPr>
        <w:t xml:space="preserve"> link </w:t>
      </w:r>
      <w:r>
        <w:rPr>
          <w:rFonts w:asciiTheme="minorHAnsi" w:hAnsiTheme="minorHAnsi"/>
          <w:b/>
          <w:sz w:val="22"/>
          <w:szCs w:val="22"/>
          <w:lang w:val="en-US"/>
        </w:rPr>
        <w:t xml:space="preserve">between </w:t>
      </w:r>
      <w:r w:rsidR="00511FD1">
        <w:rPr>
          <w:rFonts w:asciiTheme="minorHAnsi" w:hAnsiTheme="minorHAnsi"/>
          <w:b/>
          <w:sz w:val="22"/>
          <w:szCs w:val="22"/>
          <w:lang w:val="en-US"/>
        </w:rPr>
        <w:t xml:space="preserve">COVID-19 deficit spending </w:t>
      </w:r>
      <w:r>
        <w:rPr>
          <w:rFonts w:asciiTheme="minorHAnsi" w:hAnsiTheme="minorHAnsi"/>
          <w:b/>
          <w:sz w:val="22"/>
          <w:szCs w:val="22"/>
          <w:lang w:val="en-US"/>
        </w:rPr>
        <w:t>and</w:t>
      </w:r>
      <w:r w:rsidR="00511FD1">
        <w:rPr>
          <w:rFonts w:asciiTheme="minorHAnsi" w:hAnsiTheme="minorHAnsi"/>
          <w:b/>
          <w:sz w:val="22"/>
          <w:szCs w:val="22"/>
          <w:lang w:val="en-US"/>
        </w:rPr>
        <w:t xml:space="preserve"> the taxation of MNE</w:t>
      </w:r>
      <w:r>
        <w:rPr>
          <w:rFonts w:asciiTheme="minorHAnsi" w:hAnsiTheme="minorHAnsi"/>
          <w:b/>
          <w:sz w:val="22"/>
          <w:szCs w:val="22"/>
          <w:lang w:val="en-US"/>
        </w:rPr>
        <w:t xml:space="preserve"> in the European Union</w:t>
      </w:r>
    </w:p>
    <w:p w14:paraId="2678F0BE" w14:textId="3C074633" w:rsidR="00901C0E" w:rsidRDefault="00901C0E" w:rsidP="00CE38D4">
      <w:pPr>
        <w:pStyle w:val="NoSpacing"/>
        <w:rPr>
          <w:rFonts w:asciiTheme="minorHAnsi" w:hAnsiTheme="minorHAnsi"/>
          <w:sz w:val="22"/>
          <w:szCs w:val="22"/>
          <w:lang w:val="en-US"/>
        </w:rPr>
      </w:pPr>
    </w:p>
    <w:p w14:paraId="0FCC1936" w14:textId="010A9EE0" w:rsidR="004C2700" w:rsidRDefault="001D46C6" w:rsidP="002558E3">
      <w:pPr>
        <w:pStyle w:val="NoSpacing"/>
        <w:jc w:val="both"/>
        <w:rPr>
          <w:rFonts w:asciiTheme="minorHAnsi" w:hAnsiTheme="minorHAnsi"/>
          <w:sz w:val="22"/>
          <w:szCs w:val="22"/>
          <w:lang w:val="en-US"/>
        </w:rPr>
      </w:pPr>
      <w:r>
        <w:rPr>
          <w:rFonts w:asciiTheme="minorHAnsi" w:hAnsiTheme="minorHAnsi"/>
          <w:sz w:val="22"/>
          <w:szCs w:val="22"/>
          <w:lang w:val="en-US"/>
        </w:rPr>
        <w:t xml:space="preserve">Different to the IMF report I would not link </w:t>
      </w:r>
      <w:r w:rsidR="00452472">
        <w:rPr>
          <w:rFonts w:asciiTheme="minorHAnsi" w:hAnsiTheme="minorHAnsi"/>
          <w:sz w:val="22"/>
          <w:szCs w:val="22"/>
          <w:lang w:val="en-US"/>
        </w:rPr>
        <w:t>the</w:t>
      </w:r>
      <w:r w:rsidR="00FB0BD0">
        <w:rPr>
          <w:rFonts w:asciiTheme="minorHAnsi" w:hAnsiTheme="minorHAnsi"/>
          <w:sz w:val="22"/>
          <w:szCs w:val="22"/>
          <w:lang w:val="en-US"/>
        </w:rPr>
        <w:t xml:space="preserve"> harmonization of the corporate income tax </w:t>
      </w:r>
      <w:r w:rsidR="00452472">
        <w:rPr>
          <w:rFonts w:asciiTheme="minorHAnsi" w:hAnsiTheme="minorHAnsi"/>
          <w:sz w:val="22"/>
          <w:szCs w:val="22"/>
          <w:lang w:val="en-US"/>
        </w:rPr>
        <w:t xml:space="preserve">for multinational enterprises </w:t>
      </w:r>
      <w:r w:rsidR="00FB0BD0">
        <w:rPr>
          <w:rFonts w:asciiTheme="minorHAnsi" w:hAnsiTheme="minorHAnsi"/>
          <w:sz w:val="22"/>
          <w:szCs w:val="22"/>
          <w:lang w:val="en-US"/>
        </w:rPr>
        <w:t>in Europe to Member States deficit spending due to the COVID-19 pandemic</w:t>
      </w:r>
      <w:r w:rsidR="00487A5B">
        <w:rPr>
          <w:rFonts w:asciiTheme="minorHAnsi" w:hAnsiTheme="minorHAnsi"/>
          <w:sz w:val="22"/>
          <w:szCs w:val="22"/>
          <w:lang w:val="en-US"/>
        </w:rPr>
        <w:t>.</w:t>
      </w:r>
      <w:r w:rsidR="00452472">
        <w:rPr>
          <w:rFonts w:asciiTheme="minorHAnsi" w:hAnsiTheme="minorHAnsi"/>
          <w:sz w:val="22"/>
          <w:szCs w:val="22"/>
          <w:lang w:val="en-US"/>
        </w:rPr>
        <w:t xml:space="preserve"> There is no evidence at all that MNE’s benefited most from such deficit spending. Rather, transfer payment to individuals prevail.</w:t>
      </w:r>
      <w:r w:rsidR="00FB0BD0">
        <w:rPr>
          <w:rFonts w:asciiTheme="minorHAnsi" w:hAnsiTheme="minorHAnsi"/>
          <w:sz w:val="22"/>
          <w:szCs w:val="22"/>
          <w:lang w:val="en-US"/>
        </w:rPr>
        <w:t xml:space="preserve"> </w:t>
      </w:r>
      <w:r w:rsidR="00487A5B">
        <w:rPr>
          <w:rFonts w:asciiTheme="minorHAnsi" w:hAnsiTheme="minorHAnsi"/>
          <w:sz w:val="22"/>
          <w:szCs w:val="22"/>
          <w:lang w:val="en-US"/>
        </w:rPr>
        <w:t xml:space="preserve"> </w:t>
      </w:r>
    </w:p>
    <w:p w14:paraId="44580BAF" w14:textId="77777777" w:rsidR="004C2700" w:rsidRDefault="004C2700" w:rsidP="002558E3">
      <w:pPr>
        <w:pStyle w:val="NoSpacing"/>
        <w:jc w:val="both"/>
        <w:rPr>
          <w:rFonts w:asciiTheme="minorHAnsi" w:hAnsiTheme="minorHAnsi"/>
          <w:sz w:val="22"/>
          <w:szCs w:val="22"/>
          <w:lang w:val="en-US"/>
        </w:rPr>
      </w:pPr>
    </w:p>
    <w:p w14:paraId="10DAFB5F" w14:textId="4DC5E0A9" w:rsidR="00A54490" w:rsidRPr="00040F08" w:rsidRDefault="00A521F9" w:rsidP="002558E3">
      <w:pPr>
        <w:pStyle w:val="NoSpacing"/>
        <w:jc w:val="both"/>
        <w:rPr>
          <w:rFonts w:asciiTheme="minorHAnsi" w:hAnsiTheme="minorHAnsi"/>
          <w:sz w:val="22"/>
          <w:szCs w:val="22"/>
          <w:lang w:val="en-US"/>
        </w:rPr>
      </w:pPr>
      <w:r>
        <w:rPr>
          <w:rFonts w:asciiTheme="minorHAnsi" w:hAnsiTheme="minorHAnsi"/>
          <w:sz w:val="22"/>
          <w:szCs w:val="22"/>
          <w:lang w:val="en-US"/>
        </w:rPr>
        <w:t xml:space="preserve">If, at all, given that economic recovery happens faster than expected in 2020, it is necessary to increase taxes in Europe, I refer to the value added tax (VAT). Although VAT has been harmonized across the European Union for decades, it is </w:t>
      </w:r>
      <w:r w:rsidR="008C18F3">
        <w:rPr>
          <w:rFonts w:asciiTheme="minorHAnsi" w:hAnsiTheme="minorHAnsi"/>
          <w:sz w:val="22"/>
          <w:szCs w:val="22"/>
          <w:lang w:val="en-US"/>
        </w:rPr>
        <w:t xml:space="preserve">the </w:t>
      </w:r>
      <w:r>
        <w:rPr>
          <w:rFonts w:asciiTheme="minorHAnsi" w:hAnsiTheme="minorHAnsi"/>
          <w:sz w:val="22"/>
          <w:szCs w:val="22"/>
          <w:lang w:val="en-US"/>
        </w:rPr>
        <w:t xml:space="preserve">most vulnerable tax with regard to illegal tax fraud. </w:t>
      </w:r>
      <w:r w:rsidR="00040F08">
        <w:rPr>
          <w:rFonts w:asciiTheme="minorHAnsi" w:hAnsiTheme="minorHAnsi"/>
          <w:sz w:val="22"/>
          <w:szCs w:val="22"/>
          <w:lang w:val="en-US"/>
        </w:rPr>
        <w:t xml:space="preserve">According to a </w:t>
      </w:r>
      <w:r w:rsidR="008C18F3" w:rsidRPr="008C18F3">
        <w:rPr>
          <w:rFonts w:asciiTheme="minorHAnsi" w:hAnsiTheme="minorHAnsi"/>
          <w:sz w:val="22"/>
          <w:szCs w:val="22"/>
          <w:lang w:val="en-US"/>
        </w:rPr>
        <w:t>f</w:t>
      </w:r>
      <w:r w:rsidR="00040F08" w:rsidRPr="008C18F3">
        <w:rPr>
          <w:rFonts w:asciiTheme="minorHAnsi" w:hAnsiTheme="minorHAnsi"/>
          <w:sz w:val="22"/>
          <w:szCs w:val="22"/>
          <w:lang w:val="en-US"/>
        </w:rPr>
        <w:t xml:space="preserve">orecast of the European Commission, the </w:t>
      </w:r>
      <w:r w:rsidR="008C18F3" w:rsidRPr="008C18F3">
        <w:rPr>
          <w:rFonts w:asciiTheme="minorHAnsi" w:hAnsiTheme="minorHAnsi"/>
          <w:sz w:val="22"/>
          <w:szCs w:val="22"/>
          <w:lang w:val="en-US"/>
        </w:rPr>
        <w:t>VAT</w:t>
      </w:r>
      <w:r w:rsidR="00AC7DEA">
        <w:rPr>
          <w:rFonts w:asciiTheme="minorHAnsi" w:hAnsiTheme="minorHAnsi"/>
          <w:sz w:val="22"/>
          <w:szCs w:val="22"/>
          <w:lang w:val="en-US"/>
        </w:rPr>
        <w:t xml:space="preserve"> </w:t>
      </w:r>
      <w:r w:rsidR="00040F08" w:rsidRPr="008C18F3">
        <w:rPr>
          <w:rFonts w:asciiTheme="minorHAnsi" w:hAnsiTheme="minorHAnsi"/>
          <w:sz w:val="22"/>
          <w:szCs w:val="22"/>
          <w:lang w:val="en-US"/>
        </w:rPr>
        <w:t xml:space="preserve">Gap could </w:t>
      </w:r>
      <w:r w:rsidR="008C18F3" w:rsidRPr="008C18F3">
        <w:rPr>
          <w:rFonts w:asciiTheme="minorHAnsi" w:hAnsiTheme="minorHAnsi"/>
          <w:sz w:val="22"/>
          <w:szCs w:val="22"/>
          <w:lang w:val="en-US"/>
        </w:rPr>
        <w:t>amount to</w:t>
      </w:r>
      <w:r w:rsidR="00040F08" w:rsidRPr="008C18F3">
        <w:rPr>
          <w:rFonts w:asciiTheme="minorHAnsi" w:hAnsiTheme="minorHAnsi"/>
          <w:sz w:val="22"/>
          <w:szCs w:val="22"/>
          <w:lang w:val="en-US"/>
        </w:rPr>
        <w:t xml:space="preserve"> EUR</w:t>
      </w:r>
      <w:r w:rsidR="008C18F3" w:rsidRPr="008C18F3">
        <w:rPr>
          <w:rFonts w:asciiTheme="minorHAnsi" w:hAnsiTheme="minorHAnsi"/>
          <w:sz w:val="22"/>
          <w:szCs w:val="22"/>
          <w:lang w:val="en-US"/>
        </w:rPr>
        <w:t>O</w:t>
      </w:r>
      <w:r w:rsidR="00040F08" w:rsidRPr="008C18F3">
        <w:rPr>
          <w:rFonts w:asciiTheme="minorHAnsi" w:hAnsiTheme="minorHAnsi"/>
          <w:sz w:val="22"/>
          <w:szCs w:val="22"/>
          <w:lang w:val="en-US"/>
        </w:rPr>
        <w:t xml:space="preserve"> 164 billion in 2020</w:t>
      </w:r>
      <w:r w:rsidR="008C18F3">
        <w:rPr>
          <w:rFonts w:asciiTheme="minorHAnsi" w:hAnsiTheme="minorHAnsi"/>
          <w:sz w:val="22"/>
          <w:szCs w:val="22"/>
          <w:lang w:val="en-US"/>
        </w:rPr>
        <w:t>.</w:t>
      </w:r>
      <w:r w:rsidR="0062537D">
        <w:rPr>
          <w:rStyle w:val="FootnoteReference"/>
          <w:rFonts w:asciiTheme="minorHAnsi" w:hAnsiTheme="minorHAnsi"/>
          <w:sz w:val="22"/>
          <w:szCs w:val="22"/>
          <w:lang w:val="en-US"/>
        </w:rPr>
        <w:footnoteReference w:id="8"/>
      </w:r>
      <w:r w:rsidR="008C18F3">
        <w:rPr>
          <w:rFonts w:asciiTheme="minorHAnsi" w:hAnsiTheme="minorHAnsi"/>
          <w:sz w:val="22"/>
          <w:szCs w:val="22"/>
          <w:lang w:val="en-US"/>
        </w:rPr>
        <w:t xml:space="preserve"> This amount is huge, and it is an annual loss in tax revenue. </w:t>
      </w:r>
      <w:r w:rsidR="0013607C">
        <w:rPr>
          <w:rFonts w:asciiTheme="minorHAnsi" w:hAnsiTheme="minorHAnsi"/>
          <w:sz w:val="22"/>
          <w:szCs w:val="22"/>
          <w:lang w:val="en-US"/>
        </w:rPr>
        <w:t>Contrar</w:t>
      </w:r>
      <w:r w:rsidR="0062537D">
        <w:rPr>
          <w:rFonts w:asciiTheme="minorHAnsi" w:hAnsiTheme="minorHAnsi"/>
          <w:sz w:val="22"/>
          <w:szCs w:val="22"/>
          <w:lang w:val="en-US"/>
        </w:rPr>
        <w:t xml:space="preserve">y </w:t>
      </w:r>
      <w:r w:rsidR="00AC7DEA">
        <w:rPr>
          <w:rFonts w:asciiTheme="minorHAnsi" w:hAnsiTheme="minorHAnsi"/>
          <w:sz w:val="22"/>
          <w:szCs w:val="22"/>
          <w:lang w:val="en-US"/>
        </w:rPr>
        <w:t xml:space="preserve">to increasing the corporate income tax by way of levying minimum taxes, Member States should take all efforts to close the VAT gap, blueprints are on the table for a long time. </w:t>
      </w:r>
    </w:p>
    <w:p w14:paraId="255105B3" w14:textId="77777777" w:rsidR="00901C0E" w:rsidRPr="00CE38D4" w:rsidRDefault="00901C0E" w:rsidP="002558E3">
      <w:pPr>
        <w:pStyle w:val="NoSpacing"/>
        <w:jc w:val="both"/>
        <w:rPr>
          <w:rFonts w:asciiTheme="minorHAnsi" w:hAnsiTheme="minorHAnsi"/>
          <w:sz w:val="22"/>
          <w:szCs w:val="22"/>
          <w:lang w:val="en-US"/>
        </w:rPr>
      </w:pPr>
    </w:p>
    <w:p w14:paraId="3CFA6BE9" w14:textId="3F47A7CC" w:rsidR="001362C3" w:rsidRPr="005913A2" w:rsidRDefault="00511FD1" w:rsidP="00E55EB0">
      <w:pPr>
        <w:pStyle w:val="NoSpacing"/>
        <w:numPr>
          <w:ilvl w:val="0"/>
          <w:numId w:val="19"/>
        </w:numPr>
        <w:rPr>
          <w:rFonts w:asciiTheme="minorHAnsi" w:hAnsiTheme="minorHAnsi"/>
          <w:b/>
          <w:sz w:val="22"/>
          <w:szCs w:val="22"/>
          <w:lang w:val="en-US"/>
        </w:rPr>
      </w:pPr>
      <w:r>
        <w:rPr>
          <w:rFonts w:asciiTheme="minorHAnsi" w:hAnsiTheme="minorHAnsi"/>
          <w:b/>
          <w:sz w:val="22"/>
          <w:szCs w:val="22"/>
          <w:lang w:val="en-US"/>
        </w:rPr>
        <w:t xml:space="preserve">CCCTB </w:t>
      </w:r>
      <w:r w:rsidR="00255D1A">
        <w:rPr>
          <w:rFonts w:asciiTheme="minorHAnsi" w:hAnsiTheme="minorHAnsi"/>
          <w:b/>
          <w:sz w:val="22"/>
          <w:szCs w:val="22"/>
          <w:lang w:val="en-US"/>
        </w:rPr>
        <w:t xml:space="preserve">&amp; Formulary Apportionment by Sales do not </w:t>
      </w:r>
      <w:r>
        <w:rPr>
          <w:rFonts w:asciiTheme="minorHAnsi" w:hAnsiTheme="minorHAnsi"/>
          <w:b/>
          <w:sz w:val="22"/>
          <w:szCs w:val="22"/>
          <w:lang w:val="en-US"/>
        </w:rPr>
        <w:t>relocate taxing rights to market countries</w:t>
      </w:r>
    </w:p>
    <w:p w14:paraId="241DB4D1" w14:textId="450E5846" w:rsidR="005913A2" w:rsidRPr="00CE38D4" w:rsidRDefault="005913A2" w:rsidP="005913A2">
      <w:pPr>
        <w:pStyle w:val="NoSpacing"/>
        <w:rPr>
          <w:rFonts w:asciiTheme="minorHAnsi" w:hAnsiTheme="minorHAnsi"/>
          <w:sz w:val="22"/>
          <w:szCs w:val="22"/>
          <w:lang w:val="en-US"/>
        </w:rPr>
      </w:pPr>
    </w:p>
    <w:p w14:paraId="4CA66D93" w14:textId="538C691E" w:rsidR="00633A43" w:rsidRDefault="00255D1A" w:rsidP="00255D1A">
      <w:pPr>
        <w:pStyle w:val="NoSpacing"/>
        <w:jc w:val="both"/>
        <w:rPr>
          <w:rFonts w:asciiTheme="minorHAnsi" w:hAnsiTheme="minorHAnsi"/>
          <w:sz w:val="22"/>
          <w:szCs w:val="22"/>
          <w:lang w:val="en-US"/>
        </w:rPr>
      </w:pPr>
      <w:r>
        <w:rPr>
          <w:rFonts w:asciiTheme="minorHAnsi" w:hAnsiTheme="minorHAnsi"/>
          <w:sz w:val="22"/>
          <w:szCs w:val="22"/>
          <w:lang w:val="en-US"/>
        </w:rPr>
        <w:t xml:space="preserve">Different from the unified approach (Pillar 1) still under discussion within the inclusive framework of the OECD where a share of consolidated residual profits – </w:t>
      </w:r>
      <w:r w:rsidR="00843E5A">
        <w:rPr>
          <w:rFonts w:asciiTheme="minorHAnsi" w:hAnsiTheme="minorHAnsi"/>
          <w:sz w:val="22"/>
          <w:szCs w:val="22"/>
          <w:lang w:val="en-US"/>
        </w:rPr>
        <w:t xml:space="preserve">the </w:t>
      </w:r>
      <w:r>
        <w:rPr>
          <w:rFonts w:asciiTheme="minorHAnsi" w:hAnsiTheme="minorHAnsi"/>
          <w:sz w:val="22"/>
          <w:szCs w:val="22"/>
          <w:lang w:val="en-US"/>
        </w:rPr>
        <w:t>so-called Amount A – shall be allocated by sales to market jurisdictions without any physical presence, a CCCTB and formulary apportionment by the sales factor foresees no taxing rights for consumer markets in case of pure exports.</w:t>
      </w:r>
      <w:r w:rsidR="00843E5A">
        <w:rPr>
          <w:rFonts w:asciiTheme="minorHAnsi" w:hAnsiTheme="minorHAnsi"/>
          <w:sz w:val="22"/>
          <w:szCs w:val="22"/>
          <w:lang w:val="en-US"/>
        </w:rPr>
        <w:t xml:space="preserve"> Although the CCCTB is apportioned </w:t>
      </w:r>
      <w:r w:rsidR="00560815">
        <w:rPr>
          <w:rFonts w:asciiTheme="minorHAnsi" w:hAnsiTheme="minorHAnsi"/>
          <w:sz w:val="22"/>
          <w:szCs w:val="22"/>
          <w:lang w:val="en-US"/>
        </w:rPr>
        <w:t>with regard to</w:t>
      </w:r>
      <w:r w:rsidR="00843E5A">
        <w:rPr>
          <w:rFonts w:asciiTheme="minorHAnsi" w:hAnsiTheme="minorHAnsi"/>
          <w:sz w:val="22"/>
          <w:szCs w:val="22"/>
          <w:lang w:val="en-US"/>
        </w:rPr>
        <w:t xml:space="preserve"> sales by destination, a physical presence of a group member in the consumer market</w:t>
      </w:r>
      <w:r w:rsidR="00560815">
        <w:rPr>
          <w:rFonts w:asciiTheme="minorHAnsi" w:hAnsiTheme="minorHAnsi"/>
          <w:sz w:val="22"/>
          <w:szCs w:val="22"/>
          <w:lang w:val="en-US"/>
        </w:rPr>
        <w:t xml:space="preserve"> still</w:t>
      </w:r>
      <w:r w:rsidR="00843E5A">
        <w:rPr>
          <w:rFonts w:asciiTheme="minorHAnsi" w:hAnsiTheme="minorHAnsi"/>
          <w:sz w:val="22"/>
          <w:szCs w:val="22"/>
          <w:lang w:val="en-US"/>
        </w:rPr>
        <w:t xml:space="preserve"> is required. Otherwise, a so-called throw-back rule </w:t>
      </w:r>
      <w:r w:rsidR="00560815">
        <w:rPr>
          <w:rFonts w:asciiTheme="minorHAnsi" w:hAnsiTheme="minorHAnsi"/>
          <w:sz w:val="22"/>
          <w:szCs w:val="22"/>
          <w:lang w:val="en-US"/>
        </w:rPr>
        <w:t>will become effective which is explicitly mentioned in Art. 94 No. 4 of the 2011 proposal for a CCCTB Directive: “If there is no group member in the Member State where goods are delivered or services are carried out […] the sales shall be included in the sales factor of all group members in proportion to their labour and asset factors.”</w:t>
      </w:r>
      <w:r w:rsidR="00560815">
        <w:rPr>
          <w:rStyle w:val="FootnoteReference"/>
          <w:rFonts w:asciiTheme="minorHAnsi" w:hAnsiTheme="minorHAnsi"/>
          <w:sz w:val="22"/>
          <w:szCs w:val="22"/>
          <w:lang w:val="en-US"/>
        </w:rPr>
        <w:footnoteReference w:id="9"/>
      </w:r>
    </w:p>
    <w:p w14:paraId="6E79C270" w14:textId="4CA98408" w:rsidR="00547CCC" w:rsidRDefault="00547CCC" w:rsidP="001C07DE">
      <w:pPr>
        <w:pStyle w:val="NoSpacing"/>
        <w:rPr>
          <w:rFonts w:asciiTheme="minorHAnsi" w:hAnsiTheme="minorHAnsi"/>
          <w:sz w:val="22"/>
          <w:szCs w:val="22"/>
          <w:lang w:val="en-US"/>
        </w:rPr>
      </w:pPr>
    </w:p>
    <w:p w14:paraId="1E3B0279" w14:textId="6BB7544F" w:rsidR="00560815" w:rsidRPr="001220B7" w:rsidRDefault="00560815" w:rsidP="001C07DE">
      <w:pPr>
        <w:pStyle w:val="NoSpacing"/>
        <w:rPr>
          <w:rFonts w:asciiTheme="minorHAnsi" w:hAnsiTheme="minorHAnsi"/>
          <w:sz w:val="22"/>
          <w:szCs w:val="22"/>
          <w:lang w:val="en-US"/>
        </w:rPr>
      </w:pPr>
      <w:r>
        <w:rPr>
          <w:rFonts w:asciiTheme="minorHAnsi" w:hAnsiTheme="minorHAnsi"/>
          <w:sz w:val="22"/>
          <w:szCs w:val="22"/>
          <w:lang w:val="en-US"/>
        </w:rPr>
        <w:t>Regarding the inter-nation allocation of taxing rights</w:t>
      </w:r>
      <w:r w:rsidR="00C41D82">
        <w:rPr>
          <w:rFonts w:asciiTheme="minorHAnsi" w:hAnsiTheme="minorHAnsi"/>
          <w:sz w:val="22"/>
          <w:szCs w:val="22"/>
          <w:lang w:val="en-US"/>
        </w:rPr>
        <w:t xml:space="preserve">, the OECD’s Pillar 1 and the CCCTB </w:t>
      </w:r>
      <w:r w:rsidR="00BD3DBA">
        <w:rPr>
          <w:rFonts w:asciiTheme="minorHAnsi" w:hAnsiTheme="minorHAnsi"/>
          <w:sz w:val="22"/>
          <w:szCs w:val="22"/>
          <w:lang w:val="en-US"/>
        </w:rPr>
        <w:t>are based on fundamentally different concepts.</w:t>
      </w:r>
    </w:p>
    <w:p w14:paraId="0554E24D" w14:textId="77777777" w:rsidR="00633A43" w:rsidRPr="001220B7" w:rsidRDefault="00633A43" w:rsidP="001C07DE">
      <w:pPr>
        <w:pStyle w:val="NoSpacing"/>
        <w:rPr>
          <w:rFonts w:asciiTheme="minorHAnsi" w:hAnsiTheme="minorHAnsi"/>
          <w:sz w:val="22"/>
          <w:szCs w:val="22"/>
          <w:lang w:val="en-US"/>
        </w:rPr>
      </w:pPr>
    </w:p>
    <w:p w14:paraId="393BC633" w14:textId="1A87C1E7" w:rsidR="00547CCC" w:rsidRPr="005913A2" w:rsidRDefault="00511FD1" w:rsidP="00E55EB0">
      <w:pPr>
        <w:pStyle w:val="NoSpacing"/>
        <w:numPr>
          <w:ilvl w:val="0"/>
          <w:numId w:val="19"/>
        </w:numPr>
        <w:rPr>
          <w:rFonts w:asciiTheme="minorHAnsi" w:hAnsiTheme="minorHAnsi"/>
          <w:b/>
          <w:sz w:val="22"/>
          <w:szCs w:val="22"/>
          <w:lang w:val="en-US"/>
        </w:rPr>
      </w:pPr>
      <w:r>
        <w:rPr>
          <w:rFonts w:asciiTheme="minorHAnsi" w:hAnsiTheme="minorHAnsi"/>
          <w:b/>
          <w:sz w:val="22"/>
          <w:szCs w:val="22"/>
          <w:lang w:val="en-US"/>
        </w:rPr>
        <w:t>Way out</w:t>
      </w:r>
    </w:p>
    <w:p w14:paraId="1B3C24ED" w14:textId="6D614A26" w:rsidR="001C07DE" w:rsidRPr="001220B7" w:rsidRDefault="001C07DE" w:rsidP="00734375">
      <w:pPr>
        <w:pStyle w:val="NoSpacing"/>
        <w:rPr>
          <w:rFonts w:asciiTheme="minorHAnsi" w:hAnsiTheme="minorHAnsi"/>
          <w:b/>
          <w:sz w:val="22"/>
          <w:szCs w:val="22"/>
          <w:lang w:val="en-US" w:eastAsia="zh-CN"/>
        </w:rPr>
      </w:pPr>
    </w:p>
    <w:p w14:paraId="34E6990A" w14:textId="0ABE1A88" w:rsidR="00CE5C58" w:rsidRPr="0092064F" w:rsidRDefault="00CB439B" w:rsidP="00CB439B">
      <w:pPr>
        <w:pStyle w:val="NoSpacing"/>
        <w:jc w:val="both"/>
        <w:rPr>
          <w:rFonts w:asciiTheme="minorHAnsi" w:hAnsiTheme="minorHAnsi"/>
          <w:sz w:val="22"/>
          <w:szCs w:val="22"/>
          <w:lang w:val="en-US"/>
        </w:rPr>
      </w:pPr>
      <w:r w:rsidRPr="00CB439B">
        <w:rPr>
          <w:rFonts w:asciiTheme="minorHAnsi" w:hAnsiTheme="minorHAnsi"/>
          <w:sz w:val="22"/>
          <w:szCs w:val="22"/>
          <w:lang w:val="en-US"/>
        </w:rPr>
        <w:t xml:space="preserve">The role of VAT is surprisingly not at all considered in the current political discussion and in the IMF report. Yet, billions of tax revenue are at stake if consumption taxes are not collected appropriately. Enforcing VAT on digital services thoroughly is a crucial step to generate and protect tax revenues in market jurisdictions. Furthermore, the increasing relevance of the sharing economy contributes to a defragmentation of the economy and the appropriateness of small-business VAT exemption regulations is debatable for highly digitalized interactions between market participants with systematic and </w:t>
      </w:r>
      <w:r w:rsidRPr="00CB439B">
        <w:rPr>
          <w:rFonts w:asciiTheme="minorHAnsi" w:hAnsiTheme="minorHAnsi"/>
          <w:sz w:val="22"/>
          <w:szCs w:val="22"/>
          <w:lang w:val="en-US"/>
        </w:rPr>
        <w:lastRenderedPageBreak/>
        <w:t>complete knowledge of transactional data. Platform providers could be integrated in the process of consequent VAT collection.</w:t>
      </w:r>
    </w:p>
    <w:p w14:paraId="3A0C915F" w14:textId="0F31CBAC" w:rsidR="00A707F6" w:rsidRDefault="00A707F6" w:rsidP="00CB439B">
      <w:pPr>
        <w:pStyle w:val="NoSpacing"/>
        <w:jc w:val="both"/>
        <w:rPr>
          <w:rFonts w:asciiTheme="minorHAnsi" w:hAnsiTheme="minorHAnsi"/>
          <w:sz w:val="22"/>
          <w:szCs w:val="22"/>
          <w:lang w:val="en-US"/>
        </w:rPr>
      </w:pPr>
    </w:p>
    <w:p w14:paraId="24C41738" w14:textId="77B50320" w:rsidR="00A707F6" w:rsidRPr="007F0F13" w:rsidRDefault="00A707F6" w:rsidP="007F0F13">
      <w:pPr>
        <w:pStyle w:val="NoSpacing"/>
        <w:jc w:val="both"/>
        <w:rPr>
          <w:rFonts w:asciiTheme="minorHAnsi" w:hAnsiTheme="minorHAnsi" w:cstheme="minorHAnsi"/>
          <w:sz w:val="22"/>
          <w:szCs w:val="22"/>
          <w:lang w:val="en-US"/>
        </w:rPr>
      </w:pPr>
      <w:r>
        <w:rPr>
          <w:rFonts w:asciiTheme="minorHAnsi" w:hAnsiTheme="minorHAnsi"/>
          <w:sz w:val="22"/>
          <w:szCs w:val="22"/>
          <w:lang w:val="en-US"/>
        </w:rPr>
        <w:t xml:space="preserve">Referring to </w:t>
      </w:r>
      <w:r w:rsidR="007F0F13">
        <w:rPr>
          <w:rFonts w:asciiTheme="minorHAnsi" w:hAnsiTheme="minorHAnsi"/>
          <w:sz w:val="22"/>
          <w:szCs w:val="22"/>
          <w:lang w:val="en-US"/>
        </w:rPr>
        <w:t xml:space="preserve">the taxation of MNE’s in a digitalized world, one should first understand value creation in </w:t>
      </w:r>
      <w:r w:rsidR="007F0F13" w:rsidRPr="007F0F13">
        <w:rPr>
          <w:rFonts w:asciiTheme="minorHAnsi" w:hAnsiTheme="minorHAnsi" w:cstheme="minorHAnsi"/>
          <w:sz w:val="22"/>
          <w:szCs w:val="22"/>
          <w:lang w:val="en-US"/>
        </w:rPr>
        <w:t>digitalized business models.</w:t>
      </w:r>
      <w:r w:rsidR="007F0F13" w:rsidRPr="007F0F13">
        <w:rPr>
          <w:rStyle w:val="FootnoteReference"/>
          <w:rFonts w:asciiTheme="minorHAnsi" w:hAnsiTheme="minorHAnsi" w:cstheme="minorHAnsi"/>
          <w:sz w:val="22"/>
          <w:szCs w:val="22"/>
          <w:lang w:val="en-US"/>
        </w:rPr>
        <w:footnoteReference w:id="10"/>
      </w:r>
      <w:r w:rsidR="007F0F13" w:rsidRPr="007F0F13">
        <w:rPr>
          <w:rFonts w:asciiTheme="minorHAnsi" w:hAnsiTheme="minorHAnsi" w:cstheme="minorHAnsi"/>
          <w:sz w:val="22"/>
          <w:szCs w:val="22"/>
          <w:lang w:val="en-US"/>
        </w:rPr>
        <w:t xml:space="preserve"> Second, based on this understanding, following recommendations of leading tax scholars, a more systematic profit split approach combining traditional transfer pricing methods for routine tasks with a more flexible approach for hard to compare transactions of digital corporations should be taken up.</w:t>
      </w:r>
      <w:r w:rsidR="004F5719" w:rsidRPr="007F0F13">
        <w:rPr>
          <w:rStyle w:val="FootnoteReference"/>
          <w:rFonts w:asciiTheme="minorHAnsi" w:hAnsiTheme="minorHAnsi" w:cstheme="minorHAnsi"/>
          <w:sz w:val="22"/>
          <w:szCs w:val="22"/>
          <w:lang w:val="en-US"/>
        </w:rPr>
        <w:footnoteReference w:id="11"/>
      </w:r>
      <w:r w:rsidR="007F0F13" w:rsidRPr="007F0F13">
        <w:rPr>
          <w:rFonts w:asciiTheme="minorHAnsi" w:hAnsiTheme="minorHAnsi" w:cstheme="minorHAnsi"/>
          <w:sz w:val="22"/>
          <w:szCs w:val="22"/>
          <w:lang w:val="en-US"/>
        </w:rPr>
        <w:t xml:space="preserve"> They argue that this reform proposal, which recommends allocating the profits based on residual gross income, would be an improvement in comparison to the existing system on several dimensions. The idea to re-examine the formulary apportionment of residual profits and to combine this approach with traditional transfer pricing methods has been regularly discussed in the academic literature.</w:t>
      </w:r>
      <w:r w:rsidR="004F5719" w:rsidRPr="007F0F13">
        <w:rPr>
          <w:rStyle w:val="FootnoteReference"/>
          <w:rFonts w:asciiTheme="minorHAnsi" w:hAnsiTheme="minorHAnsi" w:cstheme="minorHAnsi"/>
          <w:sz w:val="22"/>
          <w:szCs w:val="22"/>
          <w:lang w:val="en-US"/>
        </w:rPr>
        <w:footnoteReference w:id="12"/>
      </w:r>
    </w:p>
    <w:sectPr w:rsidR="00A707F6" w:rsidRPr="007F0F13" w:rsidSect="0023200C">
      <w:headerReference w:type="even" r:id="rId8"/>
      <w:headerReference w:type="default" r:id="rId9"/>
      <w:footerReference w:type="default" r:id="rId10"/>
      <w:headerReference w:type="first" r:id="rId11"/>
      <w:footerReference w:type="first" r:id="rId12"/>
      <w:pgSz w:w="11906" w:h="16838" w:code="9"/>
      <w:pgMar w:top="2696" w:right="1406" w:bottom="663" w:left="1418" w:header="510" w:footer="746" w:gutter="0"/>
      <w:cols w:space="720"/>
      <w:titlePg/>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7722E" w16cex:dateUtc="2021-02-17T09:45:00Z"/>
  <w16cex:commentExtensible w16cex:durableId="23D772C3" w16cex:dateUtc="2021-02-17T09:47:00Z"/>
  <w16cex:commentExtensible w16cex:durableId="23D772DB" w16cex:dateUtc="2021-02-17T09:47:00Z"/>
  <w16cex:commentExtensible w16cex:durableId="23D776CB" w16cex:dateUtc="2021-02-17T10:04:00Z"/>
  <w16cex:commentExtensible w16cex:durableId="23D773C1" w16cex:dateUtc="2021-02-17T09:51:00Z"/>
  <w16cex:commentExtensible w16cex:durableId="23D77321" w16cex:dateUtc="2021-02-17T09:49:00Z"/>
  <w16cex:commentExtensible w16cex:durableId="23D774BA" w16cex:dateUtc="2021-02-17T09:5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403FAD" w14:textId="77777777" w:rsidR="00B046F9" w:rsidRDefault="00B046F9">
      <w:r>
        <w:separator/>
      </w:r>
    </w:p>
  </w:endnote>
  <w:endnote w:type="continuationSeparator" w:id="0">
    <w:p w14:paraId="6273C633" w14:textId="77777777" w:rsidR="00B046F9" w:rsidRDefault="00B04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RotisSemiSerif">
    <w:altName w:val="Arial Narro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inionPro-Regular">
    <w:charset w:val="00"/>
    <w:family w:val="auto"/>
    <w:pitch w:val="variable"/>
    <w:sig w:usb0="60000287" w:usb1="00000001" w:usb2="00000000" w:usb3="00000000" w:csb0="0000019F" w:csb1="00000000"/>
  </w:font>
  <w:font w:name="Trajan">
    <w:altName w:val="Trajan Pr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F2EDD" w14:textId="77777777" w:rsidR="00E6082C" w:rsidRDefault="00E6082C" w:rsidP="00A762B8">
    <w:pPr>
      <w:pStyle w:val="Footer"/>
      <w:spacing w:before="0"/>
      <w:rPr>
        <w:rStyle w:val="PageNumber"/>
      </w:rPr>
    </w:pPr>
  </w:p>
  <w:p w14:paraId="2205A8CE" w14:textId="77777777" w:rsidR="00E6082C" w:rsidRPr="00A762B8" w:rsidRDefault="00E6082C" w:rsidP="00A762B8">
    <w:pPr>
      <w:pStyle w:val="Footer"/>
      <w:spacing w:before="0"/>
      <w:rPr>
        <w:rStyle w:val="PageNumber"/>
      </w:rPr>
    </w:pPr>
  </w:p>
  <w:p w14:paraId="4E29BC7A" w14:textId="77777777" w:rsidR="00E6082C" w:rsidRDefault="00E6082C" w:rsidP="00A762B8">
    <w:pPr>
      <w:pStyle w:val="Footer"/>
      <w:spacing w:before="0"/>
      <w:rPr>
        <w:rStyle w:val="PageNumber"/>
      </w:rPr>
    </w:pPr>
  </w:p>
  <w:p w14:paraId="323085C3" w14:textId="77777777" w:rsidR="00E6082C" w:rsidRPr="00A762B8" w:rsidRDefault="00E6082C" w:rsidP="00A762B8">
    <w:pPr>
      <w:pStyle w:val="Footer"/>
      <w:spacing w:before="0"/>
      <w:rPr>
        <w:rStyle w:val="PageNumber"/>
      </w:rPr>
    </w:pPr>
  </w:p>
  <w:p w14:paraId="0A8863D5" w14:textId="77777777" w:rsidR="00E6082C" w:rsidRPr="00A762B8" w:rsidRDefault="00E6082C" w:rsidP="00A762B8">
    <w:pPr>
      <w:pStyle w:val="Footer"/>
      <w:spacing w:before="0"/>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A60A4" w14:textId="77777777" w:rsidR="00E6082C" w:rsidRPr="00AE4583" w:rsidRDefault="00E6082C" w:rsidP="00BC7AE1">
    <w:pPr>
      <w:pStyle w:val="Header"/>
      <w:tabs>
        <w:tab w:val="clear" w:pos="4536"/>
        <w:tab w:val="clear" w:pos="9072"/>
        <w:tab w:val="left" w:pos="6237"/>
      </w:tabs>
      <w:spacing w:before="0"/>
      <w:rPr>
        <w:b/>
        <w:bCs/>
        <w:sz w:val="16"/>
        <w:szCs w:val="16"/>
      </w:rPr>
    </w:pPr>
  </w:p>
  <w:p w14:paraId="45EA4AB8" w14:textId="0059D5C5" w:rsidR="00E6082C" w:rsidRPr="00AE4583" w:rsidRDefault="00E6082C" w:rsidP="00BC7AE1">
    <w:pPr>
      <w:pStyle w:val="Header"/>
      <w:tabs>
        <w:tab w:val="clear" w:pos="4536"/>
        <w:tab w:val="clear" w:pos="9072"/>
        <w:tab w:val="left" w:pos="6237"/>
      </w:tabs>
      <w:spacing w:before="0"/>
      <w:rPr>
        <w:b/>
        <w:bCs/>
        <w:sz w:val="16"/>
        <w:szCs w:val="16"/>
      </w:rPr>
    </w:pPr>
    <w:r>
      <w:rPr>
        <w:b/>
        <w:bCs/>
        <w:noProof/>
        <w:sz w:val="16"/>
        <w:szCs w:val="16"/>
        <w:lang w:val="fr-BE" w:eastAsia="fr-BE"/>
      </w:rPr>
      <w:drawing>
        <wp:anchor distT="0" distB="0" distL="114300" distR="114300" simplePos="0" relativeHeight="251671040" behindDoc="0" locked="0" layoutInCell="1" allowOverlap="1" wp14:anchorId="30A61C32" wp14:editId="30A11A9F">
          <wp:simplePos x="0" y="0"/>
          <wp:positionH relativeFrom="column">
            <wp:posOffset>4162425</wp:posOffset>
          </wp:positionH>
          <wp:positionV relativeFrom="paragraph">
            <wp:posOffset>104775</wp:posOffset>
          </wp:positionV>
          <wp:extent cx="1872000" cy="302400"/>
          <wp:effectExtent l="0" t="0" r="7620" b="2540"/>
          <wp:wrapTight wrapText="bothSides">
            <wp:wrapPolygon edited="0">
              <wp:start x="0" y="0"/>
              <wp:lineTo x="0" y="19966"/>
              <wp:lineTo x="21395" y="19966"/>
              <wp:lineTo x="21395" y="0"/>
              <wp:lineTo x="0" y="0"/>
            </wp:wrapPolygon>
          </wp:wrapTight>
          <wp:docPr id="1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er_AccrLogo_2020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000" cy="302400"/>
                  </a:xfrm>
                  <a:prstGeom prst="rect">
                    <a:avLst/>
                  </a:prstGeom>
                </pic:spPr>
              </pic:pic>
            </a:graphicData>
          </a:graphic>
          <wp14:sizeRelH relativeFrom="margin">
            <wp14:pctWidth>0</wp14:pctWidth>
          </wp14:sizeRelH>
          <wp14:sizeRelV relativeFrom="margin">
            <wp14:pctHeight>0</wp14:pctHeight>
          </wp14:sizeRelV>
        </wp:anchor>
      </w:drawing>
    </w:r>
  </w:p>
  <w:p w14:paraId="48415833" w14:textId="10E01A33" w:rsidR="00E6082C" w:rsidRPr="00AE4583" w:rsidRDefault="00E6082C" w:rsidP="003248FD">
    <w:pPr>
      <w:pStyle w:val="Header"/>
      <w:tabs>
        <w:tab w:val="clear" w:pos="4536"/>
        <w:tab w:val="clear" w:pos="9072"/>
      </w:tabs>
      <w:spacing w:before="0"/>
      <w:rPr>
        <w:sz w:val="16"/>
        <w:szCs w:val="16"/>
      </w:rPr>
    </w:pPr>
  </w:p>
  <w:p w14:paraId="0DE170D3" w14:textId="2A9D8434" w:rsidR="00E6082C" w:rsidRDefault="00E6082C" w:rsidP="00BC7AE1">
    <w:pPr>
      <w:pStyle w:val="Header"/>
      <w:tabs>
        <w:tab w:val="clear" w:pos="4536"/>
        <w:tab w:val="clear" w:pos="9072"/>
        <w:tab w:val="left" w:pos="3402"/>
        <w:tab w:val="left" w:pos="7513"/>
      </w:tabs>
      <w:spacing w:before="0"/>
      <w:jc w:val="both"/>
      <w:rPr>
        <w:sz w:val="16"/>
        <w:szCs w:val="16"/>
      </w:rPr>
    </w:pPr>
  </w:p>
  <w:p w14:paraId="1CB20F65" w14:textId="77777777" w:rsidR="00E6082C" w:rsidRDefault="00E6082C" w:rsidP="00BC7AE1">
    <w:pPr>
      <w:pStyle w:val="Header"/>
      <w:tabs>
        <w:tab w:val="clear" w:pos="4536"/>
        <w:tab w:val="clear" w:pos="9072"/>
        <w:tab w:val="left" w:pos="3402"/>
        <w:tab w:val="left" w:pos="7513"/>
      </w:tabs>
      <w:spacing w:before="0"/>
      <w:jc w:val="both"/>
      <w:rPr>
        <w:sz w:val="16"/>
        <w:szCs w:val="16"/>
      </w:rPr>
    </w:pPr>
  </w:p>
  <w:p w14:paraId="760546C4" w14:textId="77777777" w:rsidR="00E6082C" w:rsidRPr="00AE4583" w:rsidRDefault="00E6082C" w:rsidP="00BC7AE1">
    <w:pPr>
      <w:pStyle w:val="Header"/>
      <w:tabs>
        <w:tab w:val="clear" w:pos="4536"/>
        <w:tab w:val="clear" w:pos="9072"/>
        <w:tab w:val="left" w:pos="3402"/>
        <w:tab w:val="left" w:pos="7513"/>
      </w:tabs>
      <w:spacing w:before="0"/>
      <w:jc w:val="both"/>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798A56" w14:textId="77777777" w:rsidR="00B046F9" w:rsidRDefault="00B046F9">
      <w:r>
        <w:separator/>
      </w:r>
    </w:p>
  </w:footnote>
  <w:footnote w:type="continuationSeparator" w:id="0">
    <w:p w14:paraId="29B9CB85" w14:textId="77777777" w:rsidR="00B046F9" w:rsidRDefault="00B046F9">
      <w:r>
        <w:continuationSeparator/>
      </w:r>
    </w:p>
  </w:footnote>
  <w:footnote w:id="1">
    <w:p w14:paraId="3D3858EF" w14:textId="5FCBAC25" w:rsidR="00C90F25" w:rsidRPr="00C90F25" w:rsidRDefault="00C90F25" w:rsidP="00894FB9">
      <w:pPr>
        <w:pStyle w:val="FootnoteText"/>
        <w:ind w:left="357" w:hanging="357"/>
        <w:rPr>
          <w:rFonts w:asciiTheme="minorHAnsi" w:hAnsiTheme="minorHAnsi" w:cstheme="minorHAnsi"/>
          <w:lang w:val="en-US"/>
        </w:rPr>
      </w:pPr>
      <w:r w:rsidRPr="00C90F25">
        <w:rPr>
          <w:rStyle w:val="FootnoteReference"/>
          <w:rFonts w:asciiTheme="minorHAnsi" w:hAnsiTheme="minorHAnsi" w:cstheme="minorHAnsi"/>
        </w:rPr>
        <w:footnoteRef/>
      </w:r>
      <w:r w:rsidRPr="00C90F25">
        <w:rPr>
          <w:rFonts w:asciiTheme="minorHAnsi" w:hAnsiTheme="minorHAnsi" w:cstheme="minorHAnsi"/>
          <w:lang w:val="en-US"/>
        </w:rPr>
        <w:t xml:space="preserve"> </w:t>
      </w:r>
      <w:r w:rsidRPr="00C90F25">
        <w:rPr>
          <w:rFonts w:asciiTheme="minorHAnsi" w:hAnsiTheme="minorHAnsi" w:cstheme="minorHAnsi"/>
          <w:lang w:val="en-US"/>
        </w:rPr>
        <w:tab/>
        <w:t>Cf. Company taxation in the internal market, Commission staff working paper, COM(2001) 582 final.</w:t>
      </w:r>
    </w:p>
  </w:footnote>
  <w:footnote w:id="2">
    <w:p w14:paraId="6C95FEDE" w14:textId="7187EA7F" w:rsidR="00306E28" w:rsidRPr="00894FB9" w:rsidRDefault="00306E28" w:rsidP="00894FB9">
      <w:pPr>
        <w:pStyle w:val="FootnoteText"/>
        <w:ind w:left="357" w:hanging="357"/>
        <w:rPr>
          <w:rFonts w:asciiTheme="minorHAnsi" w:hAnsiTheme="minorHAnsi" w:cstheme="minorHAnsi"/>
          <w:lang w:val="en-US"/>
        </w:rPr>
      </w:pPr>
      <w:r w:rsidRPr="00894FB9">
        <w:rPr>
          <w:rStyle w:val="FootnoteReference"/>
          <w:rFonts w:asciiTheme="minorHAnsi" w:hAnsiTheme="minorHAnsi" w:cstheme="minorHAnsi"/>
        </w:rPr>
        <w:footnoteRef/>
      </w:r>
      <w:r w:rsidRPr="00894FB9">
        <w:rPr>
          <w:rFonts w:asciiTheme="minorHAnsi" w:hAnsiTheme="minorHAnsi" w:cstheme="minorHAnsi"/>
          <w:lang w:val="en-US"/>
        </w:rPr>
        <w:t xml:space="preserve"> </w:t>
      </w:r>
      <w:r w:rsidR="00C90F25" w:rsidRPr="00894FB9">
        <w:rPr>
          <w:rFonts w:asciiTheme="minorHAnsi" w:hAnsiTheme="minorHAnsi" w:cstheme="minorHAnsi"/>
          <w:lang w:val="en-US"/>
        </w:rPr>
        <w:tab/>
        <w:t xml:space="preserve">Cf. Sørensen, </w:t>
      </w:r>
      <w:r w:rsidR="00894FB9" w:rsidRPr="00894FB9">
        <w:rPr>
          <w:rFonts w:asciiTheme="minorHAnsi" w:hAnsiTheme="minorHAnsi" w:cstheme="minorHAnsi"/>
          <w:lang w:val="en-US"/>
        </w:rPr>
        <w:t xml:space="preserve">To harmonise or not the harmonise?, CESifo Forum 2002, </w:t>
      </w:r>
      <w:r w:rsidR="00C90F25" w:rsidRPr="00894FB9">
        <w:rPr>
          <w:rFonts w:asciiTheme="minorHAnsi" w:hAnsiTheme="minorHAnsi" w:cstheme="minorHAnsi"/>
          <w:lang w:val="en-US"/>
        </w:rPr>
        <w:t>p. 35; Ruding</w:t>
      </w:r>
      <w:r w:rsidR="00894FB9" w:rsidRPr="00894FB9">
        <w:rPr>
          <w:rFonts w:asciiTheme="minorHAnsi" w:hAnsiTheme="minorHAnsi" w:cstheme="minorHAnsi"/>
          <w:lang w:val="en-US"/>
        </w:rPr>
        <w:t>, ECTR</w:t>
      </w:r>
      <w:r w:rsidR="00C90F25" w:rsidRPr="00894FB9">
        <w:rPr>
          <w:rFonts w:asciiTheme="minorHAnsi" w:hAnsiTheme="minorHAnsi" w:cstheme="minorHAnsi"/>
          <w:lang w:val="en-US"/>
        </w:rPr>
        <w:t xml:space="preserve"> 2005, pp. 2-3; Spengel</w:t>
      </w:r>
      <w:r w:rsidR="00894FB9" w:rsidRPr="00894FB9">
        <w:rPr>
          <w:rFonts w:asciiTheme="minorHAnsi" w:hAnsiTheme="minorHAnsi" w:cstheme="minorHAnsi"/>
          <w:lang w:val="en-US"/>
        </w:rPr>
        <w:t xml:space="preserve">, </w:t>
      </w:r>
      <w:r w:rsidR="00894FB9" w:rsidRPr="00894FB9">
        <w:rPr>
          <w:rFonts w:asciiTheme="minorHAnsi" w:hAnsiTheme="minorHAnsi" w:cstheme="minorHAnsi"/>
          <w:lang w:val="en-GB"/>
        </w:rPr>
        <w:t>Common Corporate Consolidated Tax Base – Don’t forget the tax rates!,</w:t>
      </w:r>
      <w:r w:rsidR="00894FB9" w:rsidRPr="00894FB9">
        <w:rPr>
          <w:rFonts w:asciiTheme="minorHAnsi" w:hAnsiTheme="minorHAnsi" w:cstheme="minorHAnsi"/>
          <w:lang w:val="en-US"/>
        </w:rPr>
        <w:t xml:space="preserve"> ECTR 2007, pp. 118-120.</w:t>
      </w:r>
    </w:p>
  </w:footnote>
  <w:footnote w:id="3">
    <w:p w14:paraId="0BF99147" w14:textId="5AD665A3" w:rsidR="002E52F4" w:rsidRPr="004D23F7" w:rsidRDefault="002E52F4" w:rsidP="002E52F4">
      <w:pPr>
        <w:pStyle w:val="FootnoteText"/>
        <w:ind w:left="357" w:hanging="357"/>
        <w:rPr>
          <w:rFonts w:asciiTheme="minorHAnsi" w:hAnsiTheme="minorHAnsi" w:cstheme="minorHAnsi"/>
          <w:lang w:val="en-US"/>
        </w:rPr>
      </w:pPr>
      <w:r w:rsidRPr="004D23F7">
        <w:rPr>
          <w:rStyle w:val="FootnoteReference"/>
          <w:rFonts w:asciiTheme="minorHAnsi" w:hAnsiTheme="minorHAnsi" w:cstheme="minorHAnsi"/>
        </w:rPr>
        <w:footnoteRef/>
      </w:r>
      <w:r w:rsidRPr="004D23F7">
        <w:rPr>
          <w:rFonts w:asciiTheme="minorHAnsi" w:hAnsiTheme="minorHAnsi" w:cstheme="minorHAnsi"/>
          <w:lang w:val="en-US"/>
        </w:rPr>
        <w:t xml:space="preserve"> </w:t>
      </w:r>
      <w:r w:rsidRPr="004D23F7">
        <w:rPr>
          <w:rFonts w:asciiTheme="minorHAnsi" w:hAnsiTheme="minorHAnsi" w:cstheme="minorHAnsi"/>
          <w:lang w:val="en-US"/>
        </w:rPr>
        <w:tab/>
        <w:t xml:space="preserve">Cf. </w:t>
      </w:r>
      <w:r w:rsidR="004D23F7" w:rsidRPr="004D23F7">
        <w:rPr>
          <w:rFonts w:asciiTheme="minorHAnsi" w:hAnsiTheme="minorHAnsi"/>
          <w:lang w:val="en-US"/>
        </w:rPr>
        <w:t>U.S. Department of the Treasury, The Made in America Tax Plan, April 2021, p. 11.</w:t>
      </w:r>
    </w:p>
  </w:footnote>
  <w:footnote w:id="4">
    <w:p w14:paraId="19829DD2" w14:textId="096C8D72" w:rsidR="00F23AFF" w:rsidRPr="004D23F7" w:rsidRDefault="00F23AFF" w:rsidP="00F23AFF">
      <w:pPr>
        <w:pStyle w:val="FootnoteText"/>
        <w:ind w:left="357" w:hanging="357"/>
        <w:rPr>
          <w:rFonts w:asciiTheme="minorHAnsi" w:hAnsiTheme="minorHAnsi" w:cstheme="minorHAnsi"/>
          <w:lang w:val="en-US"/>
        </w:rPr>
      </w:pPr>
      <w:r w:rsidRPr="004D23F7">
        <w:rPr>
          <w:rStyle w:val="FootnoteReference"/>
          <w:rFonts w:asciiTheme="minorHAnsi" w:hAnsiTheme="minorHAnsi" w:cstheme="minorHAnsi"/>
        </w:rPr>
        <w:footnoteRef/>
      </w:r>
      <w:r w:rsidRPr="004D23F7">
        <w:rPr>
          <w:rFonts w:asciiTheme="minorHAnsi" w:hAnsiTheme="minorHAnsi" w:cstheme="minorHAnsi"/>
          <w:lang w:val="en-US"/>
        </w:rPr>
        <w:t xml:space="preserve"> </w:t>
      </w:r>
      <w:r w:rsidRPr="004D23F7">
        <w:rPr>
          <w:rFonts w:asciiTheme="minorHAnsi" w:hAnsiTheme="minorHAnsi" w:cstheme="minorHAnsi"/>
          <w:lang w:val="en-US"/>
        </w:rPr>
        <w:tab/>
        <w:t>Cf.</w:t>
      </w:r>
      <w:r>
        <w:rPr>
          <w:rFonts w:asciiTheme="minorHAnsi" w:hAnsiTheme="minorHAnsi" w:cstheme="minorHAnsi"/>
          <w:lang w:val="en-US"/>
        </w:rPr>
        <w:t xml:space="preserve"> Spengel, Concept and Necessity of a Common Tax Base – an academic introduction, Schön/Schreiber/ Spengel (Eds.), A Common Consolidated Tax Base for Europe, 2008, pp. 40-41</w:t>
      </w:r>
      <w:r w:rsidRPr="004D23F7">
        <w:rPr>
          <w:rFonts w:asciiTheme="minorHAnsi" w:hAnsiTheme="minorHAnsi"/>
          <w:lang w:val="en-US"/>
        </w:rPr>
        <w:t>.</w:t>
      </w:r>
    </w:p>
  </w:footnote>
  <w:footnote w:id="5">
    <w:p w14:paraId="1A06D38B" w14:textId="47F4BFB3" w:rsidR="0045600F" w:rsidRPr="004D23F7" w:rsidRDefault="0045600F" w:rsidP="0045600F">
      <w:pPr>
        <w:pStyle w:val="FootnoteText"/>
        <w:ind w:left="357" w:hanging="357"/>
        <w:rPr>
          <w:rFonts w:asciiTheme="minorHAnsi" w:hAnsiTheme="minorHAnsi" w:cstheme="minorHAnsi"/>
          <w:lang w:val="en-US"/>
        </w:rPr>
      </w:pPr>
      <w:r w:rsidRPr="004D23F7">
        <w:rPr>
          <w:rStyle w:val="FootnoteReference"/>
          <w:rFonts w:asciiTheme="minorHAnsi" w:hAnsiTheme="minorHAnsi" w:cstheme="minorHAnsi"/>
        </w:rPr>
        <w:footnoteRef/>
      </w:r>
      <w:r w:rsidRPr="004D23F7">
        <w:rPr>
          <w:rFonts w:asciiTheme="minorHAnsi" w:hAnsiTheme="minorHAnsi" w:cstheme="minorHAnsi"/>
          <w:lang w:val="en-US"/>
        </w:rPr>
        <w:t xml:space="preserve"> </w:t>
      </w:r>
      <w:r w:rsidRPr="004D23F7">
        <w:rPr>
          <w:rFonts w:asciiTheme="minorHAnsi" w:hAnsiTheme="minorHAnsi" w:cstheme="minorHAnsi"/>
          <w:lang w:val="en-US"/>
        </w:rPr>
        <w:tab/>
        <w:t>Cf.</w:t>
      </w:r>
      <w:r>
        <w:rPr>
          <w:rFonts w:asciiTheme="minorHAnsi" w:hAnsiTheme="minorHAnsi" w:cstheme="minorHAnsi"/>
          <w:lang w:val="en-US"/>
        </w:rPr>
        <w:t xml:space="preserve"> Proposal for a Council Directive on a Common Corporate Tax Base, COM(2016) 685 final</w:t>
      </w:r>
      <w:r w:rsidRPr="004D23F7">
        <w:rPr>
          <w:rFonts w:asciiTheme="minorHAnsi" w:hAnsiTheme="minorHAnsi"/>
          <w:lang w:val="en-US"/>
        </w:rPr>
        <w:t>.</w:t>
      </w:r>
    </w:p>
  </w:footnote>
  <w:footnote w:id="6">
    <w:p w14:paraId="46BC7C4B" w14:textId="772CFF31" w:rsidR="005653DD" w:rsidRPr="004D23F7" w:rsidRDefault="005653DD" w:rsidP="005653DD">
      <w:pPr>
        <w:pStyle w:val="FootnoteText"/>
        <w:ind w:left="357" w:hanging="357"/>
        <w:rPr>
          <w:rFonts w:asciiTheme="minorHAnsi" w:hAnsiTheme="minorHAnsi" w:cstheme="minorHAnsi"/>
          <w:lang w:val="en-US"/>
        </w:rPr>
      </w:pPr>
      <w:r w:rsidRPr="004D23F7">
        <w:rPr>
          <w:rStyle w:val="FootnoteReference"/>
          <w:rFonts w:asciiTheme="minorHAnsi" w:hAnsiTheme="minorHAnsi" w:cstheme="minorHAnsi"/>
        </w:rPr>
        <w:footnoteRef/>
      </w:r>
      <w:r w:rsidRPr="004D23F7">
        <w:rPr>
          <w:rFonts w:asciiTheme="minorHAnsi" w:hAnsiTheme="minorHAnsi" w:cstheme="minorHAnsi"/>
          <w:lang w:val="en-US"/>
        </w:rPr>
        <w:t xml:space="preserve"> </w:t>
      </w:r>
      <w:r w:rsidRPr="004D23F7">
        <w:rPr>
          <w:rFonts w:asciiTheme="minorHAnsi" w:hAnsiTheme="minorHAnsi" w:cstheme="minorHAnsi"/>
          <w:lang w:val="en-US"/>
        </w:rPr>
        <w:tab/>
        <w:t xml:space="preserve">Cf. </w:t>
      </w:r>
      <w:r w:rsidRPr="004D23F7">
        <w:rPr>
          <w:rFonts w:asciiTheme="minorHAnsi" w:hAnsiTheme="minorHAnsi"/>
          <w:lang w:val="en-US"/>
        </w:rPr>
        <w:t xml:space="preserve">U.S. Department of the Treasury, The Made in America Tax Plan, April 2021, p. </w:t>
      </w:r>
      <w:r w:rsidR="000401A0">
        <w:rPr>
          <w:rFonts w:asciiTheme="minorHAnsi" w:hAnsiTheme="minorHAnsi"/>
          <w:lang w:val="en-US"/>
        </w:rPr>
        <w:t>3</w:t>
      </w:r>
      <w:r w:rsidRPr="004D23F7">
        <w:rPr>
          <w:rFonts w:asciiTheme="minorHAnsi" w:hAnsiTheme="minorHAnsi"/>
          <w:lang w:val="en-US"/>
        </w:rPr>
        <w:t>.</w:t>
      </w:r>
    </w:p>
  </w:footnote>
  <w:footnote w:id="7">
    <w:p w14:paraId="4B915837" w14:textId="650C503B" w:rsidR="00616476" w:rsidRPr="004D23F7" w:rsidRDefault="00616476" w:rsidP="00616476">
      <w:pPr>
        <w:pStyle w:val="FootnoteText"/>
        <w:ind w:left="357" w:hanging="357"/>
        <w:rPr>
          <w:rFonts w:asciiTheme="minorHAnsi" w:hAnsiTheme="minorHAnsi" w:cstheme="minorHAnsi"/>
          <w:lang w:val="en-US"/>
        </w:rPr>
      </w:pPr>
      <w:r w:rsidRPr="004D23F7">
        <w:rPr>
          <w:rStyle w:val="FootnoteReference"/>
          <w:rFonts w:asciiTheme="minorHAnsi" w:hAnsiTheme="minorHAnsi" w:cstheme="minorHAnsi"/>
        </w:rPr>
        <w:footnoteRef/>
      </w:r>
      <w:r w:rsidRPr="004D23F7">
        <w:rPr>
          <w:rFonts w:asciiTheme="minorHAnsi" w:hAnsiTheme="minorHAnsi" w:cstheme="minorHAnsi"/>
          <w:lang w:val="en-US"/>
        </w:rPr>
        <w:t xml:space="preserve"> </w:t>
      </w:r>
      <w:r w:rsidRPr="004D23F7">
        <w:rPr>
          <w:rFonts w:asciiTheme="minorHAnsi" w:hAnsiTheme="minorHAnsi" w:cstheme="minorHAnsi"/>
          <w:lang w:val="en-US"/>
        </w:rPr>
        <w:tab/>
        <w:t xml:space="preserve">Cf. </w:t>
      </w:r>
      <w:r w:rsidRPr="00616476">
        <w:rPr>
          <w:rFonts w:asciiTheme="minorHAnsi" w:hAnsiTheme="minorHAnsi"/>
          <w:lang w:val="en-US"/>
        </w:rPr>
        <w:t>https://www.gov.uk/guidance/corporate-tax</w:t>
      </w:r>
      <w:r w:rsidRPr="004D23F7">
        <w:rPr>
          <w:rFonts w:asciiTheme="minorHAnsi" w:hAnsiTheme="minorHAnsi"/>
          <w:lang w:val="en-US"/>
        </w:rPr>
        <w:t>.</w:t>
      </w:r>
    </w:p>
  </w:footnote>
  <w:footnote w:id="8">
    <w:p w14:paraId="0F8A1F47" w14:textId="2C46E648" w:rsidR="0062537D" w:rsidRPr="004D23F7" w:rsidRDefault="0062537D" w:rsidP="0062537D">
      <w:pPr>
        <w:pStyle w:val="FootnoteText"/>
        <w:ind w:left="357" w:hanging="357"/>
        <w:rPr>
          <w:rFonts w:asciiTheme="minorHAnsi" w:hAnsiTheme="minorHAnsi" w:cstheme="minorHAnsi"/>
          <w:lang w:val="en-US"/>
        </w:rPr>
      </w:pPr>
      <w:r w:rsidRPr="004D23F7">
        <w:rPr>
          <w:rStyle w:val="FootnoteReference"/>
          <w:rFonts w:asciiTheme="minorHAnsi" w:hAnsiTheme="minorHAnsi" w:cstheme="minorHAnsi"/>
        </w:rPr>
        <w:footnoteRef/>
      </w:r>
      <w:r w:rsidRPr="004D23F7">
        <w:rPr>
          <w:rFonts w:asciiTheme="minorHAnsi" w:hAnsiTheme="minorHAnsi" w:cstheme="minorHAnsi"/>
          <w:lang w:val="en-US"/>
        </w:rPr>
        <w:t xml:space="preserve"> </w:t>
      </w:r>
      <w:r w:rsidRPr="004D23F7">
        <w:rPr>
          <w:rFonts w:asciiTheme="minorHAnsi" w:hAnsiTheme="minorHAnsi" w:cstheme="minorHAnsi"/>
          <w:lang w:val="en-US"/>
        </w:rPr>
        <w:tab/>
        <w:t>Cf.</w:t>
      </w:r>
      <w:r>
        <w:rPr>
          <w:rFonts w:asciiTheme="minorHAnsi" w:hAnsiTheme="minorHAnsi" w:cstheme="minorHAnsi"/>
          <w:lang w:val="en-US"/>
        </w:rPr>
        <w:t xml:space="preserve"> </w:t>
      </w:r>
      <w:r w:rsidR="0018655E">
        <w:rPr>
          <w:rFonts w:asciiTheme="minorHAnsi" w:hAnsiTheme="minorHAnsi" w:cstheme="minorHAnsi"/>
          <w:lang w:val="en-US"/>
        </w:rPr>
        <w:t>European Commission, Study and Reports on the VAT Gap in the EU-28 Member States (</w:t>
      </w:r>
      <w:r w:rsidR="0018655E" w:rsidRPr="0018655E">
        <w:rPr>
          <w:rFonts w:asciiTheme="minorHAnsi" w:hAnsiTheme="minorHAnsi" w:cstheme="minorHAnsi"/>
          <w:lang w:val="en-US"/>
        </w:rPr>
        <w:t>https://ec.europa.eu/taxation_customs/sites/taxation/files/vat-gap-full-report-2020_en.pdf</w:t>
      </w:r>
      <w:r w:rsidR="0018655E">
        <w:rPr>
          <w:rFonts w:asciiTheme="minorHAnsi" w:hAnsiTheme="minorHAnsi" w:cstheme="minorHAnsi"/>
          <w:lang w:val="en-US"/>
        </w:rPr>
        <w:t>)</w:t>
      </w:r>
      <w:r w:rsidRPr="004D23F7">
        <w:rPr>
          <w:rFonts w:asciiTheme="minorHAnsi" w:hAnsiTheme="minorHAnsi"/>
          <w:lang w:val="en-US"/>
        </w:rPr>
        <w:t>.</w:t>
      </w:r>
    </w:p>
  </w:footnote>
  <w:footnote w:id="9">
    <w:p w14:paraId="628E99BC" w14:textId="780DC194" w:rsidR="00560815" w:rsidRPr="004D23F7" w:rsidRDefault="00560815" w:rsidP="00560815">
      <w:pPr>
        <w:pStyle w:val="FootnoteText"/>
        <w:ind w:left="357" w:hanging="357"/>
        <w:rPr>
          <w:rFonts w:asciiTheme="minorHAnsi" w:hAnsiTheme="minorHAnsi" w:cstheme="minorHAnsi"/>
          <w:lang w:val="en-US"/>
        </w:rPr>
      </w:pPr>
      <w:r w:rsidRPr="004D23F7">
        <w:rPr>
          <w:rStyle w:val="FootnoteReference"/>
          <w:rFonts w:asciiTheme="minorHAnsi" w:hAnsiTheme="minorHAnsi" w:cstheme="minorHAnsi"/>
        </w:rPr>
        <w:footnoteRef/>
      </w:r>
      <w:r w:rsidRPr="004D23F7">
        <w:rPr>
          <w:rFonts w:asciiTheme="minorHAnsi" w:hAnsiTheme="minorHAnsi" w:cstheme="minorHAnsi"/>
          <w:lang w:val="en-US"/>
        </w:rPr>
        <w:t xml:space="preserve"> </w:t>
      </w:r>
      <w:r w:rsidRPr="004D23F7">
        <w:rPr>
          <w:rFonts w:asciiTheme="minorHAnsi" w:hAnsiTheme="minorHAnsi" w:cstheme="minorHAnsi"/>
          <w:lang w:val="en-US"/>
        </w:rPr>
        <w:tab/>
        <w:t>Cf.</w:t>
      </w:r>
      <w:r>
        <w:rPr>
          <w:rFonts w:asciiTheme="minorHAnsi" w:hAnsiTheme="minorHAnsi" w:cstheme="minorHAnsi"/>
          <w:lang w:val="en-US"/>
        </w:rPr>
        <w:t xml:space="preserve"> Proposal for a Council Directive on a Common Consolidated Corporate Tax Base (CCCTB), COM(2011) 121/4</w:t>
      </w:r>
      <w:r w:rsidRPr="004D23F7">
        <w:rPr>
          <w:rFonts w:asciiTheme="minorHAnsi" w:hAnsiTheme="minorHAnsi"/>
          <w:lang w:val="en-US"/>
        </w:rPr>
        <w:t>.</w:t>
      </w:r>
    </w:p>
  </w:footnote>
  <w:footnote w:id="10">
    <w:p w14:paraId="7E1C837E" w14:textId="65633C60" w:rsidR="007F0F13" w:rsidRPr="00F846FD" w:rsidRDefault="007F0F13" w:rsidP="007F0F13">
      <w:pPr>
        <w:pStyle w:val="FootnoteText"/>
        <w:ind w:left="357" w:hanging="357"/>
        <w:rPr>
          <w:rFonts w:asciiTheme="minorHAnsi" w:hAnsiTheme="minorHAnsi" w:cstheme="minorHAnsi"/>
          <w:lang w:val="en-US"/>
        </w:rPr>
      </w:pPr>
      <w:r w:rsidRPr="004D23F7">
        <w:rPr>
          <w:rStyle w:val="FootnoteReference"/>
          <w:rFonts w:asciiTheme="minorHAnsi" w:hAnsiTheme="minorHAnsi" w:cstheme="minorHAnsi"/>
        </w:rPr>
        <w:footnoteRef/>
      </w:r>
      <w:r w:rsidRPr="004D23F7">
        <w:rPr>
          <w:rFonts w:asciiTheme="minorHAnsi" w:hAnsiTheme="minorHAnsi" w:cstheme="minorHAnsi"/>
          <w:lang w:val="en-US"/>
        </w:rPr>
        <w:t xml:space="preserve"> </w:t>
      </w:r>
      <w:r w:rsidRPr="004D23F7">
        <w:rPr>
          <w:rFonts w:asciiTheme="minorHAnsi" w:hAnsiTheme="minorHAnsi" w:cstheme="minorHAnsi"/>
          <w:lang w:val="en-US"/>
        </w:rPr>
        <w:tab/>
      </w:r>
      <w:r w:rsidRPr="00F846FD">
        <w:rPr>
          <w:rFonts w:asciiTheme="minorHAnsi" w:hAnsiTheme="minorHAnsi" w:cstheme="minorHAnsi"/>
          <w:lang w:val="en-US"/>
        </w:rPr>
        <w:t xml:space="preserve">Cf. </w:t>
      </w:r>
      <w:r w:rsidR="00F846FD" w:rsidRPr="00F846FD">
        <w:rPr>
          <w:rFonts w:asciiTheme="minorHAnsi" w:hAnsiTheme="minorHAnsi" w:cstheme="minorHAnsi"/>
          <w:lang w:val="en-US"/>
        </w:rPr>
        <w:t xml:space="preserve">Olbert/Spengel, </w:t>
      </w:r>
      <w:r w:rsidR="00F846FD" w:rsidRPr="00F846FD">
        <w:rPr>
          <w:rFonts w:asciiTheme="minorHAnsi" w:hAnsiTheme="minorHAnsi" w:cstheme="minorHAnsi"/>
          <w:szCs w:val="24"/>
          <w:lang w:val="en-US"/>
        </w:rPr>
        <w:t xml:space="preserve">International Taxation in the Digital Economy: Challenge Accepted?, WTJ 2017, pp. 3-46; </w:t>
      </w:r>
      <w:r w:rsidRPr="00F846FD">
        <w:rPr>
          <w:rFonts w:asciiTheme="minorHAnsi" w:hAnsiTheme="minorHAnsi" w:cstheme="minorHAnsi"/>
          <w:lang w:val="en-US"/>
        </w:rPr>
        <w:t xml:space="preserve">Ludwig/Olbert/Spengel, </w:t>
      </w:r>
      <w:r w:rsidRPr="00F846FD">
        <w:rPr>
          <w:rFonts w:asciiTheme="minorHAnsi" w:hAnsiTheme="minorHAnsi" w:cstheme="minorHAnsi"/>
          <w:snapToGrid w:val="0"/>
          <w:szCs w:val="24"/>
          <w:lang w:val="en-US"/>
        </w:rPr>
        <w:t>Transfer Pricing for Data Businesses – How to Apply the Arm‘s Length Principle to the Digital Economy, Pistone/Webber (Eds.), T</w:t>
      </w:r>
      <w:r w:rsidRPr="00F846FD">
        <w:rPr>
          <w:rFonts w:asciiTheme="minorHAnsi" w:hAnsiTheme="minorHAnsi" w:cstheme="minorHAnsi"/>
          <w:lang w:val="en-US"/>
        </w:rPr>
        <w:t>axing the digital economy: the EU proposals and other insights</w:t>
      </w:r>
      <w:r w:rsidRPr="00F846FD">
        <w:rPr>
          <w:rFonts w:asciiTheme="minorHAnsi" w:hAnsiTheme="minorHAnsi" w:cstheme="minorHAnsi"/>
          <w:snapToGrid w:val="0"/>
          <w:szCs w:val="24"/>
          <w:lang w:val="en-US"/>
        </w:rPr>
        <w:t xml:space="preserve">, 2019, </w:t>
      </w:r>
      <w:r w:rsidR="00F846FD" w:rsidRPr="00F846FD">
        <w:rPr>
          <w:rFonts w:asciiTheme="minorHAnsi" w:hAnsiTheme="minorHAnsi" w:cstheme="minorHAnsi"/>
          <w:snapToGrid w:val="0"/>
          <w:szCs w:val="24"/>
          <w:lang w:val="en-US"/>
        </w:rPr>
        <w:t>pp</w:t>
      </w:r>
      <w:r w:rsidRPr="00F846FD">
        <w:rPr>
          <w:rFonts w:asciiTheme="minorHAnsi" w:hAnsiTheme="minorHAnsi" w:cstheme="minorHAnsi"/>
          <w:snapToGrid w:val="0"/>
          <w:szCs w:val="24"/>
          <w:lang w:val="en-US"/>
        </w:rPr>
        <w:t>. 27-4</w:t>
      </w:r>
      <w:r w:rsidR="00F846FD" w:rsidRPr="00F846FD">
        <w:rPr>
          <w:rFonts w:asciiTheme="minorHAnsi" w:hAnsiTheme="minorHAnsi" w:cstheme="minorHAnsi"/>
          <w:snapToGrid w:val="0"/>
          <w:szCs w:val="24"/>
          <w:lang w:val="en-US"/>
        </w:rPr>
        <w:t>7.</w:t>
      </w:r>
    </w:p>
  </w:footnote>
  <w:footnote w:id="11">
    <w:p w14:paraId="22935542" w14:textId="786DEFD5" w:rsidR="004F5719" w:rsidRPr="004F5719" w:rsidRDefault="004F5719" w:rsidP="004F5719">
      <w:pPr>
        <w:pStyle w:val="FootnoteText"/>
        <w:ind w:left="357" w:hanging="357"/>
        <w:rPr>
          <w:rFonts w:asciiTheme="minorHAnsi" w:hAnsiTheme="minorHAnsi" w:cstheme="minorHAnsi"/>
          <w:snapToGrid w:val="0"/>
          <w:szCs w:val="24"/>
          <w:lang w:val="en-US"/>
        </w:rPr>
      </w:pPr>
      <w:r w:rsidRPr="004D23F7">
        <w:rPr>
          <w:rStyle w:val="FootnoteReference"/>
          <w:rFonts w:asciiTheme="minorHAnsi" w:hAnsiTheme="minorHAnsi" w:cstheme="minorHAnsi"/>
        </w:rPr>
        <w:footnoteRef/>
      </w:r>
      <w:r w:rsidRPr="004F5719">
        <w:rPr>
          <w:rFonts w:asciiTheme="minorHAnsi" w:hAnsiTheme="minorHAnsi" w:cstheme="minorHAnsi"/>
          <w:lang w:val="en-US"/>
        </w:rPr>
        <w:t xml:space="preserve"> </w:t>
      </w:r>
      <w:r w:rsidRPr="004F5719">
        <w:rPr>
          <w:rFonts w:asciiTheme="minorHAnsi" w:hAnsiTheme="minorHAnsi" w:cstheme="minorHAnsi"/>
          <w:lang w:val="en-US"/>
        </w:rPr>
        <w:tab/>
      </w:r>
      <w:r w:rsidRPr="004F5719">
        <w:rPr>
          <w:rFonts w:asciiTheme="minorHAnsi" w:hAnsiTheme="minorHAnsi" w:cstheme="minorHAnsi"/>
          <w:snapToGrid w:val="0"/>
          <w:szCs w:val="24"/>
          <w:lang w:val="en-US"/>
        </w:rPr>
        <w:t>Cf. Devereux/Auerbach/Keen/Oosterhuis/Schön/Vella, Residual Profit Allocation by Income</w:t>
      </w:r>
      <w:r>
        <w:rPr>
          <w:rFonts w:asciiTheme="minorHAnsi" w:hAnsiTheme="minorHAnsi" w:cstheme="minorHAnsi"/>
          <w:snapToGrid w:val="0"/>
          <w:szCs w:val="24"/>
          <w:lang w:val="en-US"/>
        </w:rPr>
        <w:t>, 2019</w:t>
      </w:r>
      <w:r w:rsidRPr="004F5719">
        <w:rPr>
          <w:rFonts w:asciiTheme="minorHAnsi" w:hAnsiTheme="minorHAnsi" w:cstheme="minorHAnsi"/>
          <w:snapToGrid w:val="0"/>
          <w:szCs w:val="24"/>
          <w:lang w:val="en-US"/>
        </w:rPr>
        <w:t>. SSRN Scholarly Paper No. ID 3358291. Available at: https://papers.ssrn.com/abstract=3358291</w:t>
      </w:r>
      <w:r w:rsidRPr="00F846FD">
        <w:rPr>
          <w:rFonts w:asciiTheme="minorHAnsi" w:hAnsiTheme="minorHAnsi" w:cstheme="minorHAnsi"/>
          <w:snapToGrid w:val="0"/>
          <w:szCs w:val="24"/>
          <w:lang w:val="en-US"/>
        </w:rPr>
        <w:t>.</w:t>
      </w:r>
    </w:p>
  </w:footnote>
  <w:footnote w:id="12">
    <w:p w14:paraId="71EF8E26" w14:textId="2A73E456" w:rsidR="004F5719" w:rsidRPr="004F5719" w:rsidRDefault="004F5719" w:rsidP="004F5719">
      <w:pPr>
        <w:pStyle w:val="FootnoteText"/>
        <w:ind w:left="357" w:hanging="357"/>
        <w:rPr>
          <w:rFonts w:asciiTheme="minorHAnsi" w:hAnsiTheme="minorHAnsi" w:cstheme="minorHAnsi"/>
          <w:snapToGrid w:val="0"/>
          <w:szCs w:val="24"/>
          <w:lang w:val="en-US"/>
        </w:rPr>
      </w:pPr>
      <w:r w:rsidRPr="004D23F7">
        <w:rPr>
          <w:rStyle w:val="FootnoteReference"/>
          <w:rFonts w:asciiTheme="minorHAnsi" w:hAnsiTheme="minorHAnsi" w:cstheme="minorHAnsi"/>
        </w:rPr>
        <w:footnoteRef/>
      </w:r>
      <w:r w:rsidRPr="004D23F7">
        <w:rPr>
          <w:rFonts w:asciiTheme="minorHAnsi" w:hAnsiTheme="minorHAnsi" w:cstheme="minorHAnsi"/>
          <w:lang w:val="en-US"/>
        </w:rPr>
        <w:t xml:space="preserve"> </w:t>
      </w:r>
      <w:r w:rsidRPr="004D23F7">
        <w:rPr>
          <w:rFonts w:asciiTheme="minorHAnsi" w:hAnsiTheme="minorHAnsi" w:cstheme="minorHAnsi"/>
          <w:lang w:val="en-US"/>
        </w:rPr>
        <w:tab/>
      </w:r>
      <w:r w:rsidRPr="004F5719">
        <w:rPr>
          <w:rFonts w:asciiTheme="minorHAnsi" w:hAnsiTheme="minorHAnsi" w:cstheme="minorHAnsi"/>
          <w:snapToGrid w:val="0"/>
          <w:szCs w:val="24"/>
          <w:lang w:val="en-US"/>
        </w:rPr>
        <w:t>Cf</w:t>
      </w:r>
      <w:r>
        <w:rPr>
          <w:rFonts w:asciiTheme="minorHAnsi" w:hAnsiTheme="minorHAnsi" w:cstheme="minorHAnsi"/>
          <w:snapToGrid w:val="0"/>
          <w:szCs w:val="24"/>
          <w:lang w:val="en-US"/>
        </w:rPr>
        <w:t>.</w:t>
      </w:r>
      <w:r w:rsidRPr="004F5719">
        <w:rPr>
          <w:rFonts w:asciiTheme="minorHAnsi" w:hAnsiTheme="minorHAnsi" w:cstheme="minorHAnsi"/>
          <w:snapToGrid w:val="0"/>
          <w:szCs w:val="24"/>
          <w:lang w:val="en-US"/>
        </w:rPr>
        <w:t xml:space="preserve"> Avi-Yonah/Benshalom, Formulary apportionment: Myths and prospects-promoting better international tax policy and utilizing the misunderstood and under-theorized formulary alternative, WTJ 2011, pp. 371-398.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B94FA" w14:textId="77777777" w:rsidR="00E6082C" w:rsidRDefault="00E6082C" w:rsidP="00E6082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4F2C2F" w14:textId="77777777" w:rsidR="00E6082C" w:rsidRDefault="00E6082C" w:rsidP="00CE2B9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20A92" w14:textId="6C1419BE" w:rsidR="00E6082C" w:rsidRPr="00AA311D" w:rsidRDefault="002A4A5D" w:rsidP="00AA311D">
    <w:pPr>
      <w:pStyle w:val="Header"/>
      <w:rPr>
        <w:rFonts w:ascii="Calibri" w:hAnsi="Calibri"/>
        <w:sz w:val="20"/>
        <w:lang w:val="en-US" w:eastAsia="zh-CN"/>
      </w:rPr>
    </w:pPr>
    <w:r w:rsidRPr="002A4A5D">
      <w:rPr>
        <w:rFonts w:asciiTheme="minorHAnsi" w:hAnsiTheme="minorHAnsi"/>
        <w:sz w:val="20"/>
        <w:lang w:val="en-US"/>
      </w:rPr>
      <w:t>European Economic and Social Committee – International Monetary Fund</w:t>
    </w:r>
    <w:r w:rsidR="00A00792">
      <w:rPr>
        <w:rStyle w:val="PageNumber"/>
        <w:rFonts w:ascii="Calibri" w:hAnsi="Calibri"/>
        <w:sz w:val="20"/>
        <w:lang w:val="en-US" w:eastAsia="zh-CN"/>
      </w:rPr>
      <w:br/>
    </w:r>
    <w:r w:rsidRPr="002A4A5D">
      <w:rPr>
        <w:rFonts w:asciiTheme="minorHAnsi" w:hAnsiTheme="minorHAnsi"/>
        <w:sz w:val="20"/>
        <w:lang w:val="en-US"/>
      </w:rPr>
      <w:t>“Taxing Multinationals in Europe”</w:t>
    </w:r>
    <w:r w:rsidR="00AA311D" w:rsidRPr="00AA311D">
      <w:rPr>
        <w:rStyle w:val="PageNumber"/>
        <w:rFonts w:ascii="Calibri" w:hAnsi="Calibri"/>
        <w:sz w:val="20"/>
        <w:lang w:val="en-US" w:eastAsia="zh-CN"/>
      </w:rPr>
      <w:t xml:space="preserve">, </w:t>
    </w:r>
    <w:r>
      <w:rPr>
        <w:rStyle w:val="PageNumber"/>
        <w:rFonts w:ascii="Calibri" w:hAnsi="Calibri"/>
        <w:sz w:val="20"/>
        <w:lang w:val="en-US" w:eastAsia="zh-CN"/>
      </w:rPr>
      <w:t xml:space="preserve">Joint Public Debate, </w:t>
    </w:r>
    <w:r w:rsidR="00AA311D" w:rsidRPr="00AA311D">
      <w:rPr>
        <w:rStyle w:val="PageNumber"/>
        <w:rFonts w:ascii="Calibri" w:hAnsi="Calibri"/>
        <w:sz w:val="20"/>
        <w:lang w:val="en-US" w:eastAsia="zh-CN"/>
      </w:rPr>
      <w:t>2</w:t>
    </w:r>
    <w:r>
      <w:rPr>
        <w:rStyle w:val="PageNumber"/>
        <w:rFonts w:ascii="Calibri" w:hAnsi="Calibri"/>
        <w:sz w:val="20"/>
        <w:lang w:val="en-US" w:eastAsia="zh-CN"/>
      </w:rPr>
      <w:t>5</w:t>
    </w:r>
    <w:r w:rsidR="00AA311D" w:rsidRPr="00AA311D">
      <w:rPr>
        <w:rStyle w:val="PageNumber"/>
        <w:rFonts w:ascii="Calibri" w:hAnsi="Calibri"/>
        <w:sz w:val="20"/>
        <w:lang w:val="en-US" w:eastAsia="zh-CN"/>
      </w:rPr>
      <w:t xml:space="preserve"> </w:t>
    </w:r>
    <w:r>
      <w:rPr>
        <w:rStyle w:val="PageNumber"/>
        <w:rFonts w:ascii="Calibri" w:hAnsi="Calibri"/>
        <w:sz w:val="20"/>
        <w:lang w:val="en-US" w:eastAsia="zh-CN"/>
      </w:rPr>
      <w:t>Ma</w:t>
    </w:r>
    <w:r w:rsidR="00AA311D" w:rsidRPr="00AA311D">
      <w:rPr>
        <w:rStyle w:val="PageNumber"/>
        <w:rFonts w:ascii="Calibri" w:hAnsi="Calibri"/>
        <w:sz w:val="20"/>
        <w:lang w:val="en-US" w:eastAsia="zh-CN"/>
      </w:rPr>
      <w:t>y 2021</w:t>
    </w:r>
  </w:p>
  <w:p w14:paraId="7D1C5588" w14:textId="00214C11" w:rsidR="00E6082C" w:rsidRPr="00AA311D" w:rsidRDefault="00E6082C" w:rsidP="00471409">
    <w:pPr>
      <w:pStyle w:val="Header"/>
      <w:framePr w:wrap="none" w:vAnchor="text" w:hAnchor="page" w:x="9902" w:y="34"/>
      <w:rPr>
        <w:rStyle w:val="PageNumber"/>
        <w:sz w:val="20"/>
        <w:lang w:val="en-US"/>
      </w:rPr>
    </w:pPr>
    <w:r w:rsidRPr="00AA311D">
      <w:rPr>
        <w:rStyle w:val="PageNumber"/>
        <w:rFonts w:ascii="Calibri" w:hAnsi="Calibri"/>
        <w:sz w:val="20"/>
        <w:lang w:val="en-US" w:eastAsia="zh-CN"/>
      </w:rPr>
      <w:t xml:space="preserve">Page </w:t>
    </w:r>
    <w:r w:rsidRPr="00AA311D">
      <w:rPr>
        <w:rStyle w:val="PageNumber"/>
        <w:rFonts w:ascii="Calibri" w:hAnsi="Calibri"/>
        <w:sz w:val="20"/>
      </w:rPr>
      <w:fldChar w:fldCharType="begin"/>
    </w:r>
    <w:r w:rsidRPr="00AA311D">
      <w:rPr>
        <w:rStyle w:val="PageNumber"/>
        <w:rFonts w:ascii="Calibri" w:hAnsi="Calibri"/>
        <w:sz w:val="20"/>
        <w:lang w:val="en-US"/>
      </w:rPr>
      <w:instrText xml:space="preserve">PAGE  </w:instrText>
    </w:r>
    <w:r w:rsidRPr="00AA311D">
      <w:rPr>
        <w:rStyle w:val="PageNumber"/>
        <w:rFonts w:ascii="Calibri" w:hAnsi="Calibri"/>
        <w:sz w:val="20"/>
      </w:rPr>
      <w:fldChar w:fldCharType="separate"/>
    </w:r>
    <w:r w:rsidR="00B769B3">
      <w:rPr>
        <w:rStyle w:val="PageNumber"/>
        <w:rFonts w:ascii="Calibri" w:hAnsi="Calibri"/>
        <w:noProof/>
        <w:sz w:val="20"/>
        <w:lang w:val="en-US"/>
      </w:rPr>
      <w:t>4</w:t>
    </w:r>
    <w:r w:rsidRPr="00AA311D">
      <w:rPr>
        <w:rStyle w:val="PageNumber"/>
        <w:rFonts w:ascii="Calibri" w:hAnsi="Calibri"/>
        <w:sz w:val="20"/>
      </w:rPr>
      <w:fldChar w:fldCharType="end"/>
    </w:r>
  </w:p>
  <w:p w14:paraId="430A4216" w14:textId="77777777" w:rsidR="00E6082C" w:rsidRPr="00AA311D" w:rsidRDefault="00E6082C" w:rsidP="00CE2B90">
    <w:pPr>
      <w:pStyle w:val="Header"/>
      <w:spacing w:before="0"/>
      <w:ind w:right="360"/>
      <w:rPr>
        <w:rFonts w:ascii="Calibri" w:hAnsi="Calibri"/>
        <w:sz w:val="20"/>
        <w:lang w:val="en-US"/>
      </w:rPr>
    </w:pPr>
  </w:p>
  <w:p w14:paraId="7B960D3F" w14:textId="7A0317E1" w:rsidR="00E6082C" w:rsidRPr="00AA311D" w:rsidRDefault="00AA311D" w:rsidP="00CE2B90">
    <w:pPr>
      <w:pStyle w:val="Header"/>
      <w:pBdr>
        <w:bottom w:val="single" w:sz="4" w:space="1" w:color="auto"/>
      </w:pBdr>
      <w:spacing w:before="0"/>
      <w:rPr>
        <w:rFonts w:ascii="Calibri" w:hAnsi="Calibri"/>
        <w:sz w:val="20"/>
        <w:lang w:val="en-US"/>
      </w:rPr>
    </w:pPr>
    <w:r w:rsidRPr="00AA311D">
      <w:rPr>
        <w:rFonts w:ascii="Calibri" w:hAnsi="Calibri"/>
        <w:sz w:val="20"/>
        <w:lang w:val="en-US"/>
      </w:rPr>
      <w:t>Statement by Prof. Dr. Christoph Spengel</w:t>
    </w:r>
    <w:r w:rsidR="00FC7DED">
      <w:rPr>
        <w:rFonts w:ascii="Calibri" w:hAnsi="Calibri"/>
        <w:sz w:val="20"/>
        <w:lang w:val="en-US"/>
      </w:rPr>
      <w:t xml:space="preserve"> (University of Mannheim, Business School)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11A45" w14:textId="094E6DD0" w:rsidR="00E6082C" w:rsidRPr="00CD2C69" w:rsidRDefault="00E6082C" w:rsidP="008C52AC">
    <w:pPr>
      <w:tabs>
        <w:tab w:val="left" w:pos="709"/>
        <w:tab w:val="left" w:pos="1418"/>
        <w:tab w:val="left" w:pos="2127"/>
      </w:tabs>
      <w:ind w:left="3545" w:firstLine="709"/>
    </w:pPr>
    <w:r>
      <w:rPr>
        <w:rFonts w:ascii="Trajan" w:hAnsi="Trajan"/>
        <w:b/>
        <w:bCs/>
        <w:noProof/>
        <w:color w:val="022E58"/>
        <w:sz w:val="22"/>
        <w:lang w:val="fr-BE" w:eastAsia="fr-BE"/>
      </w:rPr>
      <w:drawing>
        <wp:anchor distT="0" distB="0" distL="114300" distR="114300" simplePos="0" relativeHeight="251668992" behindDoc="0" locked="0" layoutInCell="1" allowOverlap="1" wp14:anchorId="2E5DFAB2" wp14:editId="332FACAA">
          <wp:simplePos x="0" y="0"/>
          <wp:positionH relativeFrom="column">
            <wp:posOffset>3990975</wp:posOffset>
          </wp:positionH>
          <wp:positionV relativeFrom="paragraph">
            <wp:posOffset>95250</wp:posOffset>
          </wp:positionV>
          <wp:extent cx="2543149" cy="955269"/>
          <wp:effectExtent l="0" t="0" r="0" b="1016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_Organisation\Alle Mitarbeiter\Denys\Briefköpfe\Rechnungswesen.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43149" cy="9552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BE" w:eastAsia="fr-BE"/>
      </w:rPr>
      <w:drawing>
        <wp:anchor distT="0" distB="0" distL="114300" distR="114300" simplePos="0" relativeHeight="251667968" behindDoc="0" locked="0" layoutInCell="1" allowOverlap="1" wp14:anchorId="22068937" wp14:editId="6FCAC73D">
          <wp:simplePos x="0" y="0"/>
          <wp:positionH relativeFrom="column">
            <wp:posOffset>-391449</wp:posOffset>
          </wp:positionH>
          <wp:positionV relativeFrom="paragraph">
            <wp:posOffset>-95885</wp:posOffset>
          </wp:positionV>
          <wp:extent cx="3043555" cy="1280795"/>
          <wp:effectExtent l="0" t="0" r="4445" b="0"/>
          <wp:wrapNone/>
          <wp:docPr id="1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_Organisation\Alle Mitarbeiter\Denys\Briefköpfe\04_UM_FFB_DE_Schwarz.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043555" cy="1280795"/>
                  </a:xfrm>
                  <a:prstGeom prst="rect">
                    <a:avLst/>
                  </a:prstGeom>
                  <a:noFill/>
                  <a:ln>
                    <a:noFill/>
                  </a:ln>
                </pic:spPr>
              </pic:pic>
            </a:graphicData>
          </a:graphic>
        </wp:anchor>
      </w:drawing>
    </w:r>
    <w:r>
      <w:rPr>
        <w:noProof/>
        <w:sz w:val="20"/>
        <w:lang w:val="fr-BE" w:eastAsia="fr-BE"/>
      </w:rPr>
      <mc:AlternateContent>
        <mc:Choice Requires="wps">
          <w:drawing>
            <wp:anchor distT="4294967294" distB="4294967294" distL="114300" distR="114300" simplePos="0" relativeHeight="251663872" behindDoc="0" locked="0" layoutInCell="1" allowOverlap="1" wp14:anchorId="514A5B35" wp14:editId="24631CA3">
              <wp:simplePos x="0" y="0"/>
              <wp:positionH relativeFrom="page">
                <wp:posOffset>180340</wp:posOffset>
              </wp:positionH>
              <wp:positionV relativeFrom="page">
                <wp:posOffset>7129144</wp:posOffset>
              </wp:positionV>
              <wp:extent cx="107950" cy="0"/>
              <wp:effectExtent l="0" t="0" r="19050" b="25400"/>
              <wp:wrapNone/>
              <wp:docPr id="14" name="Gerade Verbindung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9DDEE6" id="Gerade Verbindung 14" o:spid="_x0000_s1026" style="position:absolute;left:0;text-align:left;z-index:251663872;visibility:visible;mso-wrap-style:square;mso-width-percent:0;mso-height-percent:0;mso-wrap-distance-left:9pt;mso-wrap-distance-top:-2emu;mso-wrap-distance-right:9pt;mso-wrap-distance-bottom:-2emu;mso-position-horizontal:absolute;mso-position-horizontal-relative:page;mso-position-vertical:absolute;mso-position-vertical-relative:page;mso-width-percent:0;mso-height-percent:0;mso-width-relative:margin;mso-height-relative:page" from="14.2pt,561.35pt" to="22.7pt,56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" strokecolor="black [3040]" strokeweight=".25pt">
              <o:lock v:ext="edit" shapetype="f"/>
              <w10:wrap anchorx="page" anchory="page"/>
            </v:line>
          </w:pict>
        </mc:Fallback>
      </mc:AlternateContent>
    </w:r>
    <w:r>
      <w:rPr>
        <w:noProof/>
        <w:color w:val="000000" w:themeColor="text1"/>
        <w:sz w:val="20"/>
        <w:lang w:val="fr-BE" w:eastAsia="fr-BE"/>
      </w:rPr>
      <mc:AlternateContent>
        <mc:Choice Requires="wps">
          <w:drawing>
            <wp:anchor distT="4294967294" distB="4294967294" distL="114300" distR="114300" simplePos="0" relativeHeight="251661824" behindDoc="0" locked="0" layoutInCell="1" allowOverlap="1" wp14:anchorId="2C99D766" wp14:editId="70BF81A9">
              <wp:simplePos x="0" y="0"/>
              <wp:positionH relativeFrom="page">
                <wp:posOffset>180340</wp:posOffset>
              </wp:positionH>
              <wp:positionV relativeFrom="page">
                <wp:posOffset>3564254</wp:posOffset>
              </wp:positionV>
              <wp:extent cx="107950" cy="0"/>
              <wp:effectExtent l="0" t="0" r="19050" b="25400"/>
              <wp:wrapNone/>
              <wp:docPr id="13" name="Gerade Verbindung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1F780C" id="Gerade Verbindung 13" o:spid="_x0000_s1026" style="position:absolute;left:0;text-align:left;z-index:251661824;visibility:visible;mso-wrap-style:square;mso-width-percent:0;mso-height-percent:0;mso-wrap-distance-left:9pt;mso-wrap-distance-top:-2emu;mso-wrap-distance-right:9pt;mso-wrap-distance-bottom:-2emu;mso-position-horizontal:absolute;mso-position-horizontal-relative:page;mso-position-vertical:absolute;mso-position-vertical-relative:page;mso-width-percent:0;mso-height-percent:0;mso-width-relative:margin;mso-height-relative:margin" from="14.2pt,280.65pt" to="22.7pt,28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" strokecolor="black [3040]" strokeweight=".25pt">
              <o:lock v:ext="edit" shapetype="f"/>
              <w10:wrap anchorx="page" anchory="page"/>
            </v:line>
          </w:pict>
        </mc:Fallback>
      </mc:AlternateContent>
    </w:r>
    <w:r>
      <w:rPr>
        <w:noProof/>
        <w:lang w:val="fr-BE" w:eastAsia="fr-BE"/>
      </w:rPr>
      <mc:AlternateContent>
        <mc:Choice Requires="wps">
          <w:drawing>
            <wp:anchor distT="0" distB="0" distL="114300" distR="114300" simplePos="0" relativeHeight="251658752" behindDoc="1" locked="1" layoutInCell="1" allowOverlap="1" wp14:anchorId="24E9210C" wp14:editId="10E3224B">
              <wp:simplePos x="0" y="0"/>
              <wp:positionH relativeFrom="page">
                <wp:posOffset>288290</wp:posOffset>
              </wp:positionH>
              <wp:positionV relativeFrom="page">
                <wp:posOffset>5292725</wp:posOffset>
              </wp:positionV>
              <wp:extent cx="113030" cy="140970"/>
              <wp:effectExtent l="0" t="0" r="13970" b="1143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51DF8" w14:textId="77777777" w:rsidR="00E6082C" w:rsidRDefault="00E6082C">
                          <w:r>
                            <w:rPr>
                              <w:noProof/>
                              <w:lang w:val="fr-BE" w:eastAsia="fr-BE"/>
                            </w:rPr>
                            <w:drawing>
                              <wp:inline distT="0" distB="0" distL="0" distR="0" wp14:anchorId="58DA93D9" wp14:editId="5466C8E4">
                                <wp:extent cx="116840" cy="139065"/>
                                <wp:effectExtent l="0" t="0" r="0" b="0"/>
                                <wp:docPr id="1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840" cy="13906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4E9210C" id="_x0000_t202" coordsize="21600,21600" o:spt="202" path="m,l,21600r21600,l21600,xe">
              <v:stroke joinstyle="miter"/>
              <v:path gradientshapeok="t" o:connecttype="rect"/>
            </v:shapetype>
            <v:shape id="_x0000_s1029" type="#_x0000_t202" style="position:absolute;left:0;text-align:left;margin-left:22.7pt;margin-top:416.75pt;width:8.9pt;height:11.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" filled="f" stroked="f">
              <v:textbox inset="0,0,0,0">
                <w:txbxContent>
                  <w:p w14:paraId="45F51DF8" w14:textId="77777777" w:rsidR="00E6082C" w:rsidRDefault="00E6082C">
                    <w:r>
                      <w:rPr>
                        <w:noProof/>
                      </w:rPr>
                      <w:drawing>
                        <wp:inline distT="0" distB="0" distL="0" distR="0" wp14:anchorId="58DA93D9" wp14:editId="5466C8E4">
                          <wp:extent cx="116840" cy="139065"/>
                          <wp:effectExtent l="0" t="0" r="0" b="0"/>
                          <wp:docPr id="1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840" cy="139065"/>
                                  </a:xfrm>
                                  <a:prstGeom prst="rect">
                                    <a:avLst/>
                                  </a:prstGeom>
                                  <a:noFill/>
                                  <a:ln>
                                    <a:noFill/>
                                  </a:ln>
                                </pic:spPr>
                              </pic:pic>
                            </a:graphicData>
                          </a:graphic>
                        </wp:inline>
                      </w:drawing>
                    </w:r>
                  </w:p>
                </w:txbxContent>
              </v:textbox>
              <w10:wrap anchorx="page" anchory="page"/>
              <w10:anchorlock/>
            </v:shape>
          </w:pict>
        </mc:Fallback>
      </mc:AlternateContent>
    </w:r>
    <w:r>
      <w:rPr>
        <w:noProof/>
        <w:lang w:val="fr-BE" w:eastAsia="fr-BE"/>
      </w:rPr>
      <mc:AlternateContent>
        <mc:Choice Requires="wps">
          <w:drawing>
            <wp:anchor distT="0" distB="0" distL="114300" distR="114300" simplePos="0" relativeHeight="251657728" behindDoc="1" locked="1" layoutInCell="1" allowOverlap="1" wp14:anchorId="1EA59DA8" wp14:editId="7AFA5240">
              <wp:simplePos x="0" y="0"/>
              <wp:positionH relativeFrom="page">
                <wp:posOffset>288290</wp:posOffset>
              </wp:positionH>
              <wp:positionV relativeFrom="page">
                <wp:posOffset>3546475</wp:posOffset>
              </wp:positionV>
              <wp:extent cx="113665" cy="173990"/>
              <wp:effectExtent l="0" t="0" r="13335" b="381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B0546" w14:textId="77777777" w:rsidR="00E6082C" w:rsidRDefault="00E6082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A59DA8" id="Text Box 9" o:spid="_x0000_s1030" type="#_x0000_t202" style="position:absolute;left:0;text-align:left;margin-left:22.7pt;margin-top:279.25pt;width:8.95pt;height:13.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V5ksQIAAK8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" filled="f" stroked="f">
              <v:textbox inset="0,0,0,0">
                <w:txbxContent>
                  <w:p w14:paraId="71DB0546" w14:textId="77777777" w:rsidR="00E6082C" w:rsidRDefault="00E6082C"/>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00302"/>
    <w:multiLevelType w:val="hybridMultilevel"/>
    <w:tmpl w:val="D2A6D436"/>
    <w:lvl w:ilvl="0" w:tplc="DA6CE474">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1A6C5B3D"/>
    <w:multiLevelType w:val="hybridMultilevel"/>
    <w:tmpl w:val="F46A36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819772D"/>
    <w:multiLevelType w:val="hybridMultilevel"/>
    <w:tmpl w:val="9F04E0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9BF46DE"/>
    <w:multiLevelType w:val="hybridMultilevel"/>
    <w:tmpl w:val="0414C122"/>
    <w:lvl w:ilvl="0" w:tplc="BD1A484C">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EDA27BF"/>
    <w:multiLevelType w:val="hybridMultilevel"/>
    <w:tmpl w:val="3D2AF2E4"/>
    <w:lvl w:ilvl="0" w:tplc="BF688EC2">
      <w:start w:val="1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EBA2004"/>
    <w:multiLevelType w:val="hybridMultilevel"/>
    <w:tmpl w:val="F46A36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F334166"/>
    <w:multiLevelType w:val="hybridMultilevel"/>
    <w:tmpl w:val="57689464"/>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52E48BB"/>
    <w:multiLevelType w:val="hybridMultilevel"/>
    <w:tmpl w:val="F46A36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D686286"/>
    <w:multiLevelType w:val="hybridMultilevel"/>
    <w:tmpl w:val="074AEC10"/>
    <w:lvl w:ilvl="0" w:tplc="312E3C7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8E93AC3"/>
    <w:multiLevelType w:val="hybridMultilevel"/>
    <w:tmpl w:val="25C66E28"/>
    <w:lvl w:ilvl="0" w:tplc="81E6D6E8">
      <w:start w:val="1"/>
      <w:numFmt w:val="bullet"/>
      <w:lvlText w:val="•"/>
      <w:lvlJc w:val="left"/>
      <w:pPr>
        <w:tabs>
          <w:tab w:val="num" w:pos="720"/>
        </w:tabs>
        <w:ind w:left="720" w:hanging="360"/>
      </w:pPr>
      <w:rPr>
        <w:rFonts w:ascii="Arial" w:hAnsi="Arial" w:hint="default"/>
      </w:rPr>
    </w:lvl>
    <w:lvl w:ilvl="1" w:tplc="10FAAF36" w:tentative="1">
      <w:start w:val="1"/>
      <w:numFmt w:val="bullet"/>
      <w:lvlText w:val="•"/>
      <w:lvlJc w:val="left"/>
      <w:pPr>
        <w:tabs>
          <w:tab w:val="num" w:pos="1440"/>
        </w:tabs>
        <w:ind w:left="1440" w:hanging="360"/>
      </w:pPr>
      <w:rPr>
        <w:rFonts w:ascii="Arial" w:hAnsi="Arial" w:hint="default"/>
      </w:rPr>
    </w:lvl>
    <w:lvl w:ilvl="2" w:tplc="32C65B70" w:tentative="1">
      <w:start w:val="1"/>
      <w:numFmt w:val="bullet"/>
      <w:lvlText w:val="•"/>
      <w:lvlJc w:val="left"/>
      <w:pPr>
        <w:tabs>
          <w:tab w:val="num" w:pos="2160"/>
        </w:tabs>
        <w:ind w:left="2160" w:hanging="360"/>
      </w:pPr>
      <w:rPr>
        <w:rFonts w:ascii="Arial" w:hAnsi="Arial" w:hint="default"/>
      </w:rPr>
    </w:lvl>
    <w:lvl w:ilvl="3" w:tplc="4CE8B71A" w:tentative="1">
      <w:start w:val="1"/>
      <w:numFmt w:val="bullet"/>
      <w:lvlText w:val="•"/>
      <w:lvlJc w:val="left"/>
      <w:pPr>
        <w:tabs>
          <w:tab w:val="num" w:pos="2880"/>
        </w:tabs>
        <w:ind w:left="2880" w:hanging="360"/>
      </w:pPr>
      <w:rPr>
        <w:rFonts w:ascii="Arial" w:hAnsi="Arial" w:hint="default"/>
      </w:rPr>
    </w:lvl>
    <w:lvl w:ilvl="4" w:tplc="04AEF078" w:tentative="1">
      <w:start w:val="1"/>
      <w:numFmt w:val="bullet"/>
      <w:lvlText w:val="•"/>
      <w:lvlJc w:val="left"/>
      <w:pPr>
        <w:tabs>
          <w:tab w:val="num" w:pos="3600"/>
        </w:tabs>
        <w:ind w:left="3600" w:hanging="360"/>
      </w:pPr>
      <w:rPr>
        <w:rFonts w:ascii="Arial" w:hAnsi="Arial" w:hint="default"/>
      </w:rPr>
    </w:lvl>
    <w:lvl w:ilvl="5" w:tplc="E67CD0B0" w:tentative="1">
      <w:start w:val="1"/>
      <w:numFmt w:val="bullet"/>
      <w:lvlText w:val="•"/>
      <w:lvlJc w:val="left"/>
      <w:pPr>
        <w:tabs>
          <w:tab w:val="num" w:pos="4320"/>
        </w:tabs>
        <w:ind w:left="4320" w:hanging="360"/>
      </w:pPr>
      <w:rPr>
        <w:rFonts w:ascii="Arial" w:hAnsi="Arial" w:hint="default"/>
      </w:rPr>
    </w:lvl>
    <w:lvl w:ilvl="6" w:tplc="A4585F24" w:tentative="1">
      <w:start w:val="1"/>
      <w:numFmt w:val="bullet"/>
      <w:lvlText w:val="•"/>
      <w:lvlJc w:val="left"/>
      <w:pPr>
        <w:tabs>
          <w:tab w:val="num" w:pos="5040"/>
        </w:tabs>
        <w:ind w:left="5040" w:hanging="360"/>
      </w:pPr>
      <w:rPr>
        <w:rFonts w:ascii="Arial" w:hAnsi="Arial" w:hint="default"/>
      </w:rPr>
    </w:lvl>
    <w:lvl w:ilvl="7" w:tplc="51CE9EB6" w:tentative="1">
      <w:start w:val="1"/>
      <w:numFmt w:val="bullet"/>
      <w:lvlText w:val="•"/>
      <w:lvlJc w:val="left"/>
      <w:pPr>
        <w:tabs>
          <w:tab w:val="num" w:pos="5760"/>
        </w:tabs>
        <w:ind w:left="5760" w:hanging="360"/>
      </w:pPr>
      <w:rPr>
        <w:rFonts w:ascii="Arial" w:hAnsi="Arial" w:hint="default"/>
      </w:rPr>
    </w:lvl>
    <w:lvl w:ilvl="8" w:tplc="228C9A4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32718F6"/>
    <w:multiLevelType w:val="hybridMultilevel"/>
    <w:tmpl w:val="8FCE61CA"/>
    <w:lvl w:ilvl="0" w:tplc="FE1E47A8">
      <w:start w:val="1"/>
      <w:numFmt w:val="bullet"/>
      <w:lvlText w:val=""/>
      <w:lvlJc w:val="left"/>
      <w:pPr>
        <w:tabs>
          <w:tab w:val="num" w:pos="720"/>
        </w:tabs>
        <w:ind w:left="720" w:hanging="360"/>
      </w:pPr>
      <w:rPr>
        <w:rFonts w:ascii="Wingdings" w:hAnsi="Wingdings" w:hint="default"/>
      </w:rPr>
    </w:lvl>
    <w:lvl w:ilvl="1" w:tplc="6EBCAA5E" w:tentative="1">
      <w:start w:val="1"/>
      <w:numFmt w:val="bullet"/>
      <w:lvlText w:val=""/>
      <w:lvlJc w:val="left"/>
      <w:pPr>
        <w:tabs>
          <w:tab w:val="num" w:pos="1440"/>
        </w:tabs>
        <w:ind w:left="1440" w:hanging="360"/>
      </w:pPr>
      <w:rPr>
        <w:rFonts w:ascii="Wingdings" w:hAnsi="Wingdings" w:hint="default"/>
      </w:rPr>
    </w:lvl>
    <w:lvl w:ilvl="2" w:tplc="5C022FB6" w:tentative="1">
      <w:start w:val="1"/>
      <w:numFmt w:val="bullet"/>
      <w:lvlText w:val=""/>
      <w:lvlJc w:val="left"/>
      <w:pPr>
        <w:tabs>
          <w:tab w:val="num" w:pos="2160"/>
        </w:tabs>
        <w:ind w:left="2160" w:hanging="360"/>
      </w:pPr>
      <w:rPr>
        <w:rFonts w:ascii="Wingdings" w:hAnsi="Wingdings" w:hint="default"/>
      </w:rPr>
    </w:lvl>
    <w:lvl w:ilvl="3" w:tplc="BB16C63C" w:tentative="1">
      <w:start w:val="1"/>
      <w:numFmt w:val="bullet"/>
      <w:lvlText w:val=""/>
      <w:lvlJc w:val="left"/>
      <w:pPr>
        <w:tabs>
          <w:tab w:val="num" w:pos="2880"/>
        </w:tabs>
        <w:ind w:left="2880" w:hanging="360"/>
      </w:pPr>
      <w:rPr>
        <w:rFonts w:ascii="Wingdings" w:hAnsi="Wingdings" w:hint="default"/>
      </w:rPr>
    </w:lvl>
    <w:lvl w:ilvl="4" w:tplc="808C0DEA" w:tentative="1">
      <w:start w:val="1"/>
      <w:numFmt w:val="bullet"/>
      <w:lvlText w:val=""/>
      <w:lvlJc w:val="left"/>
      <w:pPr>
        <w:tabs>
          <w:tab w:val="num" w:pos="3600"/>
        </w:tabs>
        <w:ind w:left="3600" w:hanging="360"/>
      </w:pPr>
      <w:rPr>
        <w:rFonts w:ascii="Wingdings" w:hAnsi="Wingdings" w:hint="default"/>
      </w:rPr>
    </w:lvl>
    <w:lvl w:ilvl="5" w:tplc="40707088" w:tentative="1">
      <w:start w:val="1"/>
      <w:numFmt w:val="bullet"/>
      <w:lvlText w:val=""/>
      <w:lvlJc w:val="left"/>
      <w:pPr>
        <w:tabs>
          <w:tab w:val="num" w:pos="4320"/>
        </w:tabs>
        <w:ind w:left="4320" w:hanging="360"/>
      </w:pPr>
      <w:rPr>
        <w:rFonts w:ascii="Wingdings" w:hAnsi="Wingdings" w:hint="default"/>
      </w:rPr>
    </w:lvl>
    <w:lvl w:ilvl="6" w:tplc="9F9A7424" w:tentative="1">
      <w:start w:val="1"/>
      <w:numFmt w:val="bullet"/>
      <w:lvlText w:val=""/>
      <w:lvlJc w:val="left"/>
      <w:pPr>
        <w:tabs>
          <w:tab w:val="num" w:pos="5040"/>
        </w:tabs>
        <w:ind w:left="5040" w:hanging="360"/>
      </w:pPr>
      <w:rPr>
        <w:rFonts w:ascii="Wingdings" w:hAnsi="Wingdings" w:hint="default"/>
      </w:rPr>
    </w:lvl>
    <w:lvl w:ilvl="7" w:tplc="1CD098F6" w:tentative="1">
      <w:start w:val="1"/>
      <w:numFmt w:val="bullet"/>
      <w:lvlText w:val=""/>
      <w:lvlJc w:val="left"/>
      <w:pPr>
        <w:tabs>
          <w:tab w:val="num" w:pos="5760"/>
        </w:tabs>
        <w:ind w:left="5760" w:hanging="360"/>
      </w:pPr>
      <w:rPr>
        <w:rFonts w:ascii="Wingdings" w:hAnsi="Wingdings" w:hint="default"/>
      </w:rPr>
    </w:lvl>
    <w:lvl w:ilvl="8" w:tplc="AF90B93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09296A"/>
    <w:multiLevelType w:val="hybridMultilevel"/>
    <w:tmpl w:val="F46A36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4F826A8"/>
    <w:multiLevelType w:val="hybridMultilevel"/>
    <w:tmpl w:val="56882EA2"/>
    <w:lvl w:ilvl="0" w:tplc="0407000F">
      <w:start w:val="1"/>
      <w:numFmt w:val="decimal"/>
      <w:lvlText w:val="%1."/>
      <w:lvlJc w:val="left"/>
      <w:pPr>
        <w:tabs>
          <w:tab w:val="num" w:pos="720"/>
        </w:tabs>
        <w:ind w:left="720" w:hanging="360"/>
      </w:pPr>
      <w:rPr>
        <w:rFonts w:hint="default"/>
      </w:rPr>
    </w:lvl>
    <w:lvl w:ilvl="1" w:tplc="10FAAF36" w:tentative="1">
      <w:start w:val="1"/>
      <w:numFmt w:val="bullet"/>
      <w:lvlText w:val="•"/>
      <w:lvlJc w:val="left"/>
      <w:pPr>
        <w:tabs>
          <w:tab w:val="num" w:pos="1440"/>
        </w:tabs>
        <w:ind w:left="1440" w:hanging="360"/>
      </w:pPr>
      <w:rPr>
        <w:rFonts w:ascii="Arial" w:hAnsi="Arial" w:hint="default"/>
      </w:rPr>
    </w:lvl>
    <w:lvl w:ilvl="2" w:tplc="32C65B70" w:tentative="1">
      <w:start w:val="1"/>
      <w:numFmt w:val="bullet"/>
      <w:lvlText w:val="•"/>
      <w:lvlJc w:val="left"/>
      <w:pPr>
        <w:tabs>
          <w:tab w:val="num" w:pos="2160"/>
        </w:tabs>
        <w:ind w:left="2160" w:hanging="360"/>
      </w:pPr>
      <w:rPr>
        <w:rFonts w:ascii="Arial" w:hAnsi="Arial" w:hint="default"/>
      </w:rPr>
    </w:lvl>
    <w:lvl w:ilvl="3" w:tplc="4CE8B71A" w:tentative="1">
      <w:start w:val="1"/>
      <w:numFmt w:val="bullet"/>
      <w:lvlText w:val="•"/>
      <w:lvlJc w:val="left"/>
      <w:pPr>
        <w:tabs>
          <w:tab w:val="num" w:pos="2880"/>
        </w:tabs>
        <w:ind w:left="2880" w:hanging="360"/>
      </w:pPr>
      <w:rPr>
        <w:rFonts w:ascii="Arial" w:hAnsi="Arial" w:hint="default"/>
      </w:rPr>
    </w:lvl>
    <w:lvl w:ilvl="4" w:tplc="04AEF078" w:tentative="1">
      <w:start w:val="1"/>
      <w:numFmt w:val="bullet"/>
      <w:lvlText w:val="•"/>
      <w:lvlJc w:val="left"/>
      <w:pPr>
        <w:tabs>
          <w:tab w:val="num" w:pos="3600"/>
        </w:tabs>
        <w:ind w:left="3600" w:hanging="360"/>
      </w:pPr>
      <w:rPr>
        <w:rFonts w:ascii="Arial" w:hAnsi="Arial" w:hint="default"/>
      </w:rPr>
    </w:lvl>
    <w:lvl w:ilvl="5" w:tplc="E67CD0B0" w:tentative="1">
      <w:start w:val="1"/>
      <w:numFmt w:val="bullet"/>
      <w:lvlText w:val="•"/>
      <w:lvlJc w:val="left"/>
      <w:pPr>
        <w:tabs>
          <w:tab w:val="num" w:pos="4320"/>
        </w:tabs>
        <w:ind w:left="4320" w:hanging="360"/>
      </w:pPr>
      <w:rPr>
        <w:rFonts w:ascii="Arial" w:hAnsi="Arial" w:hint="default"/>
      </w:rPr>
    </w:lvl>
    <w:lvl w:ilvl="6" w:tplc="A4585F24" w:tentative="1">
      <w:start w:val="1"/>
      <w:numFmt w:val="bullet"/>
      <w:lvlText w:val="•"/>
      <w:lvlJc w:val="left"/>
      <w:pPr>
        <w:tabs>
          <w:tab w:val="num" w:pos="5040"/>
        </w:tabs>
        <w:ind w:left="5040" w:hanging="360"/>
      </w:pPr>
      <w:rPr>
        <w:rFonts w:ascii="Arial" w:hAnsi="Arial" w:hint="default"/>
      </w:rPr>
    </w:lvl>
    <w:lvl w:ilvl="7" w:tplc="51CE9EB6" w:tentative="1">
      <w:start w:val="1"/>
      <w:numFmt w:val="bullet"/>
      <w:lvlText w:val="•"/>
      <w:lvlJc w:val="left"/>
      <w:pPr>
        <w:tabs>
          <w:tab w:val="num" w:pos="5760"/>
        </w:tabs>
        <w:ind w:left="5760" w:hanging="360"/>
      </w:pPr>
      <w:rPr>
        <w:rFonts w:ascii="Arial" w:hAnsi="Arial" w:hint="default"/>
      </w:rPr>
    </w:lvl>
    <w:lvl w:ilvl="8" w:tplc="228C9A4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81E5D31"/>
    <w:multiLevelType w:val="hybridMultilevel"/>
    <w:tmpl w:val="D59449D4"/>
    <w:lvl w:ilvl="0" w:tplc="04070011">
      <w:start w:val="1"/>
      <w:numFmt w:val="decimal"/>
      <w:lvlText w:val="%1)"/>
      <w:lvlJc w:val="left"/>
      <w:pPr>
        <w:tabs>
          <w:tab w:val="num" w:pos="720"/>
        </w:tabs>
        <w:ind w:left="720" w:hanging="360"/>
      </w:pPr>
      <w:rPr>
        <w:rFonts w:hint="default"/>
      </w:rPr>
    </w:lvl>
    <w:lvl w:ilvl="1" w:tplc="10FAAF36" w:tentative="1">
      <w:start w:val="1"/>
      <w:numFmt w:val="bullet"/>
      <w:lvlText w:val="•"/>
      <w:lvlJc w:val="left"/>
      <w:pPr>
        <w:tabs>
          <w:tab w:val="num" w:pos="1440"/>
        </w:tabs>
        <w:ind w:left="1440" w:hanging="360"/>
      </w:pPr>
      <w:rPr>
        <w:rFonts w:ascii="Arial" w:hAnsi="Arial" w:hint="default"/>
      </w:rPr>
    </w:lvl>
    <w:lvl w:ilvl="2" w:tplc="32C65B70" w:tentative="1">
      <w:start w:val="1"/>
      <w:numFmt w:val="bullet"/>
      <w:lvlText w:val="•"/>
      <w:lvlJc w:val="left"/>
      <w:pPr>
        <w:tabs>
          <w:tab w:val="num" w:pos="2160"/>
        </w:tabs>
        <w:ind w:left="2160" w:hanging="360"/>
      </w:pPr>
      <w:rPr>
        <w:rFonts w:ascii="Arial" w:hAnsi="Arial" w:hint="default"/>
      </w:rPr>
    </w:lvl>
    <w:lvl w:ilvl="3" w:tplc="4CE8B71A" w:tentative="1">
      <w:start w:val="1"/>
      <w:numFmt w:val="bullet"/>
      <w:lvlText w:val="•"/>
      <w:lvlJc w:val="left"/>
      <w:pPr>
        <w:tabs>
          <w:tab w:val="num" w:pos="2880"/>
        </w:tabs>
        <w:ind w:left="2880" w:hanging="360"/>
      </w:pPr>
      <w:rPr>
        <w:rFonts w:ascii="Arial" w:hAnsi="Arial" w:hint="default"/>
      </w:rPr>
    </w:lvl>
    <w:lvl w:ilvl="4" w:tplc="04AEF078" w:tentative="1">
      <w:start w:val="1"/>
      <w:numFmt w:val="bullet"/>
      <w:lvlText w:val="•"/>
      <w:lvlJc w:val="left"/>
      <w:pPr>
        <w:tabs>
          <w:tab w:val="num" w:pos="3600"/>
        </w:tabs>
        <w:ind w:left="3600" w:hanging="360"/>
      </w:pPr>
      <w:rPr>
        <w:rFonts w:ascii="Arial" w:hAnsi="Arial" w:hint="default"/>
      </w:rPr>
    </w:lvl>
    <w:lvl w:ilvl="5" w:tplc="E67CD0B0" w:tentative="1">
      <w:start w:val="1"/>
      <w:numFmt w:val="bullet"/>
      <w:lvlText w:val="•"/>
      <w:lvlJc w:val="left"/>
      <w:pPr>
        <w:tabs>
          <w:tab w:val="num" w:pos="4320"/>
        </w:tabs>
        <w:ind w:left="4320" w:hanging="360"/>
      </w:pPr>
      <w:rPr>
        <w:rFonts w:ascii="Arial" w:hAnsi="Arial" w:hint="default"/>
      </w:rPr>
    </w:lvl>
    <w:lvl w:ilvl="6" w:tplc="A4585F24" w:tentative="1">
      <w:start w:val="1"/>
      <w:numFmt w:val="bullet"/>
      <w:lvlText w:val="•"/>
      <w:lvlJc w:val="left"/>
      <w:pPr>
        <w:tabs>
          <w:tab w:val="num" w:pos="5040"/>
        </w:tabs>
        <w:ind w:left="5040" w:hanging="360"/>
      </w:pPr>
      <w:rPr>
        <w:rFonts w:ascii="Arial" w:hAnsi="Arial" w:hint="default"/>
      </w:rPr>
    </w:lvl>
    <w:lvl w:ilvl="7" w:tplc="51CE9EB6" w:tentative="1">
      <w:start w:val="1"/>
      <w:numFmt w:val="bullet"/>
      <w:lvlText w:val="•"/>
      <w:lvlJc w:val="left"/>
      <w:pPr>
        <w:tabs>
          <w:tab w:val="num" w:pos="5760"/>
        </w:tabs>
        <w:ind w:left="5760" w:hanging="360"/>
      </w:pPr>
      <w:rPr>
        <w:rFonts w:ascii="Arial" w:hAnsi="Arial" w:hint="default"/>
      </w:rPr>
    </w:lvl>
    <w:lvl w:ilvl="8" w:tplc="228C9A4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9864AB1"/>
    <w:multiLevelType w:val="hybridMultilevel"/>
    <w:tmpl w:val="63809936"/>
    <w:lvl w:ilvl="0" w:tplc="2446F2CC">
      <w:start w:val="1"/>
      <w:numFmt w:val="bullet"/>
      <w:lvlText w:val=""/>
      <w:lvlJc w:val="left"/>
      <w:pPr>
        <w:tabs>
          <w:tab w:val="num" w:pos="720"/>
        </w:tabs>
        <w:ind w:left="720" w:hanging="360"/>
      </w:pPr>
      <w:rPr>
        <w:rFonts w:ascii="Wingdings" w:hAnsi="Wingdings" w:hint="default"/>
      </w:rPr>
    </w:lvl>
    <w:lvl w:ilvl="1" w:tplc="2A1A9574" w:tentative="1">
      <w:start w:val="1"/>
      <w:numFmt w:val="bullet"/>
      <w:lvlText w:val=""/>
      <w:lvlJc w:val="left"/>
      <w:pPr>
        <w:tabs>
          <w:tab w:val="num" w:pos="1440"/>
        </w:tabs>
        <w:ind w:left="1440" w:hanging="360"/>
      </w:pPr>
      <w:rPr>
        <w:rFonts w:ascii="Wingdings" w:hAnsi="Wingdings" w:hint="default"/>
      </w:rPr>
    </w:lvl>
    <w:lvl w:ilvl="2" w:tplc="F15849A0" w:tentative="1">
      <w:start w:val="1"/>
      <w:numFmt w:val="bullet"/>
      <w:lvlText w:val=""/>
      <w:lvlJc w:val="left"/>
      <w:pPr>
        <w:tabs>
          <w:tab w:val="num" w:pos="2160"/>
        </w:tabs>
        <w:ind w:left="2160" w:hanging="360"/>
      </w:pPr>
      <w:rPr>
        <w:rFonts w:ascii="Wingdings" w:hAnsi="Wingdings" w:hint="default"/>
      </w:rPr>
    </w:lvl>
    <w:lvl w:ilvl="3" w:tplc="FBAC9CD6" w:tentative="1">
      <w:start w:val="1"/>
      <w:numFmt w:val="bullet"/>
      <w:lvlText w:val=""/>
      <w:lvlJc w:val="left"/>
      <w:pPr>
        <w:tabs>
          <w:tab w:val="num" w:pos="2880"/>
        </w:tabs>
        <w:ind w:left="2880" w:hanging="360"/>
      </w:pPr>
      <w:rPr>
        <w:rFonts w:ascii="Wingdings" w:hAnsi="Wingdings" w:hint="default"/>
      </w:rPr>
    </w:lvl>
    <w:lvl w:ilvl="4" w:tplc="41BE8262" w:tentative="1">
      <w:start w:val="1"/>
      <w:numFmt w:val="bullet"/>
      <w:lvlText w:val=""/>
      <w:lvlJc w:val="left"/>
      <w:pPr>
        <w:tabs>
          <w:tab w:val="num" w:pos="3600"/>
        </w:tabs>
        <w:ind w:left="3600" w:hanging="360"/>
      </w:pPr>
      <w:rPr>
        <w:rFonts w:ascii="Wingdings" w:hAnsi="Wingdings" w:hint="default"/>
      </w:rPr>
    </w:lvl>
    <w:lvl w:ilvl="5" w:tplc="923C6DC2" w:tentative="1">
      <w:start w:val="1"/>
      <w:numFmt w:val="bullet"/>
      <w:lvlText w:val=""/>
      <w:lvlJc w:val="left"/>
      <w:pPr>
        <w:tabs>
          <w:tab w:val="num" w:pos="4320"/>
        </w:tabs>
        <w:ind w:left="4320" w:hanging="360"/>
      </w:pPr>
      <w:rPr>
        <w:rFonts w:ascii="Wingdings" w:hAnsi="Wingdings" w:hint="default"/>
      </w:rPr>
    </w:lvl>
    <w:lvl w:ilvl="6" w:tplc="3D3ECE54" w:tentative="1">
      <w:start w:val="1"/>
      <w:numFmt w:val="bullet"/>
      <w:lvlText w:val=""/>
      <w:lvlJc w:val="left"/>
      <w:pPr>
        <w:tabs>
          <w:tab w:val="num" w:pos="5040"/>
        </w:tabs>
        <w:ind w:left="5040" w:hanging="360"/>
      </w:pPr>
      <w:rPr>
        <w:rFonts w:ascii="Wingdings" w:hAnsi="Wingdings" w:hint="default"/>
      </w:rPr>
    </w:lvl>
    <w:lvl w:ilvl="7" w:tplc="FD72CB88" w:tentative="1">
      <w:start w:val="1"/>
      <w:numFmt w:val="bullet"/>
      <w:lvlText w:val=""/>
      <w:lvlJc w:val="left"/>
      <w:pPr>
        <w:tabs>
          <w:tab w:val="num" w:pos="5760"/>
        </w:tabs>
        <w:ind w:left="5760" w:hanging="360"/>
      </w:pPr>
      <w:rPr>
        <w:rFonts w:ascii="Wingdings" w:hAnsi="Wingdings" w:hint="default"/>
      </w:rPr>
    </w:lvl>
    <w:lvl w:ilvl="8" w:tplc="A69AF3D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CD36B3F"/>
    <w:multiLevelType w:val="multilevel"/>
    <w:tmpl w:val="5BAAE414"/>
    <w:lvl w:ilvl="0">
      <w:start w:val="1"/>
      <w:numFmt w:val="decimal"/>
      <w:lvlText w:val="%1."/>
      <w:lvlJc w:val="left"/>
      <w:pPr>
        <w:tabs>
          <w:tab w:val="num" w:pos="397"/>
        </w:tabs>
        <w:ind w:left="397" w:hanging="397"/>
      </w:pPr>
      <w:rPr>
        <w:rFonts w:hint="default"/>
      </w:rPr>
    </w:lvl>
    <w:lvl w:ilvl="1">
      <w:start w:val="1"/>
      <w:numFmt w:val="lowerLetter"/>
      <w:pStyle w:val="Heading2"/>
      <w:lvlText w:val="%2)"/>
      <w:lvlJc w:val="left"/>
      <w:pPr>
        <w:tabs>
          <w:tab w:val="num" w:pos="794"/>
        </w:tabs>
        <w:ind w:left="794" w:hanging="397"/>
      </w:pPr>
      <w:rPr>
        <w:rFonts w:hint="default"/>
      </w:rPr>
    </w:lvl>
    <w:lvl w:ilvl="2">
      <w:start w:val="1"/>
      <w:numFmt w:val="lowerLetter"/>
      <w:lvlText w:val="%3)"/>
      <w:lvlJc w:val="left"/>
      <w:pPr>
        <w:tabs>
          <w:tab w:val="num" w:pos="1191"/>
        </w:tabs>
        <w:ind w:left="1191" w:hanging="397"/>
      </w:pPr>
      <w:rPr>
        <w:rFonts w:hint="default"/>
      </w:rPr>
    </w:lvl>
    <w:lvl w:ilvl="3">
      <w:start w:val="1"/>
      <w:numFmt w:val="lowerRoman"/>
      <w:lvlText w:val="(%4)"/>
      <w:lvlJc w:val="left"/>
      <w:pPr>
        <w:tabs>
          <w:tab w:val="num" w:pos="1588"/>
        </w:tabs>
        <w:ind w:left="1588" w:hanging="397"/>
      </w:pPr>
      <w:rPr>
        <w:rFonts w:hint="default"/>
      </w:rPr>
    </w:lvl>
    <w:lvl w:ilvl="4">
      <w:start w:val="1"/>
      <w:numFmt w:val="decimal"/>
      <w:lvlText w:val="(%5)"/>
      <w:lvlJc w:val="left"/>
      <w:pPr>
        <w:tabs>
          <w:tab w:val="num" w:pos="2594"/>
        </w:tabs>
        <w:ind w:left="2234" w:firstLine="0"/>
      </w:pPr>
      <w:rPr>
        <w:rFonts w:hint="default"/>
      </w:rPr>
    </w:lvl>
    <w:lvl w:ilvl="5">
      <w:start w:val="1"/>
      <w:numFmt w:val="lowerLetter"/>
      <w:lvlText w:val="(%6)"/>
      <w:lvlJc w:val="left"/>
      <w:pPr>
        <w:tabs>
          <w:tab w:val="num" w:pos="3314"/>
        </w:tabs>
        <w:ind w:left="2954" w:firstLine="0"/>
      </w:pPr>
      <w:rPr>
        <w:rFonts w:hint="default"/>
      </w:rPr>
    </w:lvl>
    <w:lvl w:ilvl="6">
      <w:start w:val="1"/>
      <w:numFmt w:val="lowerRoman"/>
      <w:lvlText w:val="(%7)"/>
      <w:lvlJc w:val="left"/>
      <w:pPr>
        <w:tabs>
          <w:tab w:val="num" w:pos="4034"/>
        </w:tabs>
        <w:ind w:left="3674" w:firstLine="0"/>
      </w:pPr>
      <w:rPr>
        <w:rFonts w:hint="default"/>
      </w:rPr>
    </w:lvl>
    <w:lvl w:ilvl="7">
      <w:start w:val="1"/>
      <w:numFmt w:val="lowerLetter"/>
      <w:lvlText w:val="(%8)"/>
      <w:lvlJc w:val="left"/>
      <w:pPr>
        <w:tabs>
          <w:tab w:val="num" w:pos="4754"/>
        </w:tabs>
        <w:ind w:left="4394" w:firstLine="0"/>
      </w:pPr>
      <w:rPr>
        <w:rFonts w:hint="default"/>
      </w:rPr>
    </w:lvl>
    <w:lvl w:ilvl="8">
      <w:start w:val="1"/>
      <w:numFmt w:val="lowerRoman"/>
      <w:lvlText w:val="(%9)"/>
      <w:lvlJc w:val="left"/>
      <w:pPr>
        <w:tabs>
          <w:tab w:val="num" w:pos="5474"/>
        </w:tabs>
        <w:ind w:left="5114" w:firstLine="0"/>
      </w:pPr>
      <w:rPr>
        <w:rFonts w:hint="default"/>
      </w:rPr>
    </w:lvl>
  </w:abstractNum>
  <w:num w:numId="1">
    <w:abstractNumId w:val="3"/>
  </w:num>
  <w:num w:numId="2">
    <w:abstractNumId w:val="15"/>
  </w:num>
  <w:num w:numId="3">
    <w:abstractNumId w:val="15"/>
  </w:num>
  <w:num w:numId="4">
    <w:abstractNumId w:val="15"/>
  </w:num>
  <w:num w:numId="5">
    <w:abstractNumId w:val="15"/>
  </w:num>
  <w:num w:numId="6">
    <w:abstractNumId w:val="0"/>
  </w:num>
  <w:num w:numId="7">
    <w:abstractNumId w:val="0"/>
  </w:num>
  <w:num w:numId="8">
    <w:abstractNumId w:val="1"/>
  </w:num>
  <w:num w:numId="9">
    <w:abstractNumId w:val="14"/>
  </w:num>
  <w:num w:numId="10">
    <w:abstractNumId w:val="5"/>
  </w:num>
  <w:num w:numId="11">
    <w:abstractNumId w:val="11"/>
  </w:num>
  <w:num w:numId="12">
    <w:abstractNumId w:val="7"/>
  </w:num>
  <w:num w:numId="13">
    <w:abstractNumId w:val="2"/>
  </w:num>
  <w:num w:numId="14">
    <w:abstractNumId w:val="10"/>
  </w:num>
  <w:num w:numId="15">
    <w:abstractNumId w:val="9"/>
  </w:num>
  <w:num w:numId="16">
    <w:abstractNumId w:val="12"/>
  </w:num>
  <w:num w:numId="17">
    <w:abstractNumId w:val="13"/>
  </w:num>
  <w:num w:numId="18">
    <w:abstractNumId w:val="6"/>
  </w:num>
  <w:num w:numId="19">
    <w:abstractNumId w:val="8"/>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Porto::GUID" w:val="{d15070af-8a28-4e37-9619-38e889924f41}"/>
  </w:docVars>
  <w:rsids>
    <w:rsidRoot w:val="00804BD1"/>
    <w:rsid w:val="00006288"/>
    <w:rsid w:val="0002312A"/>
    <w:rsid w:val="00026B61"/>
    <w:rsid w:val="000303B9"/>
    <w:rsid w:val="00034E4F"/>
    <w:rsid w:val="000401A0"/>
    <w:rsid w:val="00040F08"/>
    <w:rsid w:val="00043EEF"/>
    <w:rsid w:val="00044027"/>
    <w:rsid w:val="00044C65"/>
    <w:rsid w:val="00045F66"/>
    <w:rsid w:val="00052FA4"/>
    <w:rsid w:val="00065F5D"/>
    <w:rsid w:val="0006729C"/>
    <w:rsid w:val="00067826"/>
    <w:rsid w:val="0007550F"/>
    <w:rsid w:val="00075872"/>
    <w:rsid w:val="00075ADD"/>
    <w:rsid w:val="0007698F"/>
    <w:rsid w:val="00092060"/>
    <w:rsid w:val="0009353C"/>
    <w:rsid w:val="000A13BA"/>
    <w:rsid w:val="000A31F0"/>
    <w:rsid w:val="000A5575"/>
    <w:rsid w:val="000A5CE0"/>
    <w:rsid w:val="000B1932"/>
    <w:rsid w:val="000B3D0B"/>
    <w:rsid w:val="000C0CCA"/>
    <w:rsid w:val="000C6CD2"/>
    <w:rsid w:val="000D22C9"/>
    <w:rsid w:val="000D4D6B"/>
    <w:rsid w:val="000D63D4"/>
    <w:rsid w:val="000E1FA5"/>
    <w:rsid w:val="000E3B9F"/>
    <w:rsid w:val="000E459C"/>
    <w:rsid w:val="000F0139"/>
    <w:rsid w:val="000F4682"/>
    <w:rsid w:val="0010415B"/>
    <w:rsid w:val="00105E0F"/>
    <w:rsid w:val="00107249"/>
    <w:rsid w:val="001117AE"/>
    <w:rsid w:val="00117482"/>
    <w:rsid w:val="001175A3"/>
    <w:rsid w:val="001220B7"/>
    <w:rsid w:val="00127105"/>
    <w:rsid w:val="0013009D"/>
    <w:rsid w:val="0013607C"/>
    <w:rsid w:val="001362C3"/>
    <w:rsid w:val="001435D6"/>
    <w:rsid w:val="00151DB5"/>
    <w:rsid w:val="00151EA5"/>
    <w:rsid w:val="00163FD4"/>
    <w:rsid w:val="0016671F"/>
    <w:rsid w:val="001747EA"/>
    <w:rsid w:val="00177E71"/>
    <w:rsid w:val="001806A5"/>
    <w:rsid w:val="0018655E"/>
    <w:rsid w:val="001868AC"/>
    <w:rsid w:val="0019165B"/>
    <w:rsid w:val="001B3B91"/>
    <w:rsid w:val="001C07DE"/>
    <w:rsid w:val="001C1671"/>
    <w:rsid w:val="001C5C1E"/>
    <w:rsid w:val="001D0F83"/>
    <w:rsid w:val="001D14C8"/>
    <w:rsid w:val="001D46C6"/>
    <w:rsid w:val="001E3EF5"/>
    <w:rsid w:val="001F1560"/>
    <w:rsid w:val="001F28AA"/>
    <w:rsid w:val="002038E7"/>
    <w:rsid w:val="00203FD4"/>
    <w:rsid w:val="002051F7"/>
    <w:rsid w:val="00231E0E"/>
    <w:rsid w:val="0023200C"/>
    <w:rsid w:val="00235E2B"/>
    <w:rsid w:val="002501BB"/>
    <w:rsid w:val="00250554"/>
    <w:rsid w:val="002558E3"/>
    <w:rsid w:val="00255D1A"/>
    <w:rsid w:val="0026700B"/>
    <w:rsid w:val="0027111A"/>
    <w:rsid w:val="002717D3"/>
    <w:rsid w:val="00282A22"/>
    <w:rsid w:val="0028707F"/>
    <w:rsid w:val="002925BA"/>
    <w:rsid w:val="0029510A"/>
    <w:rsid w:val="002A1BBC"/>
    <w:rsid w:val="002A398D"/>
    <w:rsid w:val="002A4A5D"/>
    <w:rsid w:val="002A72F7"/>
    <w:rsid w:val="002B2D38"/>
    <w:rsid w:val="002B2FED"/>
    <w:rsid w:val="002B3959"/>
    <w:rsid w:val="002B4ACB"/>
    <w:rsid w:val="002C0967"/>
    <w:rsid w:val="002D0D8C"/>
    <w:rsid w:val="002D37F7"/>
    <w:rsid w:val="002D6B20"/>
    <w:rsid w:val="002D6E45"/>
    <w:rsid w:val="002E2AB0"/>
    <w:rsid w:val="002E4D92"/>
    <w:rsid w:val="002E52F4"/>
    <w:rsid w:val="002F39E5"/>
    <w:rsid w:val="002F6423"/>
    <w:rsid w:val="002F77EB"/>
    <w:rsid w:val="0030536E"/>
    <w:rsid w:val="0030597E"/>
    <w:rsid w:val="00306E28"/>
    <w:rsid w:val="00315F1D"/>
    <w:rsid w:val="0032341A"/>
    <w:rsid w:val="00323597"/>
    <w:rsid w:val="003248FD"/>
    <w:rsid w:val="003279B9"/>
    <w:rsid w:val="00333060"/>
    <w:rsid w:val="003345AA"/>
    <w:rsid w:val="00345EAE"/>
    <w:rsid w:val="003468CE"/>
    <w:rsid w:val="003509A3"/>
    <w:rsid w:val="0035156B"/>
    <w:rsid w:val="00376407"/>
    <w:rsid w:val="00387454"/>
    <w:rsid w:val="0038760C"/>
    <w:rsid w:val="003B6D8A"/>
    <w:rsid w:val="003C157A"/>
    <w:rsid w:val="003C4648"/>
    <w:rsid w:val="003C7DB4"/>
    <w:rsid w:val="003D2AC3"/>
    <w:rsid w:val="003D3B82"/>
    <w:rsid w:val="003D74C0"/>
    <w:rsid w:val="003E5EB2"/>
    <w:rsid w:val="003F1E46"/>
    <w:rsid w:val="003F2A98"/>
    <w:rsid w:val="003F325D"/>
    <w:rsid w:val="003F3FF0"/>
    <w:rsid w:val="0040161D"/>
    <w:rsid w:val="004022C1"/>
    <w:rsid w:val="00410B7E"/>
    <w:rsid w:val="00410D7E"/>
    <w:rsid w:val="00427185"/>
    <w:rsid w:val="00427FD4"/>
    <w:rsid w:val="0043123B"/>
    <w:rsid w:val="00436B40"/>
    <w:rsid w:val="00442E2F"/>
    <w:rsid w:val="0044584B"/>
    <w:rsid w:val="00452472"/>
    <w:rsid w:val="0045600F"/>
    <w:rsid w:val="00471409"/>
    <w:rsid w:val="00472CCA"/>
    <w:rsid w:val="004731AE"/>
    <w:rsid w:val="00484F8C"/>
    <w:rsid w:val="00485DA8"/>
    <w:rsid w:val="00487A5B"/>
    <w:rsid w:val="004964F6"/>
    <w:rsid w:val="00496697"/>
    <w:rsid w:val="004A2976"/>
    <w:rsid w:val="004A2B4B"/>
    <w:rsid w:val="004A36EB"/>
    <w:rsid w:val="004A6F8A"/>
    <w:rsid w:val="004B0934"/>
    <w:rsid w:val="004B1A06"/>
    <w:rsid w:val="004B1EDF"/>
    <w:rsid w:val="004B27AC"/>
    <w:rsid w:val="004C2700"/>
    <w:rsid w:val="004C6B19"/>
    <w:rsid w:val="004C7598"/>
    <w:rsid w:val="004D23F7"/>
    <w:rsid w:val="004D2578"/>
    <w:rsid w:val="004D31D1"/>
    <w:rsid w:val="004D453B"/>
    <w:rsid w:val="004D54C1"/>
    <w:rsid w:val="004E021A"/>
    <w:rsid w:val="004E3047"/>
    <w:rsid w:val="004E5EAB"/>
    <w:rsid w:val="004F014B"/>
    <w:rsid w:val="004F1A85"/>
    <w:rsid w:val="004F1BBD"/>
    <w:rsid w:val="004F488C"/>
    <w:rsid w:val="004F5719"/>
    <w:rsid w:val="004F76C0"/>
    <w:rsid w:val="00500868"/>
    <w:rsid w:val="00511FD1"/>
    <w:rsid w:val="00512764"/>
    <w:rsid w:val="00512A64"/>
    <w:rsid w:val="00523E44"/>
    <w:rsid w:val="0054023D"/>
    <w:rsid w:val="0054131F"/>
    <w:rsid w:val="005417A4"/>
    <w:rsid w:val="005437BB"/>
    <w:rsid w:val="00543B58"/>
    <w:rsid w:val="00547CCC"/>
    <w:rsid w:val="00550DB5"/>
    <w:rsid w:val="00551481"/>
    <w:rsid w:val="00560815"/>
    <w:rsid w:val="00564D06"/>
    <w:rsid w:val="005653DD"/>
    <w:rsid w:val="00567255"/>
    <w:rsid w:val="00576669"/>
    <w:rsid w:val="00582680"/>
    <w:rsid w:val="00583637"/>
    <w:rsid w:val="00584F37"/>
    <w:rsid w:val="00586919"/>
    <w:rsid w:val="005913A2"/>
    <w:rsid w:val="005920A6"/>
    <w:rsid w:val="00596595"/>
    <w:rsid w:val="005967AD"/>
    <w:rsid w:val="005A06A2"/>
    <w:rsid w:val="005B4AF2"/>
    <w:rsid w:val="005B6857"/>
    <w:rsid w:val="005C0745"/>
    <w:rsid w:val="005C16F2"/>
    <w:rsid w:val="005C29DF"/>
    <w:rsid w:val="005C5FE5"/>
    <w:rsid w:val="005D0A0F"/>
    <w:rsid w:val="005D25B4"/>
    <w:rsid w:val="005D7982"/>
    <w:rsid w:val="005E2892"/>
    <w:rsid w:val="005E4DB3"/>
    <w:rsid w:val="005F3FFE"/>
    <w:rsid w:val="005F455F"/>
    <w:rsid w:val="006015DA"/>
    <w:rsid w:val="00616476"/>
    <w:rsid w:val="00622379"/>
    <w:rsid w:val="00624330"/>
    <w:rsid w:val="0062537D"/>
    <w:rsid w:val="0063344B"/>
    <w:rsid w:val="00633A43"/>
    <w:rsid w:val="00636BFA"/>
    <w:rsid w:val="00664CF1"/>
    <w:rsid w:val="00664EF9"/>
    <w:rsid w:val="00676E33"/>
    <w:rsid w:val="00677843"/>
    <w:rsid w:val="006849A7"/>
    <w:rsid w:val="0068599A"/>
    <w:rsid w:val="00686D51"/>
    <w:rsid w:val="006905D2"/>
    <w:rsid w:val="0069307B"/>
    <w:rsid w:val="006970A0"/>
    <w:rsid w:val="00697C55"/>
    <w:rsid w:val="006A13B5"/>
    <w:rsid w:val="006B2169"/>
    <w:rsid w:val="006B3315"/>
    <w:rsid w:val="006B6C17"/>
    <w:rsid w:val="006B772F"/>
    <w:rsid w:val="006C2A2F"/>
    <w:rsid w:val="006D5A41"/>
    <w:rsid w:val="006E1710"/>
    <w:rsid w:val="006E235C"/>
    <w:rsid w:val="006E4A52"/>
    <w:rsid w:val="006E7843"/>
    <w:rsid w:val="00703268"/>
    <w:rsid w:val="00703691"/>
    <w:rsid w:val="00706A7D"/>
    <w:rsid w:val="00713B10"/>
    <w:rsid w:val="0071645E"/>
    <w:rsid w:val="007212B4"/>
    <w:rsid w:val="007229EB"/>
    <w:rsid w:val="00734375"/>
    <w:rsid w:val="00741EB7"/>
    <w:rsid w:val="00742EC4"/>
    <w:rsid w:val="00743493"/>
    <w:rsid w:val="007538B7"/>
    <w:rsid w:val="00757FC7"/>
    <w:rsid w:val="007625A2"/>
    <w:rsid w:val="0076596E"/>
    <w:rsid w:val="0077103B"/>
    <w:rsid w:val="0077126C"/>
    <w:rsid w:val="007732E6"/>
    <w:rsid w:val="00794597"/>
    <w:rsid w:val="007A31A0"/>
    <w:rsid w:val="007A5E66"/>
    <w:rsid w:val="007B03E9"/>
    <w:rsid w:val="007B102C"/>
    <w:rsid w:val="007B5621"/>
    <w:rsid w:val="007C031C"/>
    <w:rsid w:val="007C13A8"/>
    <w:rsid w:val="007C660E"/>
    <w:rsid w:val="007C728A"/>
    <w:rsid w:val="007D02BF"/>
    <w:rsid w:val="007D3E6E"/>
    <w:rsid w:val="007E1BC8"/>
    <w:rsid w:val="007F0F13"/>
    <w:rsid w:val="008001F1"/>
    <w:rsid w:val="00804BD1"/>
    <w:rsid w:val="0080528F"/>
    <w:rsid w:val="008341EC"/>
    <w:rsid w:val="0083753F"/>
    <w:rsid w:val="00837E48"/>
    <w:rsid w:val="00841663"/>
    <w:rsid w:val="00843E5A"/>
    <w:rsid w:val="008477B9"/>
    <w:rsid w:val="0085016F"/>
    <w:rsid w:val="00854630"/>
    <w:rsid w:val="00855389"/>
    <w:rsid w:val="008564E6"/>
    <w:rsid w:val="00870AF5"/>
    <w:rsid w:val="00880148"/>
    <w:rsid w:val="00884AE1"/>
    <w:rsid w:val="00885E9D"/>
    <w:rsid w:val="00892276"/>
    <w:rsid w:val="00894FB9"/>
    <w:rsid w:val="008972F3"/>
    <w:rsid w:val="008A1107"/>
    <w:rsid w:val="008A1E4C"/>
    <w:rsid w:val="008A4B43"/>
    <w:rsid w:val="008A58C5"/>
    <w:rsid w:val="008A7CE1"/>
    <w:rsid w:val="008B0304"/>
    <w:rsid w:val="008B385B"/>
    <w:rsid w:val="008C18F3"/>
    <w:rsid w:val="008C52AC"/>
    <w:rsid w:val="008C5C84"/>
    <w:rsid w:val="008C6F7B"/>
    <w:rsid w:val="008D3EC7"/>
    <w:rsid w:val="008E32A2"/>
    <w:rsid w:val="008E6998"/>
    <w:rsid w:val="008F5193"/>
    <w:rsid w:val="0090141D"/>
    <w:rsid w:val="00901C0E"/>
    <w:rsid w:val="00903E00"/>
    <w:rsid w:val="009061D1"/>
    <w:rsid w:val="00906440"/>
    <w:rsid w:val="00912B79"/>
    <w:rsid w:val="0091376E"/>
    <w:rsid w:val="0091380B"/>
    <w:rsid w:val="00915460"/>
    <w:rsid w:val="0092064F"/>
    <w:rsid w:val="00920CD7"/>
    <w:rsid w:val="00924379"/>
    <w:rsid w:val="00927552"/>
    <w:rsid w:val="00937768"/>
    <w:rsid w:val="00945189"/>
    <w:rsid w:val="00954060"/>
    <w:rsid w:val="00964B3A"/>
    <w:rsid w:val="00966CED"/>
    <w:rsid w:val="00970B11"/>
    <w:rsid w:val="0097547A"/>
    <w:rsid w:val="00980114"/>
    <w:rsid w:val="0098382C"/>
    <w:rsid w:val="0099094E"/>
    <w:rsid w:val="009A20BC"/>
    <w:rsid w:val="009B2BC8"/>
    <w:rsid w:val="009B3E64"/>
    <w:rsid w:val="009B4D85"/>
    <w:rsid w:val="009C2B47"/>
    <w:rsid w:val="009C4A4E"/>
    <w:rsid w:val="009E298C"/>
    <w:rsid w:val="009E51E2"/>
    <w:rsid w:val="009E7A4C"/>
    <w:rsid w:val="009F1244"/>
    <w:rsid w:val="009F7BEC"/>
    <w:rsid w:val="00A00792"/>
    <w:rsid w:val="00A04723"/>
    <w:rsid w:val="00A131B0"/>
    <w:rsid w:val="00A13733"/>
    <w:rsid w:val="00A13FF5"/>
    <w:rsid w:val="00A155E6"/>
    <w:rsid w:val="00A17065"/>
    <w:rsid w:val="00A234E4"/>
    <w:rsid w:val="00A33497"/>
    <w:rsid w:val="00A40F40"/>
    <w:rsid w:val="00A421E5"/>
    <w:rsid w:val="00A42AC8"/>
    <w:rsid w:val="00A51575"/>
    <w:rsid w:val="00A521F9"/>
    <w:rsid w:val="00A5329F"/>
    <w:rsid w:val="00A54490"/>
    <w:rsid w:val="00A60426"/>
    <w:rsid w:val="00A675D7"/>
    <w:rsid w:val="00A707F6"/>
    <w:rsid w:val="00A762B8"/>
    <w:rsid w:val="00A83445"/>
    <w:rsid w:val="00A93AD0"/>
    <w:rsid w:val="00A94068"/>
    <w:rsid w:val="00AA311D"/>
    <w:rsid w:val="00AA32FA"/>
    <w:rsid w:val="00AA36A1"/>
    <w:rsid w:val="00AB0314"/>
    <w:rsid w:val="00AB4E49"/>
    <w:rsid w:val="00AC7DEA"/>
    <w:rsid w:val="00AD1B1B"/>
    <w:rsid w:val="00AD2CDD"/>
    <w:rsid w:val="00AD2E58"/>
    <w:rsid w:val="00AD7BE6"/>
    <w:rsid w:val="00AE43EB"/>
    <w:rsid w:val="00AE4583"/>
    <w:rsid w:val="00AE734E"/>
    <w:rsid w:val="00AF0564"/>
    <w:rsid w:val="00AF0DD9"/>
    <w:rsid w:val="00AF18C1"/>
    <w:rsid w:val="00B028FD"/>
    <w:rsid w:val="00B02DF0"/>
    <w:rsid w:val="00B046F9"/>
    <w:rsid w:val="00B1174D"/>
    <w:rsid w:val="00B1585F"/>
    <w:rsid w:val="00B409CF"/>
    <w:rsid w:val="00B43FE3"/>
    <w:rsid w:val="00B44042"/>
    <w:rsid w:val="00B468CF"/>
    <w:rsid w:val="00B5752D"/>
    <w:rsid w:val="00B575F9"/>
    <w:rsid w:val="00B601C8"/>
    <w:rsid w:val="00B60AEA"/>
    <w:rsid w:val="00B62AF4"/>
    <w:rsid w:val="00B70AD1"/>
    <w:rsid w:val="00B7307A"/>
    <w:rsid w:val="00B73E4F"/>
    <w:rsid w:val="00B7648A"/>
    <w:rsid w:val="00B769B3"/>
    <w:rsid w:val="00B852A7"/>
    <w:rsid w:val="00B9360F"/>
    <w:rsid w:val="00B967DC"/>
    <w:rsid w:val="00B97326"/>
    <w:rsid w:val="00BA06B7"/>
    <w:rsid w:val="00BA3485"/>
    <w:rsid w:val="00BA51C8"/>
    <w:rsid w:val="00BB1253"/>
    <w:rsid w:val="00BB3E1D"/>
    <w:rsid w:val="00BB3FE6"/>
    <w:rsid w:val="00BB5CB2"/>
    <w:rsid w:val="00BB7017"/>
    <w:rsid w:val="00BB7EC4"/>
    <w:rsid w:val="00BC2D55"/>
    <w:rsid w:val="00BC787B"/>
    <w:rsid w:val="00BC7AE1"/>
    <w:rsid w:val="00BD3DBA"/>
    <w:rsid w:val="00BD7899"/>
    <w:rsid w:val="00BE0B1F"/>
    <w:rsid w:val="00BF00B1"/>
    <w:rsid w:val="00BF2678"/>
    <w:rsid w:val="00BF3762"/>
    <w:rsid w:val="00BF3AEC"/>
    <w:rsid w:val="00BF3AF2"/>
    <w:rsid w:val="00BF4165"/>
    <w:rsid w:val="00C00511"/>
    <w:rsid w:val="00C04FA7"/>
    <w:rsid w:val="00C0594F"/>
    <w:rsid w:val="00C1104C"/>
    <w:rsid w:val="00C25BA6"/>
    <w:rsid w:val="00C31C59"/>
    <w:rsid w:val="00C35F18"/>
    <w:rsid w:val="00C41D82"/>
    <w:rsid w:val="00C505A8"/>
    <w:rsid w:val="00C50838"/>
    <w:rsid w:val="00C5324B"/>
    <w:rsid w:val="00C54E7B"/>
    <w:rsid w:val="00C7420B"/>
    <w:rsid w:val="00C811C5"/>
    <w:rsid w:val="00C82017"/>
    <w:rsid w:val="00C90F25"/>
    <w:rsid w:val="00C952B5"/>
    <w:rsid w:val="00CA1600"/>
    <w:rsid w:val="00CB3048"/>
    <w:rsid w:val="00CB439B"/>
    <w:rsid w:val="00CC06DB"/>
    <w:rsid w:val="00CC0E26"/>
    <w:rsid w:val="00CC46E4"/>
    <w:rsid w:val="00CD2C69"/>
    <w:rsid w:val="00CD5063"/>
    <w:rsid w:val="00CE2B90"/>
    <w:rsid w:val="00CE38D4"/>
    <w:rsid w:val="00CE47DF"/>
    <w:rsid w:val="00CE5C58"/>
    <w:rsid w:val="00CF7826"/>
    <w:rsid w:val="00CF7E96"/>
    <w:rsid w:val="00D0126D"/>
    <w:rsid w:val="00D0225A"/>
    <w:rsid w:val="00D02C87"/>
    <w:rsid w:val="00D157C9"/>
    <w:rsid w:val="00D21A71"/>
    <w:rsid w:val="00D26A45"/>
    <w:rsid w:val="00D31E90"/>
    <w:rsid w:val="00D33C58"/>
    <w:rsid w:val="00D36A04"/>
    <w:rsid w:val="00D36D49"/>
    <w:rsid w:val="00D37E76"/>
    <w:rsid w:val="00D53EE1"/>
    <w:rsid w:val="00D552BF"/>
    <w:rsid w:val="00D553F6"/>
    <w:rsid w:val="00D74F96"/>
    <w:rsid w:val="00D808FA"/>
    <w:rsid w:val="00D81391"/>
    <w:rsid w:val="00D81DB3"/>
    <w:rsid w:val="00D84BE0"/>
    <w:rsid w:val="00D979BC"/>
    <w:rsid w:val="00DA57CF"/>
    <w:rsid w:val="00DA7681"/>
    <w:rsid w:val="00DB1A37"/>
    <w:rsid w:val="00DC54CB"/>
    <w:rsid w:val="00DD39BE"/>
    <w:rsid w:val="00DD6312"/>
    <w:rsid w:val="00E03DEB"/>
    <w:rsid w:val="00E142D1"/>
    <w:rsid w:val="00E21B4F"/>
    <w:rsid w:val="00E3013E"/>
    <w:rsid w:val="00E32887"/>
    <w:rsid w:val="00E34044"/>
    <w:rsid w:val="00E3746D"/>
    <w:rsid w:val="00E4032A"/>
    <w:rsid w:val="00E52778"/>
    <w:rsid w:val="00E54640"/>
    <w:rsid w:val="00E55EB0"/>
    <w:rsid w:val="00E56566"/>
    <w:rsid w:val="00E56B93"/>
    <w:rsid w:val="00E574FE"/>
    <w:rsid w:val="00E6082C"/>
    <w:rsid w:val="00E76794"/>
    <w:rsid w:val="00E91BE5"/>
    <w:rsid w:val="00E9219B"/>
    <w:rsid w:val="00E9239A"/>
    <w:rsid w:val="00E93535"/>
    <w:rsid w:val="00E972EF"/>
    <w:rsid w:val="00EA3802"/>
    <w:rsid w:val="00EA51B2"/>
    <w:rsid w:val="00EA76A2"/>
    <w:rsid w:val="00EA7962"/>
    <w:rsid w:val="00EB0C2B"/>
    <w:rsid w:val="00EB230D"/>
    <w:rsid w:val="00EB5B64"/>
    <w:rsid w:val="00EC4CCA"/>
    <w:rsid w:val="00EC5BE8"/>
    <w:rsid w:val="00ED0053"/>
    <w:rsid w:val="00ED2A9E"/>
    <w:rsid w:val="00ED45C7"/>
    <w:rsid w:val="00ED69B2"/>
    <w:rsid w:val="00EE1A7E"/>
    <w:rsid w:val="00EE7537"/>
    <w:rsid w:val="00EF6004"/>
    <w:rsid w:val="00F0696E"/>
    <w:rsid w:val="00F14891"/>
    <w:rsid w:val="00F1572C"/>
    <w:rsid w:val="00F23AFF"/>
    <w:rsid w:val="00F26FBB"/>
    <w:rsid w:val="00F33129"/>
    <w:rsid w:val="00F36403"/>
    <w:rsid w:val="00F368E4"/>
    <w:rsid w:val="00F5514A"/>
    <w:rsid w:val="00F563E9"/>
    <w:rsid w:val="00F65383"/>
    <w:rsid w:val="00F65DF8"/>
    <w:rsid w:val="00F67135"/>
    <w:rsid w:val="00F72B95"/>
    <w:rsid w:val="00F732A1"/>
    <w:rsid w:val="00F846FD"/>
    <w:rsid w:val="00F859A7"/>
    <w:rsid w:val="00F86D56"/>
    <w:rsid w:val="00F9265D"/>
    <w:rsid w:val="00F926B1"/>
    <w:rsid w:val="00F96FEB"/>
    <w:rsid w:val="00FA454F"/>
    <w:rsid w:val="00FB0BD0"/>
    <w:rsid w:val="00FB4ED9"/>
    <w:rsid w:val="00FB7D79"/>
    <w:rsid w:val="00FC462A"/>
    <w:rsid w:val="00FC6BB9"/>
    <w:rsid w:val="00FC7DED"/>
    <w:rsid w:val="00FE03A5"/>
    <w:rsid w:val="00FF5C5D"/>
  </w:rsids>
  <m:mathPr>
    <m:mathFont m:val="Cambria Math"/>
    <m:brkBin m:val="before"/>
    <m:brkBinSub m:val="--"/>
    <m:smallFrac/>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32F0A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7AE1"/>
    <w:pPr>
      <w:spacing w:before="240"/>
    </w:pPr>
    <w:rPr>
      <w:sz w:val="24"/>
    </w:rPr>
  </w:style>
  <w:style w:type="paragraph" w:styleId="Heading1">
    <w:name w:val="heading 1"/>
    <w:basedOn w:val="Normal"/>
    <w:next w:val="Standardnach1"/>
    <w:link w:val="Heading1Char"/>
    <w:uiPriority w:val="9"/>
    <w:qFormat/>
    <w:rsid w:val="00FE03A5"/>
    <w:pPr>
      <w:keepNext/>
      <w:keepLines/>
      <w:tabs>
        <w:tab w:val="num" w:pos="397"/>
      </w:tabs>
      <w:ind w:left="397" w:hanging="397"/>
      <w:outlineLvl w:val="0"/>
    </w:pPr>
    <w:rPr>
      <w:rFonts w:eastAsiaTheme="majorEastAsia" w:cstheme="majorBidi"/>
      <w:bCs/>
      <w:szCs w:val="28"/>
    </w:rPr>
  </w:style>
  <w:style w:type="paragraph" w:styleId="Heading2">
    <w:name w:val="heading 2"/>
    <w:basedOn w:val="Standardnach2"/>
    <w:next w:val="Normal"/>
    <w:qFormat/>
    <w:rsid w:val="00177E71"/>
    <w:pPr>
      <w:keepNext/>
      <w:numPr>
        <w:ilvl w:val="1"/>
        <w:numId w:val="5"/>
      </w:num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80114"/>
    <w:pPr>
      <w:tabs>
        <w:tab w:val="center" w:pos="4536"/>
        <w:tab w:val="right" w:pos="9072"/>
      </w:tabs>
    </w:pPr>
  </w:style>
  <w:style w:type="paragraph" w:styleId="Footer">
    <w:name w:val="footer"/>
    <w:basedOn w:val="Normal"/>
    <w:rsid w:val="00980114"/>
    <w:pPr>
      <w:tabs>
        <w:tab w:val="center" w:pos="4536"/>
        <w:tab w:val="right" w:pos="9072"/>
      </w:tabs>
    </w:pPr>
  </w:style>
  <w:style w:type="paragraph" w:styleId="Caption">
    <w:name w:val="caption"/>
    <w:basedOn w:val="Normal"/>
    <w:next w:val="Normal"/>
    <w:qFormat/>
    <w:rsid w:val="006D5A41"/>
    <w:pPr>
      <w:spacing w:after="240"/>
    </w:pPr>
    <w:rPr>
      <w:noProof/>
    </w:rPr>
  </w:style>
  <w:style w:type="paragraph" w:styleId="BodyTextIndent">
    <w:name w:val="Body Text Indent"/>
    <w:basedOn w:val="Normal"/>
    <w:rsid w:val="00980114"/>
    <w:pPr>
      <w:ind w:left="708" w:firstLine="426"/>
    </w:pPr>
    <w:rPr>
      <w:rFonts w:ascii="RotisSemiSerif" w:hAnsi="RotisSemiSerif"/>
      <w:color w:val="000000"/>
      <w:sz w:val="16"/>
    </w:rPr>
  </w:style>
  <w:style w:type="paragraph" w:styleId="BodyTextIndent2">
    <w:name w:val="Body Text Indent 2"/>
    <w:basedOn w:val="Normal"/>
    <w:rsid w:val="00980114"/>
    <w:pPr>
      <w:ind w:left="2127" w:hanging="3"/>
    </w:pPr>
    <w:rPr>
      <w:rFonts w:ascii="RotisSemiSerif" w:hAnsi="RotisSemiSerif"/>
      <w:sz w:val="22"/>
    </w:rPr>
  </w:style>
  <w:style w:type="paragraph" w:styleId="BodyText">
    <w:name w:val="Body Text"/>
    <w:basedOn w:val="Normal"/>
    <w:rsid w:val="00980114"/>
    <w:pPr>
      <w:jc w:val="center"/>
    </w:pPr>
    <w:rPr>
      <w:sz w:val="16"/>
    </w:rPr>
  </w:style>
  <w:style w:type="paragraph" w:styleId="BalloonText">
    <w:name w:val="Balloon Text"/>
    <w:basedOn w:val="Normal"/>
    <w:semiHidden/>
    <w:rsid w:val="00980114"/>
    <w:rPr>
      <w:rFonts w:ascii="Tahoma" w:hAnsi="Tahoma" w:cs="Tahoma"/>
      <w:sz w:val="16"/>
      <w:szCs w:val="16"/>
    </w:rPr>
  </w:style>
  <w:style w:type="character" w:styleId="Hyperlink">
    <w:name w:val="Hyperlink"/>
    <w:basedOn w:val="DefaultParagraphFont"/>
    <w:rsid w:val="00980114"/>
    <w:rPr>
      <w:color w:val="0000FF"/>
      <w:u w:val="single"/>
    </w:rPr>
  </w:style>
  <w:style w:type="character" w:styleId="FollowedHyperlink">
    <w:name w:val="FollowedHyperlink"/>
    <w:basedOn w:val="DefaultParagraphFont"/>
    <w:rsid w:val="00980114"/>
    <w:rPr>
      <w:color w:val="800080"/>
      <w:u w:val="single"/>
    </w:rPr>
  </w:style>
  <w:style w:type="character" w:styleId="PageNumber">
    <w:name w:val="page number"/>
    <w:basedOn w:val="DefaultParagraphFont"/>
    <w:rsid w:val="00A762B8"/>
    <w:rPr>
      <w:rFonts w:ascii="Garamond" w:hAnsi="Garamond"/>
      <w:sz w:val="16"/>
    </w:rPr>
  </w:style>
  <w:style w:type="paragraph" w:customStyle="1" w:styleId="KeinAbsatzformat">
    <w:name w:val="[Kein Absatzformat]"/>
    <w:rsid w:val="00A42AC8"/>
    <w:pPr>
      <w:autoSpaceDE w:val="0"/>
      <w:autoSpaceDN w:val="0"/>
      <w:adjustRightInd w:val="0"/>
      <w:spacing w:line="288" w:lineRule="auto"/>
      <w:textAlignment w:val="center"/>
    </w:pPr>
    <w:rPr>
      <w:color w:val="000000"/>
      <w:sz w:val="24"/>
      <w:szCs w:val="24"/>
    </w:rPr>
  </w:style>
  <w:style w:type="character" w:customStyle="1" w:styleId="HeaderChar">
    <w:name w:val="Header Char"/>
    <w:basedOn w:val="DefaultParagraphFont"/>
    <w:link w:val="Header"/>
    <w:rsid w:val="00586919"/>
  </w:style>
  <w:style w:type="paragraph" w:styleId="BodyText2">
    <w:name w:val="Body Text 2"/>
    <w:basedOn w:val="Normal"/>
    <w:rsid w:val="004F76C0"/>
    <w:rPr>
      <w:rFonts w:ascii="Garamond" w:hAnsi="Garamond"/>
    </w:rPr>
  </w:style>
  <w:style w:type="character" w:customStyle="1" w:styleId="Heading1Char">
    <w:name w:val="Heading 1 Char"/>
    <w:basedOn w:val="DefaultParagraphFont"/>
    <w:link w:val="Heading1"/>
    <w:uiPriority w:val="9"/>
    <w:rsid w:val="00FE03A5"/>
    <w:rPr>
      <w:rFonts w:eastAsiaTheme="majorEastAsia" w:cstheme="majorBidi"/>
      <w:bCs/>
      <w:sz w:val="24"/>
      <w:szCs w:val="28"/>
    </w:rPr>
  </w:style>
  <w:style w:type="paragraph" w:customStyle="1" w:styleId="Standardnach1">
    <w:name w:val="Standard nach Ü1"/>
    <w:basedOn w:val="Normal"/>
    <w:link w:val="Standardnach1Zchn"/>
    <w:qFormat/>
    <w:rsid w:val="007538B7"/>
    <w:pPr>
      <w:ind w:left="397"/>
    </w:pPr>
  </w:style>
  <w:style w:type="character" w:customStyle="1" w:styleId="Standardnach1Zchn">
    <w:name w:val="Standard nach Ü1 Zchn"/>
    <w:basedOn w:val="DefaultParagraphFont"/>
    <w:link w:val="Standardnach1"/>
    <w:rsid w:val="007538B7"/>
    <w:rPr>
      <w:sz w:val="24"/>
    </w:rPr>
  </w:style>
  <w:style w:type="paragraph" w:customStyle="1" w:styleId="Standardnach2">
    <w:name w:val="Standard nach Ü2"/>
    <w:basedOn w:val="Normal"/>
    <w:link w:val="Standardnach2Zchn"/>
    <w:qFormat/>
    <w:rsid w:val="00FE03A5"/>
    <w:pPr>
      <w:ind w:left="794"/>
    </w:pPr>
  </w:style>
  <w:style w:type="character" w:customStyle="1" w:styleId="Standardnach2Zchn">
    <w:name w:val="Standard nach Ü2 Zchn"/>
    <w:basedOn w:val="DefaultParagraphFont"/>
    <w:link w:val="Standardnach2"/>
    <w:rsid w:val="00FE03A5"/>
    <w:rPr>
      <w:sz w:val="24"/>
    </w:rPr>
  </w:style>
  <w:style w:type="paragraph" w:styleId="PlainText">
    <w:name w:val="Plain Text"/>
    <w:basedOn w:val="Normal"/>
    <w:link w:val="PlainTextChar"/>
    <w:uiPriority w:val="99"/>
    <w:unhideWhenUsed/>
    <w:rsid w:val="00EB5B64"/>
    <w:pPr>
      <w:spacing w:before="0"/>
    </w:pPr>
    <w:rPr>
      <w:rFonts w:ascii="Calibri" w:eastAsiaTheme="minorHAnsi" w:hAnsi="Calibri" w:cs="Consolas"/>
      <w:sz w:val="22"/>
      <w:szCs w:val="21"/>
      <w:lang w:eastAsia="en-US"/>
    </w:rPr>
  </w:style>
  <w:style w:type="character" w:customStyle="1" w:styleId="PlainTextChar">
    <w:name w:val="Plain Text Char"/>
    <w:basedOn w:val="DefaultParagraphFont"/>
    <w:link w:val="PlainText"/>
    <w:uiPriority w:val="99"/>
    <w:rsid w:val="00EB5B64"/>
    <w:rPr>
      <w:rFonts w:ascii="Calibri" w:eastAsiaTheme="minorHAnsi" w:hAnsi="Calibri" w:cs="Consolas"/>
      <w:sz w:val="22"/>
      <w:szCs w:val="21"/>
      <w:lang w:eastAsia="en-US"/>
    </w:rPr>
  </w:style>
  <w:style w:type="paragraph" w:customStyle="1" w:styleId="EinfAbs">
    <w:name w:val="[Einf. Abs.]"/>
    <w:basedOn w:val="Normal"/>
    <w:uiPriority w:val="99"/>
    <w:rsid w:val="0098382C"/>
    <w:pPr>
      <w:widowControl w:val="0"/>
      <w:autoSpaceDE w:val="0"/>
      <w:autoSpaceDN w:val="0"/>
      <w:adjustRightInd w:val="0"/>
      <w:spacing w:before="0" w:line="288" w:lineRule="auto"/>
    </w:pPr>
    <w:rPr>
      <w:rFonts w:ascii="MinionPro-Regular" w:hAnsi="MinionPro-Regular" w:cs="MinionPro-Regular"/>
      <w:color w:val="000000"/>
      <w:szCs w:val="24"/>
    </w:rPr>
  </w:style>
  <w:style w:type="paragraph" w:styleId="NoSpacing">
    <w:name w:val="No Spacing"/>
    <w:uiPriority w:val="1"/>
    <w:qFormat/>
    <w:rsid w:val="007B102C"/>
    <w:rPr>
      <w:sz w:val="24"/>
    </w:rPr>
  </w:style>
  <w:style w:type="character" w:customStyle="1" w:styleId="st">
    <w:name w:val="st"/>
    <w:basedOn w:val="DefaultParagraphFont"/>
    <w:rsid w:val="00734375"/>
  </w:style>
  <w:style w:type="paragraph" w:styleId="ListParagraph">
    <w:name w:val="List Paragraph"/>
    <w:basedOn w:val="Normal"/>
    <w:uiPriority w:val="34"/>
    <w:qFormat/>
    <w:rsid w:val="00CE38D4"/>
    <w:pPr>
      <w:spacing w:before="0"/>
      <w:ind w:left="720"/>
      <w:contextualSpacing/>
    </w:pPr>
    <w:rPr>
      <w:rFonts w:eastAsia="Times New Roman"/>
      <w:szCs w:val="24"/>
    </w:rPr>
  </w:style>
  <w:style w:type="character" w:customStyle="1" w:styleId="UnresolvedMention">
    <w:name w:val="Unresolved Mention"/>
    <w:basedOn w:val="DefaultParagraphFont"/>
    <w:uiPriority w:val="99"/>
    <w:semiHidden/>
    <w:unhideWhenUsed/>
    <w:rsid w:val="00410D7E"/>
    <w:rPr>
      <w:color w:val="605E5C"/>
      <w:shd w:val="clear" w:color="auto" w:fill="E1DFDD"/>
    </w:rPr>
  </w:style>
  <w:style w:type="character" w:styleId="CommentReference">
    <w:name w:val="annotation reference"/>
    <w:basedOn w:val="DefaultParagraphFont"/>
    <w:uiPriority w:val="99"/>
    <w:semiHidden/>
    <w:unhideWhenUsed/>
    <w:rsid w:val="00927552"/>
    <w:rPr>
      <w:sz w:val="16"/>
      <w:szCs w:val="16"/>
    </w:rPr>
  </w:style>
  <w:style w:type="paragraph" w:styleId="CommentText">
    <w:name w:val="annotation text"/>
    <w:basedOn w:val="Normal"/>
    <w:link w:val="CommentTextChar"/>
    <w:uiPriority w:val="99"/>
    <w:semiHidden/>
    <w:unhideWhenUsed/>
    <w:rsid w:val="00927552"/>
    <w:rPr>
      <w:sz w:val="20"/>
    </w:rPr>
  </w:style>
  <w:style w:type="character" w:customStyle="1" w:styleId="CommentTextChar">
    <w:name w:val="Comment Text Char"/>
    <w:basedOn w:val="DefaultParagraphFont"/>
    <w:link w:val="CommentText"/>
    <w:uiPriority w:val="99"/>
    <w:semiHidden/>
    <w:rsid w:val="00927552"/>
  </w:style>
  <w:style w:type="paragraph" w:styleId="CommentSubject">
    <w:name w:val="annotation subject"/>
    <w:basedOn w:val="CommentText"/>
    <w:next w:val="CommentText"/>
    <w:link w:val="CommentSubjectChar"/>
    <w:uiPriority w:val="99"/>
    <w:semiHidden/>
    <w:unhideWhenUsed/>
    <w:rsid w:val="00927552"/>
    <w:rPr>
      <w:b/>
      <w:bCs/>
    </w:rPr>
  </w:style>
  <w:style w:type="character" w:customStyle="1" w:styleId="CommentSubjectChar">
    <w:name w:val="Comment Subject Char"/>
    <w:basedOn w:val="CommentTextChar"/>
    <w:link w:val="CommentSubject"/>
    <w:uiPriority w:val="99"/>
    <w:semiHidden/>
    <w:rsid w:val="00927552"/>
    <w:rPr>
      <w:b/>
      <w:bCs/>
    </w:rPr>
  </w:style>
  <w:style w:type="paragraph" w:styleId="FootnoteText">
    <w:name w:val="footnote text"/>
    <w:aliases w:val="fn,footnote text,Testo nota a piè di pagina Carattere1 Carattere,Testo nota a piè di pagina Carattere Carattere Carattere,Testo nota a piè di pagina Carattere1 Carattere Carattere Carattere,Car Char,Car,ft,Fußnotentext Char"/>
    <w:basedOn w:val="Normal"/>
    <w:link w:val="FootnoteTextChar"/>
    <w:uiPriority w:val="99"/>
    <w:unhideWhenUsed/>
    <w:qFormat/>
    <w:rsid w:val="00306E28"/>
    <w:pPr>
      <w:spacing w:before="0"/>
    </w:pPr>
    <w:rPr>
      <w:sz w:val="20"/>
    </w:rPr>
  </w:style>
  <w:style w:type="character" w:customStyle="1" w:styleId="FootnoteTextChar">
    <w:name w:val="Footnote Text Char"/>
    <w:aliases w:val="fn Char,footnote text Char,Testo nota a piè di pagina Carattere1 Carattere Char,Testo nota a piè di pagina Carattere Carattere Carattere Char,Testo nota a piè di pagina Carattere1 Carattere Carattere Carattere Char,Car Char Char"/>
    <w:basedOn w:val="DefaultParagraphFont"/>
    <w:link w:val="FootnoteText"/>
    <w:uiPriority w:val="99"/>
    <w:rsid w:val="00306E28"/>
  </w:style>
  <w:style w:type="character" w:styleId="FootnoteReference">
    <w:name w:val="footnote reference"/>
    <w:aliases w:val="fr,Rimando notaOreste,Rimando notaOreste1,Rimando notaOreste2,nota a piè di pagina,NOTE del CAZZO,Rimando notaOreste3,Rimando notaOreste11,Rimando notaOreste21,Rimando notaOreste4,Rimando notaOreste12,Rimando notaOreste22"/>
    <w:basedOn w:val="DefaultParagraphFont"/>
    <w:uiPriority w:val="99"/>
    <w:unhideWhenUsed/>
    <w:qFormat/>
    <w:rsid w:val="00306E28"/>
    <w:rPr>
      <w:vertAlign w:val="superscript"/>
    </w:rPr>
  </w:style>
  <w:style w:type="character" w:customStyle="1" w:styleId="hgkelc">
    <w:name w:val="hgkelc"/>
    <w:basedOn w:val="DefaultParagraphFont"/>
    <w:rsid w:val="00040F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065906">
      <w:bodyDiv w:val="1"/>
      <w:marLeft w:val="0"/>
      <w:marRight w:val="0"/>
      <w:marTop w:val="0"/>
      <w:marBottom w:val="0"/>
      <w:divBdr>
        <w:top w:val="none" w:sz="0" w:space="0" w:color="auto"/>
        <w:left w:val="none" w:sz="0" w:space="0" w:color="auto"/>
        <w:bottom w:val="none" w:sz="0" w:space="0" w:color="auto"/>
        <w:right w:val="none" w:sz="0" w:space="0" w:color="auto"/>
      </w:divBdr>
      <w:divsChild>
        <w:div w:id="2054697465">
          <w:marLeft w:val="547"/>
          <w:marRight w:val="0"/>
          <w:marTop w:val="58"/>
          <w:marBottom w:val="0"/>
          <w:divBdr>
            <w:top w:val="none" w:sz="0" w:space="0" w:color="auto"/>
            <w:left w:val="none" w:sz="0" w:space="0" w:color="auto"/>
            <w:bottom w:val="none" w:sz="0" w:space="0" w:color="auto"/>
            <w:right w:val="none" w:sz="0" w:space="0" w:color="auto"/>
          </w:divBdr>
        </w:div>
        <w:div w:id="1112630318">
          <w:marLeft w:val="547"/>
          <w:marRight w:val="0"/>
          <w:marTop w:val="58"/>
          <w:marBottom w:val="0"/>
          <w:divBdr>
            <w:top w:val="none" w:sz="0" w:space="0" w:color="auto"/>
            <w:left w:val="none" w:sz="0" w:space="0" w:color="auto"/>
            <w:bottom w:val="none" w:sz="0" w:space="0" w:color="auto"/>
            <w:right w:val="none" w:sz="0" w:space="0" w:color="auto"/>
          </w:divBdr>
        </w:div>
        <w:div w:id="150802593">
          <w:marLeft w:val="547"/>
          <w:marRight w:val="0"/>
          <w:marTop w:val="58"/>
          <w:marBottom w:val="0"/>
          <w:divBdr>
            <w:top w:val="none" w:sz="0" w:space="0" w:color="auto"/>
            <w:left w:val="none" w:sz="0" w:space="0" w:color="auto"/>
            <w:bottom w:val="none" w:sz="0" w:space="0" w:color="auto"/>
            <w:right w:val="none" w:sz="0" w:space="0" w:color="auto"/>
          </w:divBdr>
        </w:div>
        <w:div w:id="2016490412">
          <w:marLeft w:val="547"/>
          <w:marRight w:val="0"/>
          <w:marTop w:val="58"/>
          <w:marBottom w:val="0"/>
          <w:divBdr>
            <w:top w:val="none" w:sz="0" w:space="0" w:color="auto"/>
            <w:left w:val="none" w:sz="0" w:space="0" w:color="auto"/>
            <w:bottom w:val="none" w:sz="0" w:space="0" w:color="auto"/>
            <w:right w:val="none" w:sz="0" w:space="0" w:color="auto"/>
          </w:divBdr>
        </w:div>
        <w:div w:id="1948657906">
          <w:marLeft w:val="547"/>
          <w:marRight w:val="0"/>
          <w:marTop w:val="58"/>
          <w:marBottom w:val="0"/>
          <w:divBdr>
            <w:top w:val="none" w:sz="0" w:space="0" w:color="auto"/>
            <w:left w:val="none" w:sz="0" w:space="0" w:color="auto"/>
            <w:bottom w:val="none" w:sz="0" w:space="0" w:color="auto"/>
            <w:right w:val="none" w:sz="0" w:space="0" w:color="auto"/>
          </w:divBdr>
        </w:div>
        <w:div w:id="1177305109">
          <w:marLeft w:val="547"/>
          <w:marRight w:val="0"/>
          <w:marTop w:val="58"/>
          <w:marBottom w:val="0"/>
          <w:divBdr>
            <w:top w:val="none" w:sz="0" w:space="0" w:color="auto"/>
            <w:left w:val="none" w:sz="0" w:space="0" w:color="auto"/>
            <w:bottom w:val="none" w:sz="0" w:space="0" w:color="auto"/>
            <w:right w:val="none" w:sz="0" w:space="0" w:color="auto"/>
          </w:divBdr>
        </w:div>
        <w:div w:id="440299359">
          <w:marLeft w:val="547"/>
          <w:marRight w:val="0"/>
          <w:marTop w:val="58"/>
          <w:marBottom w:val="0"/>
          <w:divBdr>
            <w:top w:val="none" w:sz="0" w:space="0" w:color="auto"/>
            <w:left w:val="none" w:sz="0" w:space="0" w:color="auto"/>
            <w:bottom w:val="none" w:sz="0" w:space="0" w:color="auto"/>
            <w:right w:val="none" w:sz="0" w:space="0" w:color="auto"/>
          </w:divBdr>
        </w:div>
        <w:div w:id="2085955096">
          <w:marLeft w:val="547"/>
          <w:marRight w:val="0"/>
          <w:marTop w:val="58"/>
          <w:marBottom w:val="0"/>
          <w:divBdr>
            <w:top w:val="none" w:sz="0" w:space="0" w:color="auto"/>
            <w:left w:val="none" w:sz="0" w:space="0" w:color="auto"/>
            <w:bottom w:val="none" w:sz="0" w:space="0" w:color="auto"/>
            <w:right w:val="none" w:sz="0" w:space="0" w:color="auto"/>
          </w:divBdr>
        </w:div>
        <w:div w:id="1610821681">
          <w:marLeft w:val="547"/>
          <w:marRight w:val="0"/>
          <w:marTop w:val="58"/>
          <w:marBottom w:val="0"/>
          <w:divBdr>
            <w:top w:val="none" w:sz="0" w:space="0" w:color="auto"/>
            <w:left w:val="none" w:sz="0" w:space="0" w:color="auto"/>
            <w:bottom w:val="none" w:sz="0" w:space="0" w:color="auto"/>
            <w:right w:val="none" w:sz="0" w:space="0" w:color="auto"/>
          </w:divBdr>
        </w:div>
        <w:div w:id="886792861">
          <w:marLeft w:val="547"/>
          <w:marRight w:val="0"/>
          <w:marTop w:val="58"/>
          <w:marBottom w:val="0"/>
          <w:divBdr>
            <w:top w:val="none" w:sz="0" w:space="0" w:color="auto"/>
            <w:left w:val="none" w:sz="0" w:space="0" w:color="auto"/>
            <w:bottom w:val="none" w:sz="0" w:space="0" w:color="auto"/>
            <w:right w:val="none" w:sz="0" w:space="0" w:color="auto"/>
          </w:divBdr>
        </w:div>
        <w:div w:id="439296759">
          <w:marLeft w:val="547"/>
          <w:marRight w:val="0"/>
          <w:marTop w:val="58"/>
          <w:marBottom w:val="0"/>
          <w:divBdr>
            <w:top w:val="none" w:sz="0" w:space="0" w:color="auto"/>
            <w:left w:val="none" w:sz="0" w:space="0" w:color="auto"/>
            <w:bottom w:val="none" w:sz="0" w:space="0" w:color="auto"/>
            <w:right w:val="none" w:sz="0" w:space="0" w:color="auto"/>
          </w:divBdr>
        </w:div>
        <w:div w:id="1690909330">
          <w:marLeft w:val="547"/>
          <w:marRight w:val="0"/>
          <w:marTop w:val="58"/>
          <w:marBottom w:val="0"/>
          <w:divBdr>
            <w:top w:val="none" w:sz="0" w:space="0" w:color="auto"/>
            <w:left w:val="none" w:sz="0" w:space="0" w:color="auto"/>
            <w:bottom w:val="none" w:sz="0" w:space="0" w:color="auto"/>
            <w:right w:val="none" w:sz="0" w:space="0" w:color="auto"/>
          </w:divBdr>
        </w:div>
        <w:div w:id="1023627018">
          <w:marLeft w:val="547"/>
          <w:marRight w:val="0"/>
          <w:marTop w:val="58"/>
          <w:marBottom w:val="0"/>
          <w:divBdr>
            <w:top w:val="none" w:sz="0" w:space="0" w:color="auto"/>
            <w:left w:val="none" w:sz="0" w:space="0" w:color="auto"/>
            <w:bottom w:val="none" w:sz="0" w:space="0" w:color="auto"/>
            <w:right w:val="none" w:sz="0" w:space="0" w:color="auto"/>
          </w:divBdr>
        </w:div>
        <w:div w:id="1382316591">
          <w:marLeft w:val="547"/>
          <w:marRight w:val="0"/>
          <w:marTop w:val="58"/>
          <w:marBottom w:val="0"/>
          <w:divBdr>
            <w:top w:val="none" w:sz="0" w:space="0" w:color="auto"/>
            <w:left w:val="none" w:sz="0" w:space="0" w:color="auto"/>
            <w:bottom w:val="none" w:sz="0" w:space="0" w:color="auto"/>
            <w:right w:val="none" w:sz="0" w:space="0" w:color="auto"/>
          </w:divBdr>
        </w:div>
      </w:divsChild>
    </w:div>
    <w:div w:id="515077990">
      <w:bodyDiv w:val="1"/>
      <w:marLeft w:val="0"/>
      <w:marRight w:val="0"/>
      <w:marTop w:val="0"/>
      <w:marBottom w:val="0"/>
      <w:divBdr>
        <w:top w:val="none" w:sz="0" w:space="0" w:color="auto"/>
        <w:left w:val="none" w:sz="0" w:space="0" w:color="auto"/>
        <w:bottom w:val="none" w:sz="0" w:space="0" w:color="auto"/>
        <w:right w:val="none" w:sz="0" w:space="0" w:color="auto"/>
      </w:divBdr>
    </w:div>
    <w:div w:id="1023049350">
      <w:bodyDiv w:val="1"/>
      <w:marLeft w:val="0"/>
      <w:marRight w:val="0"/>
      <w:marTop w:val="0"/>
      <w:marBottom w:val="0"/>
      <w:divBdr>
        <w:top w:val="none" w:sz="0" w:space="0" w:color="auto"/>
        <w:left w:val="none" w:sz="0" w:space="0" w:color="auto"/>
        <w:bottom w:val="none" w:sz="0" w:space="0" w:color="auto"/>
        <w:right w:val="none" w:sz="0" w:space="0" w:color="auto"/>
      </w:divBdr>
    </w:div>
    <w:div w:id="1191452712">
      <w:bodyDiv w:val="1"/>
      <w:marLeft w:val="0"/>
      <w:marRight w:val="0"/>
      <w:marTop w:val="0"/>
      <w:marBottom w:val="0"/>
      <w:divBdr>
        <w:top w:val="none" w:sz="0" w:space="0" w:color="auto"/>
        <w:left w:val="none" w:sz="0" w:space="0" w:color="auto"/>
        <w:bottom w:val="none" w:sz="0" w:space="0" w:color="auto"/>
        <w:right w:val="none" w:sz="0" w:space="0" w:color="auto"/>
      </w:divBdr>
    </w:div>
    <w:div w:id="1421368909">
      <w:bodyDiv w:val="1"/>
      <w:marLeft w:val="0"/>
      <w:marRight w:val="0"/>
      <w:marTop w:val="0"/>
      <w:marBottom w:val="0"/>
      <w:divBdr>
        <w:top w:val="none" w:sz="0" w:space="0" w:color="auto"/>
        <w:left w:val="none" w:sz="0" w:space="0" w:color="auto"/>
        <w:bottom w:val="none" w:sz="0" w:space="0" w:color="auto"/>
        <w:right w:val="none" w:sz="0" w:space="0" w:color="auto"/>
      </w:divBdr>
      <w:divsChild>
        <w:div w:id="1521123022">
          <w:marLeft w:val="547"/>
          <w:marRight w:val="0"/>
          <w:marTop w:val="0"/>
          <w:marBottom w:val="110"/>
          <w:divBdr>
            <w:top w:val="none" w:sz="0" w:space="0" w:color="auto"/>
            <w:left w:val="none" w:sz="0" w:space="0" w:color="auto"/>
            <w:bottom w:val="none" w:sz="0" w:space="0" w:color="auto"/>
            <w:right w:val="none" w:sz="0" w:space="0" w:color="auto"/>
          </w:divBdr>
        </w:div>
      </w:divsChild>
    </w:div>
    <w:div w:id="1689796845">
      <w:bodyDiv w:val="1"/>
      <w:marLeft w:val="0"/>
      <w:marRight w:val="0"/>
      <w:marTop w:val="0"/>
      <w:marBottom w:val="0"/>
      <w:divBdr>
        <w:top w:val="none" w:sz="0" w:space="0" w:color="auto"/>
        <w:left w:val="none" w:sz="0" w:space="0" w:color="auto"/>
        <w:bottom w:val="none" w:sz="0" w:space="0" w:color="auto"/>
        <w:right w:val="none" w:sz="0" w:space="0" w:color="auto"/>
      </w:divBdr>
    </w:div>
    <w:div w:id="1789087686">
      <w:bodyDiv w:val="1"/>
      <w:marLeft w:val="0"/>
      <w:marRight w:val="0"/>
      <w:marTop w:val="0"/>
      <w:marBottom w:val="0"/>
      <w:divBdr>
        <w:top w:val="none" w:sz="0" w:space="0" w:color="auto"/>
        <w:left w:val="none" w:sz="0" w:space="0" w:color="auto"/>
        <w:bottom w:val="none" w:sz="0" w:space="0" w:color="auto"/>
        <w:right w:val="none" w:sz="0" w:space="0" w:color="auto"/>
      </w:divBdr>
    </w:div>
    <w:div w:id="1957516018">
      <w:bodyDiv w:val="1"/>
      <w:marLeft w:val="0"/>
      <w:marRight w:val="0"/>
      <w:marTop w:val="0"/>
      <w:marBottom w:val="0"/>
      <w:divBdr>
        <w:top w:val="none" w:sz="0" w:space="0" w:color="auto"/>
        <w:left w:val="none" w:sz="0" w:space="0" w:color="auto"/>
        <w:bottom w:val="none" w:sz="0" w:space="0" w:color="auto"/>
        <w:right w:val="none" w:sz="0" w:space="0" w:color="auto"/>
      </w:divBdr>
    </w:div>
    <w:div w:id="1976060677">
      <w:bodyDiv w:val="1"/>
      <w:marLeft w:val="0"/>
      <w:marRight w:val="0"/>
      <w:marTop w:val="0"/>
      <w:marBottom w:val="0"/>
      <w:divBdr>
        <w:top w:val="none" w:sz="0" w:space="0" w:color="auto"/>
        <w:left w:val="none" w:sz="0" w:space="0" w:color="auto"/>
        <w:bottom w:val="none" w:sz="0" w:space="0" w:color="auto"/>
        <w:right w:val="none" w:sz="0" w:space="0" w:color="auto"/>
      </w:divBdr>
      <w:divsChild>
        <w:div w:id="443890892">
          <w:marLeft w:val="547"/>
          <w:marRight w:val="0"/>
          <w:marTop w:val="0"/>
          <w:marBottom w:val="11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0.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B9FBA-0F40-4030-BD66-3DC91C9EB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1308</Words>
  <Characters>7194</Characters>
  <Application>Microsoft Office Word</Application>
  <DocSecurity>4</DocSecurity>
  <Lines>59</Lines>
  <Paragraphs>16</Paragraphs>
  <ScaleCrop>false</ScaleCrop>
  <HeadingPairs>
    <vt:vector size="6" baseType="variant">
      <vt:variant>
        <vt:lpstr>Title</vt:lpstr>
      </vt:variant>
      <vt:variant>
        <vt:i4>1</vt:i4>
      </vt:variant>
      <vt:variant>
        <vt:lpstr>Titel</vt:lpstr>
      </vt:variant>
      <vt:variant>
        <vt:i4>1</vt:i4>
      </vt:variant>
      <vt:variant>
        <vt:lpstr>标题</vt:lpstr>
      </vt:variant>
      <vt:variant>
        <vt:i4>1</vt:i4>
      </vt:variant>
    </vt:vector>
  </HeadingPairs>
  <TitlesOfParts>
    <vt:vector size="3" baseType="lpstr">
      <vt:lpstr>Briefvorlage</vt:lpstr>
      <vt:lpstr>Briefvorlage</vt:lpstr>
      <vt:lpstr>Briefvorlage</vt:lpstr>
    </vt:vector>
  </TitlesOfParts>
  <Company>AbsolventUM GmbH</Company>
  <LinksUpToDate>false</LinksUpToDate>
  <CharactersWithSpaces>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Briefvorlage</dc:title>
  <dc:creator>Keren Deng1</dc:creator>
  <cp:lastModifiedBy>Katherine Camilleri</cp:lastModifiedBy>
  <cp:revision>2</cp:revision>
  <cp:lastPrinted>2021-02-16T19:47:00Z</cp:lastPrinted>
  <dcterms:created xsi:type="dcterms:W3CDTF">2021-05-21T06:47:00Z</dcterms:created>
  <dcterms:modified xsi:type="dcterms:W3CDTF">2021-05-21T06:47:00Z</dcterms:modified>
</cp:coreProperties>
</file>