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DE5D0A" w:rsidP="00AF47DD">
      <w:pPr>
        <w:ind w:left="-284"/>
        <w:jc w:val="center"/>
      </w:pPr>
      <w:r>
        <w:rPr>
          <w:noProof/>
          <w:lang w:val="en-US"/>
        </w:rPr>
        <w:drawing>
          <wp:inline distT="0" distB="0" distL="0" distR="0">
            <wp:extent cx="6146165" cy="1454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165" cy="1454785"/>
                    </a:xfrm>
                    <a:prstGeom prst="rect">
                      <a:avLst/>
                    </a:prstGeom>
                    <a:noFill/>
                    <a:ln>
                      <a:noFill/>
                    </a:ln>
                  </pic:spPr>
                </pic:pic>
              </a:graphicData>
            </a:graphic>
          </wp:inline>
        </w:drawing>
      </w:r>
    </w:p>
    <w:p w:rsidR="007F385B" w:rsidRDefault="007F385B" w:rsidP="007F385B">
      <w:pPr>
        <w:ind w:left="-709"/>
        <w:jc w:val="center"/>
      </w:pPr>
    </w:p>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140B6A" w:rsidRDefault="008820BE" w:rsidP="009B1DDA">
            <w:pPr>
              <w:spacing w:line="240" w:lineRule="auto"/>
              <w:rPr>
                <w:rFonts w:ascii="Verdana" w:hAnsi="Verdana"/>
                <w:b/>
                <w:bCs/>
                <w:sz w:val="20"/>
              </w:rPr>
            </w:pPr>
            <w:r w:rsidRPr="00140B6A">
              <w:rPr>
                <w:rFonts w:ascii="Verdana" w:hAnsi="Verdana"/>
                <w:b/>
                <w:sz w:val="20"/>
              </w:rPr>
              <w:t xml:space="preserve">PRESS RELEASE </w:t>
            </w:r>
            <w:r w:rsidR="00A94C10" w:rsidRPr="00140B6A">
              <w:rPr>
                <w:rFonts w:ascii="Verdana" w:hAnsi="Verdana"/>
                <w:b/>
                <w:sz w:val="20"/>
              </w:rPr>
              <w:t xml:space="preserve">No </w:t>
            </w:r>
            <w:r w:rsidR="009B1DDA">
              <w:rPr>
                <w:rFonts w:ascii="Verdana" w:hAnsi="Verdana"/>
                <w:b/>
                <w:sz w:val="20"/>
              </w:rPr>
              <w:t>7</w:t>
            </w:r>
            <w:r w:rsidR="00DE5D0A">
              <w:rPr>
                <w:rFonts w:ascii="Verdana" w:hAnsi="Verdana"/>
                <w:b/>
                <w:sz w:val="20"/>
              </w:rPr>
              <w:t>/2018</w:t>
            </w:r>
          </w:p>
        </w:tc>
        <w:tc>
          <w:tcPr>
            <w:tcW w:w="4119" w:type="dxa"/>
          </w:tcPr>
          <w:p w:rsidR="008820BE" w:rsidRPr="00140B6A" w:rsidRDefault="00DE5D0A" w:rsidP="009B1DDA">
            <w:pPr>
              <w:spacing w:line="240" w:lineRule="auto"/>
              <w:jc w:val="right"/>
              <w:rPr>
                <w:rFonts w:ascii="Verdana" w:hAnsi="Verdana"/>
                <w:b/>
                <w:bCs/>
                <w:sz w:val="20"/>
              </w:rPr>
            </w:pPr>
            <w:r>
              <w:rPr>
                <w:rFonts w:ascii="Verdana" w:hAnsi="Verdana"/>
                <w:b/>
                <w:bCs/>
                <w:sz w:val="20"/>
              </w:rPr>
              <w:t>1</w:t>
            </w:r>
            <w:r w:rsidR="009B1DDA">
              <w:rPr>
                <w:rFonts w:ascii="Verdana" w:hAnsi="Verdana"/>
                <w:b/>
                <w:bCs/>
                <w:sz w:val="20"/>
              </w:rPr>
              <w:t>6</w:t>
            </w:r>
            <w:r>
              <w:rPr>
                <w:rFonts w:ascii="Verdana" w:hAnsi="Verdana"/>
                <w:b/>
                <w:bCs/>
                <w:sz w:val="20"/>
              </w:rPr>
              <w:t xml:space="preserve"> February 2018</w:t>
            </w:r>
          </w:p>
        </w:tc>
      </w:tr>
    </w:tbl>
    <w:p w:rsidR="008820BE" w:rsidRPr="00140B6A" w:rsidRDefault="00DE5D0A" w:rsidP="00473E94">
      <w:pPr>
        <w:spacing w:line="240" w:lineRule="auto"/>
        <w:rPr>
          <w:rFonts w:ascii="Verdana" w:hAnsi="Verdana"/>
          <w:sz w:val="20"/>
        </w:rPr>
        <w:sectPr w:rsidR="008820BE" w:rsidRPr="00140B6A" w:rsidSect="007F385B">
          <w:footerReference w:type="default" r:id="rId14"/>
          <w:pgSz w:w="11907" w:h="16839" w:code="9"/>
          <w:pgMar w:top="426" w:right="1418" w:bottom="1418" w:left="1418" w:header="3062" w:footer="454" w:gutter="0"/>
          <w:cols w:space="720"/>
          <w:docGrid w:linePitch="299"/>
        </w:sectPr>
      </w:pPr>
      <w:r>
        <w:rPr>
          <w:noProof/>
          <w:lang w:val="en-US"/>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5B203C" w:rsidRPr="00140B6A" w:rsidRDefault="005B203C" w:rsidP="00473E94">
      <w:pPr>
        <w:spacing w:line="240" w:lineRule="auto"/>
        <w:jc w:val="center"/>
        <w:rPr>
          <w:rFonts w:ascii="Verdana" w:hAnsi="Verdana"/>
          <w:b/>
          <w:sz w:val="28"/>
        </w:rPr>
      </w:pPr>
    </w:p>
    <w:p w:rsidR="00AF47DD" w:rsidRDefault="009B1DDA" w:rsidP="00AF47DD">
      <w:pPr>
        <w:overflowPunct/>
        <w:autoSpaceDE/>
        <w:autoSpaceDN/>
        <w:adjustRightInd/>
        <w:spacing w:line="276" w:lineRule="auto"/>
        <w:jc w:val="center"/>
        <w:textAlignment w:val="auto"/>
        <w:rPr>
          <w:rFonts w:ascii="Verdana" w:eastAsia="Calibri" w:hAnsi="Verdana"/>
          <w:b/>
          <w:bCs/>
          <w:color w:val="0070C0"/>
          <w:sz w:val="24"/>
          <w:szCs w:val="32"/>
        </w:rPr>
      </w:pPr>
      <w:r w:rsidRPr="009B1DDA">
        <w:rPr>
          <w:rFonts w:ascii="Verdana" w:eastAsia="Calibri" w:hAnsi="Verdana"/>
          <w:b/>
          <w:bCs/>
          <w:color w:val="0070C0"/>
          <w:sz w:val="24"/>
          <w:szCs w:val="32"/>
        </w:rPr>
        <w:t>Lessons learned from austerity make a change of policy mandatory</w:t>
      </w:r>
    </w:p>
    <w:p w:rsidR="009B1DDA" w:rsidRPr="00031FCF" w:rsidRDefault="009B1DDA" w:rsidP="009B1DDA">
      <w:pPr>
        <w:spacing w:before="120" w:line="276" w:lineRule="auto"/>
        <w:jc w:val="center"/>
        <w:rPr>
          <w:rFonts w:ascii="Verdana" w:hAnsi="Verdana"/>
          <w:b/>
          <w:color w:val="0070C0"/>
          <w:sz w:val="20"/>
          <w:szCs w:val="18"/>
        </w:rPr>
      </w:pPr>
      <w:r w:rsidRPr="00031FCF">
        <w:rPr>
          <w:rFonts w:ascii="Verdana" w:hAnsi="Verdana"/>
          <w:b/>
          <w:color w:val="0070C0"/>
          <w:sz w:val="20"/>
          <w:szCs w:val="18"/>
        </w:rPr>
        <w:t xml:space="preserve">The EESC </w:t>
      </w:r>
      <w:r>
        <w:rPr>
          <w:rFonts w:ascii="Verdana" w:hAnsi="Verdana"/>
          <w:b/>
          <w:color w:val="0070C0"/>
          <w:sz w:val="20"/>
          <w:szCs w:val="18"/>
        </w:rPr>
        <w:t xml:space="preserve">presents measures to avoid the severity of austerity in the future and to mitigate the negative effects of previous crisis management </w:t>
      </w:r>
    </w:p>
    <w:p w:rsidR="009B1DDA" w:rsidRPr="009B1DDA" w:rsidRDefault="009B1DDA" w:rsidP="00AF47DD">
      <w:pPr>
        <w:overflowPunct/>
        <w:autoSpaceDE/>
        <w:autoSpaceDN/>
        <w:adjustRightInd/>
        <w:spacing w:line="276" w:lineRule="auto"/>
        <w:jc w:val="center"/>
        <w:textAlignment w:val="auto"/>
        <w:rPr>
          <w:rFonts w:ascii="Verdana" w:eastAsia="Calibri" w:hAnsi="Verdana"/>
          <w:b/>
          <w:color w:val="0070C0"/>
          <w:sz w:val="24"/>
          <w:szCs w:val="32"/>
        </w:rPr>
      </w:pPr>
    </w:p>
    <w:p w:rsidR="009B1DDA" w:rsidRDefault="009B1DDA" w:rsidP="009B1DDA">
      <w:pPr>
        <w:spacing w:line="276" w:lineRule="auto"/>
        <w:rPr>
          <w:rFonts w:ascii="Verdana" w:hAnsi="Verdana"/>
          <w:sz w:val="18"/>
          <w:szCs w:val="18"/>
        </w:rPr>
      </w:pPr>
      <w:r>
        <w:rPr>
          <w:rFonts w:ascii="Verdana" w:hAnsi="Verdana"/>
          <w:sz w:val="18"/>
          <w:szCs w:val="18"/>
        </w:rPr>
        <w:t xml:space="preserve">Future crisis management should strive for a better balance between fiscal and social objectives to avoid adverse effects on the economic capacities, labour markets and social protection systems of the countries concerned. Instead of restrictive austerity, the EU institutions should in future crisis situations implement policies in pursuit of economic cooperation, growth and solidarity. </w:t>
      </w:r>
    </w:p>
    <w:p w:rsidR="009B1DDA" w:rsidRDefault="009B1DDA" w:rsidP="009B1DDA">
      <w:pPr>
        <w:spacing w:line="276" w:lineRule="auto"/>
        <w:rPr>
          <w:rFonts w:ascii="Verdana" w:hAnsi="Verdana"/>
          <w:sz w:val="18"/>
          <w:szCs w:val="18"/>
        </w:rPr>
      </w:pPr>
    </w:p>
    <w:p w:rsidR="009B1DDA" w:rsidRDefault="009B1DDA" w:rsidP="009B1DDA">
      <w:pPr>
        <w:spacing w:line="276" w:lineRule="auto"/>
        <w:rPr>
          <w:rFonts w:ascii="Verdana" w:hAnsi="Verdana"/>
          <w:sz w:val="18"/>
          <w:szCs w:val="18"/>
        </w:rPr>
      </w:pPr>
      <w:r>
        <w:rPr>
          <w:rFonts w:ascii="Verdana" w:hAnsi="Verdana"/>
          <w:sz w:val="18"/>
          <w:szCs w:val="18"/>
        </w:rPr>
        <w:t xml:space="preserve">These objectives should be anchored in the treaties of the European Union, urges the European Economic and Social Committee (EESC) in its own-initiative opinion on </w:t>
      </w:r>
      <w:hyperlink r:id="rId15" w:history="1">
        <w:r w:rsidRPr="00C463C4">
          <w:rPr>
            <w:rStyle w:val="Hyperlink"/>
            <w:rFonts w:ascii="Verdana" w:hAnsi="Verdana"/>
            <w:sz w:val="18"/>
            <w:szCs w:val="18"/>
          </w:rPr>
          <w:t>Lessons learned for avoiding the severity of austerity policies in the EU</w:t>
        </w:r>
      </w:hyperlink>
      <w:r>
        <w:rPr>
          <w:rStyle w:val="Hyperlink"/>
          <w:rFonts w:ascii="Verdana" w:hAnsi="Verdana"/>
          <w:sz w:val="18"/>
          <w:szCs w:val="18"/>
        </w:rPr>
        <w:t>,</w:t>
      </w:r>
      <w:r>
        <w:rPr>
          <w:rFonts w:ascii="Verdana" w:hAnsi="Verdana"/>
          <w:sz w:val="18"/>
          <w:szCs w:val="18"/>
        </w:rPr>
        <w:t xml:space="preserve"> which was presented and adopted at the EESC plenary session on Wednesday. </w:t>
      </w:r>
    </w:p>
    <w:p w:rsidR="009B1DDA" w:rsidRDefault="009B1DDA" w:rsidP="009B1DDA">
      <w:pPr>
        <w:spacing w:line="276" w:lineRule="auto"/>
        <w:rPr>
          <w:rFonts w:ascii="Verdana" w:hAnsi="Verdana"/>
          <w:sz w:val="18"/>
          <w:szCs w:val="18"/>
        </w:rPr>
      </w:pPr>
    </w:p>
    <w:p w:rsidR="009B1DDA" w:rsidRPr="00E645BF" w:rsidRDefault="009B1DDA" w:rsidP="009B1DDA">
      <w:pPr>
        <w:spacing w:line="276" w:lineRule="auto"/>
        <w:rPr>
          <w:rFonts w:ascii="Verdana" w:hAnsi="Verdana"/>
          <w:b/>
          <w:sz w:val="18"/>
          <w:szCs w:val="18"/>
        </w:rPr>
      </w:pPr>
      <w:r>
        <w:rPr>
          <w:rFonts w:ascii="Verdana" w:hAnsi="Verdana"/>
          <w:b/>
          <w:sz w:val="18"/>
          <w:szCs w:val="18"/>
        </w:rPr>
        <w:t>Future crisis management must be more sustainable and in line with EU objectives</w:t>
      </w:r>
    </w:p>
    <w:p w:rsidR="009B1DDA" w:rsidRDefault="009B1DDA" w:rsidP="009B1DDA">
      <w:pPr>
        <w:spacing w:line="276" w:lineRule="auto"/>
        <w:rPr>
          <w:rFonts w:ascii="Verdana" w:hAnsi="Verdana"/>
          <w:sz w:val="18"/>
          <w:szCs w:val="18"/>
        </w:rPr>
      </w:pPr>
      <w:r>
        <w:rPr>
          <w:rFonts w:ascii="Verdana" w:hAnsi="Verdana"/>
          <w:sz w:val="18"/>
          <w:szCs w:val="18"/>
        </w:rPr>
        <w:t xml:space="preserve">"In future, the EU institutions should be solely responsible for developing and implementing the necessary adjustment programmes in the EU, even if partnerships with external institutions are established", said rapporteur </w:t>
      </w:r>
      <w:r w:rsidRPr="0086025A">
        <w:rPr>
          <w:rFonts w:ascii="Verdana" w:hAnsi="Verdana"/>
          <w:b/>
          <w:sz w:val="18"/>
          <w:szCs w:val="18"/>
        </w:rPr>
        <w:t xml:space="preserve">José </w:t>
      </w:r>
      <w:proofErr w:type="spellStart"/>
      <w:r w:rsidRPr="0086025A">
        <w:rPr>
          <w:rFonts w:ascii="Verdana" w:hAnsi="Verdana"/>
          <w:b/>
          <w:sz w:val="18"/>
          <w:szCs w:val="18"/>
        </w:rPr>
        <w:t>L</w:t>
      </w:r>
      <w:r>
        <w:rPr>
          <w:rFonts w:ascii="Verdana" w:hAnsi="Verdana"/>
          <w:b/>
          <w:sz w:val="18"/>
          <w:szCs w:val="18"/>
        </w:rPr>
        <w:t>eirião</w:t>
      </w:r>
      <w:proofErr w:type="spellEnd"/>
      <w:r>
        <w:rPr>
          <w:rFonts w:ascii="Verdana" w:hAnsi="Verdana"/>
          <w:b/>
          <w:sz w:val="18"/>
          <w:szCs w:val="18"/>
        </w:rPr>
        <w:t xml:space="preserve"> </w:t>
      </w:r>
      <w:r>
        <w:rPr>
          <w:rFonts w:ascii="Verdana" w:hAnsi="Verdana"/>
          <w:sz w:val="18"/>
          <w:szCs w:val="18"/>
        </w:rPr>
        <w:t xml:space="preserve">(Various Interests). "This is of utmost importance as they have to be in line with our common values and objectives and avoid the inconsistencies and shortcomings that have arisen in the past." </w:t>
      </w:r>
    </w:p>
    <w:p w:rsidR="009B1DDA" w:rsidRDefault="009B1DDA" w:rsidP="009B1DDA">
      <w:pPr>
        <w:spacing w:line="276" w:lineRule="auto"/>
        <w:rPr>
          <w:rFonts w:ascii="Verdana" w:hAnsi="Verdana"/>
          <w:sz w:val="18"/>
          <w:szCs w:val="18"/>
        </w:rPr>
      </w:pPr>
    </w:p>
    <w:p w:rsidR="009B1DDA" w:rsidRDefault="009B1DDA" w:rsidP="009B1DDA">
      <w:pPr>
        <w:pStyle w:val="Heading2"/>
        <w:numPr>
          <w:ilvl w:val="0"/>
          <w:numId w:val="0"/>
        </w:numPr>
        <w:overflowPunct/>
        <w:adjustRightInd/>
        <w:spacing w:after="120" w:line="276" w:lineRule="auto"/>
        <w:textAlignment w:val="auto"/>
        <w:rPr>
          <w:rFonts w:ascii="Verdana" w:hAnsi="Verdana"/>
          <w:sz w:val="18"/>
          <w:szCs w:val="18"/>
        </w:rPr>
      </w:pPr>
      <w:r>
        <w:rPr>
          <w:rFonts w:ascii="Verdana" w:hAnsi="Verdana"/>
          <w:sz w:val="18"/>
          <w:szCs w:val="18"/>
        </w:rPr>
        <w:t>By taking over the</w:t>
      </w:r>
      <w:r w:rsidRPr="00863B87">
        <w:rPr>
          <w:rFonts w:ascii="Verdana" w:hAnsi="Verdana"/>
          <w:sz w:val="18"/>
          <w:szCs w:val="18"/>
        </w:rPr>
        <w:t xml:space="preserve"> lead</w:t>
      </w:r>
      <w:r>
        <w:rPr>
          <w:rFonts w:ascii="Verdana" w:hAnsi="Verdana"/>
          <w:sz w:val="18"/>
          <w:szCs w:val="18"/>
        </w:rPr>
        <w:t>ership</w:t>
      </w:r>
      <w:r w:rsidRPr="00863B87">
        <w:rPr>
          <w:rFonts w:ascii="Verdana" w:hAnsi="Verdana"/>
          <w:sz w:val="18"/>
          <w:szCs w:val="18"/>
        </w:rPr>
        <w:t xml:space="preserve"> </w:t>
      </w:r>
      <w:r>
        <w:rPr>
          <w:rFonts w:ascii="Verdana" w:hAnsi="Verdana"/>
          <w:sz w:val="18"/>
          <w:szCs w:val="18"/>
        </w:rPr>
        <w:t>of</w:t>
      </w:r>
      <w:r w:rsidRPr="00863B87">
        <w:rPr>
          <w:rFonts w:ascii="Verdana" w:hAnsi="Verdana"/>
          <w:sz w:val="18"/>
          <w:szCs w:val="18"/>
        </w:rPr>
        <w:t xml:space="preserve"> f</w:t>
      </w:r>
      <w:r>
        <w:rPr>
          <w:rFonts w:ascii="Verdana" w:hAnsi="Verdana"/>
          <w:sz w:val="18"/>
          <w:szCs w:val="18"/>
        </w:rPr>
        <w:t xml:space="preserve">uture adjustment programmes, the </w:t>
      </w:r>
      <w:r w:rsidRPr="00863B87">
        <w:rPr>
          <w:rFonts w:ascii="Verdana" w:hAnsi="Verdana"/>
          <w:sz w:val="18"/>
          <w:szCs w:val="18"/>
        </w:rPr>
        <w:t xml:space="preserve">EU institutions </w:t>
      </w:r>
      <w:r>
        <w:rPr>
          <w:rFonts w:ascii="Verdana" w:hAnsi="Verdana"/>
          <w:sz w:val="18"/>
          <w:szCs w:val="18"/>
        </w:rPr>
        <w:t>should</w:t>
      </w:r>
      <w:r w:rsidRPr="00432824">
        <w:rPr>
          <w:rFonts w:ascii="Verdana" w:hAnsi="Verdana"/>
          <w:sz w:val="18"/>
          <w:szCs w:val="18"/>
        </w:rPr>
        <w:t xml:space="preserve"> </w:t>
      </w:r>
      <w:r>
        <w:rPr>
          <w:rFonts w:ascii="Verdana" w:hAnsi="Verdana"/>
          <w:sz w:val="18"/>
          <w:szCs w:val="18"/>
        </w:rPr>
        <w:t xml:space="preserve">ensure that the social partners and </w:t>
      </w:r>
      <w:r w:rsidRPr="00863B87">
        <w:rPr>
          <w:rFonts w:ascii="Verdana" w:hAnsi="Verdana"/>
          <w:sz w:val="18"/>
          <w:szCs w:val="18"/>
        </w:rPr>
        <w:t>r</w:t>
      </w:r>
      <w:r>
        <w:rPr>
          <w:rFonts w:ascii="Verdana" w:hAnsi="Verdana"/>
          <w:sz w:val="18"/>
          <w:szCs w:val="18"/>
        </w:rPr>
        <w:t>epresentatives of civil society</w:t>
      </w:r>
      <w:r w:rsidRPr="003C39BA">
        <w:rPr>
          <w:rFonts w:ascii="Verdana" w:hAnsi="Verdana"/>
          <w:sz w:val="18"/>
          <w:szCs w:val="18"/>
        </w:rPr>
        <w:t xml:space="preserve"> </w:t>
      </w:r>
      <w:r>
        <w:rPr>
          <w:rFonts w:ascii="Verdana" w:hAnsi="Verdana"/>
          <w:sz w:val="18"/>
          <w:szCs w:val="18"/>
        </w:rPr>
        <w:t xml:space="preserve">are involved on an equal footing with the </w:t>
      </w:r>
      <w:r w:rsidRPr="00863B87">
        <w:rPr>
          <w:rFonts w:ascii="Verdana" w:hAnsi="Verdana"/>
          <w:sz w:val="18"/>
          <w:szCs w:val="18"/>
        </w:rPr>
        <w:t>EU</w:t>
      </w:r>
      <w:r>
        <w:rPr>
          <w:rFonts w:ascii="Verdana" w:hAnsi="Verdana"/>
          <w:sz w:val="18"/>
          <w:szCs w:val="18"/>
        </w:rPr>
        <w:t xml:space="preserve"> institutions</w:t>
      </w:r>
      <w:r w:rsidRPr="00863B87">
        <w:rPr>
          <w:rFonts w:ascii="Verdana" w:hAnsi="Verdana"/>
          <w:sz w:val="18"/>
          <w:szCs w:val="18"/>
        </w:rPr>
        <w:t xml:space="preserve">, </w:t>
      </w:r>
      <w:r>
        <w:rPr>
          <w:rFonts w:ascii="Verdana" w:hAnsi="Verdana"/>
          <w:sz w:val="18"/>
          <w:szCs w:val="18"/>
        </w:rPr>
        <w:t xml:space="preserve">the </w:t>
      </w:r>
      <w:r w:rsidRPr="00863B87">
        <w:rPr>
          <w:rFonts w:ascii="Verdana" w:hAnsi="Verdana"/>
          <w:sz w:val="18"/>
          <w:szCs w:val="18"/>
        </w:rPr>
        <w:t>E</w:t>
      </w:r>
      <w:r>
        <w:rPr>
          <w:rFonts w:ascii="Verdana" w:hAnsi="Verdana"/>
          <w:sz w:val="18"/>
          <w:szCs w:val="18"/>
        </w:rPr>
        <w:t>uropean Central Bank</w:t>
      </w:r>
      <w:r w:rsidRPr="00863B87">
        <w:rPr>
          <w:rFonts w:ascii="Verdana" w:hAnsi="Verdana"/>
          <w:sz w:val="18"/>
          <w:szCs w:val="18"/>
        </w:rPr>
        <w:t xml:space="preserve"> and other bodies in the </w:t>
      </w:r>
      <w:r>
        <w:rPr>
          <w:rFonts w:ascii="Verdana" w:hAnsi="Verdana"/>
          <w:sz w:val="18"/>
          <w:szCs w:val="18"/>
        </w:rPr>
        <w:t xml:space="preserve">setting-up, periodic </w:t>
      </w:r>
      <w:r w:rsidRPr="00863B87">
        <w:rPr>
          <w:rFonts w:ascii="Verdana" w:hAnsi="Verdana"/>
          <w:sz w:val="18"/>
          <w:szCs w:val="18"/>
        </w:rPr>
        <w:t>monitoring and assessment of the</w:t>
      </w:r>
      <w:r>
        <w:rPr>
          <w:rFonts w:ascii="Verdana" w:hAnsi="Verdana"/>
          <w:sz w:val="18"/>
          <w:szCs w:val="18"/>
        </w:rPr>
        <w:t>se</w:t>
      </w:r>
      <w:r w:rsidRPr="00863B87">
        <w:rPr>
          <w:rFonts w:ascii="Verdana" w:hAnsi="Verdana"/>
          <w:sz w:val="18"/>
          <w:szCs w:val="18"/>
        </w:rPr>
        <w:t xml:space="preserve"> programmes.</w:t>
      </w:r>
      <w:r>
        <w:rPr>
          <w:rFonts w:ascii="Verdana" w:hAnsi="Verdana"/>
          <w:sz w:val="18"/>
          <w:szCs w:val="18"/>
        </w:rPr>
        <w:t xml:space="preserve"> </w:t>
      </w:r>
    </w:p>
    <w:p w:rsidR="009B1DDA" w:rsidRDefault="009B1DDA" w:rsidP="009B1DDA">
      <w:pPr>
        <w:pStyle w:val="Heading2"/>
        <w:numPr>
          <w:ilvl w:val="0"/>
          <w:numId w:val="0"/>
        </w:numPr>
        <w:overflowPunct/>
        <w:adjustRightInd/>
        <w:spacing w:after="120" w:line="276" w:lineRule="auto"/>
        <w:textAlignment w:val="auto"/>
        <w:rPr>
          <w:rFonts w:ascii="Verdana" w:hAnsi="Verdana"/>
          <w:sz w:val="18"/>
          <w:szCs w:val="18"/>
        </w:rPr>
      </w:pPr>
      <w:r>
        <w:rPr>
          <w:rFonts w:ascii="Verdana" w:hAnsi="Verdana"/>
          <w:sz w:val="18"/>
          <w:szCs w:val="18"/>
        </w:rPr>
        <w:t>The EESC opinion makes further proposals to improve EU crisis management. It</w:t>
      </w:r>
      <w:r w:rsidRPr="000B3C0D">
        <w:rPr>
          <w:rFonts w:ascii="Verdana" w:hAnsi="Verdana"/>
          <w:sz w:val="18"/>
          <w:szCs w:val="18"/>
        </w:rPr>
        <w:t xml:space="preserve"> </w:t>
      </w:r>
      <w:r>
        <w:rPr>
          <w:rFonts w:ascii="Verdana" w:hAnsi="Verdana"/>
          <w:sz w:val="18"/>
          <w:szCs w:val="18"/>
        </w:rPr>
        <w:t>suggests to the European Commission that the following be created:</w:t>
      </w:r>
    </w:p>
    <w:p w:rsidR="009B1DDA" w:rsidRDefault="009B1DDA" w:rsidP="009B1DDA">
      <w:pPr>
        <w:pStyle w:val="Heading2"/>
        <w:numPr>
          <w:ilvl w:val="0"/>
          <w:numId w:val="8"/>
        </w:numPr>
        <w:overflowPunct/>
        <w:adjustRightInd/>
        <w:spacing w:after="120" w:line="276" w:lineRule="auto"/>
        <w:textAlignment w:val="auto"/>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European Credit Rating Agency;</w:t>
      </w:r>
    </w:p>
    <w:p w:rsidR="009B1DDA" w:rsidRPr="000B3C0D" w:rsidRDefault="009B1DDA" w:rsidP="009B1DDA">
      <w:pPr>
        <w:pStyle w:val="Heading2"/>
        <w:numPr>
          <w:ilvl w:val="0"/>
          <w:numId w:val="8"/>
        </w:numPr>
        <w:overflowPunct/>
        <w:adjustRightInd/>
        <w:spacing w:after="120" w:line="276" w:lineRule="auto"/>
        <w:textAlignment w:val="auto"/>
        <w:rPr>
          <w:rFonts w:ascii="Verdana" w:hAnsi="Verdana"/>
          <w:sz w:val="18"/>
          <w:szCs w:val="18"/>
        </w:rPr>
      </w:pPr>
      <w:proofErr w:type="gramStart"/>
      <w:r>
        <w:rPr>
          <w:rFonts w:ascii="Verdana" w:hAnsi="Verdana"/>
          <w:sz w:val="18"/>
          <w:szCs w:val="18"/>
        </w:rPr>
        <w:t>an</w:t>
      </w:r>
      <w:proofErr w:type="gramEnd"/>
      <w:r>
        <w:rPr>
          <w:rFonts w:ascii="Verdana" w:hAnsi="Verdana"/>
          <w:sz w:val="18"/>
          <w:szCs w:val="18"/>
        </w:rPr>
        <w:t xml:space="preserve"> </w:t>
      </w:r>
      <w:r w:rsidRPr="000B3C0D">
        <w:rPr>
          <w:rFonts w:ascii="Verdana" w:hAnsi="Verdana"/>
          <w:sz w:val="18"/>
          <w:szCs w:val="18"/>
        </w:rPr>
        <w:t>independent international body to evaluate the credibility and impartiality of the adequacy evaluations conducted.</w:t>
      </w:r>
    </w:p>
    <w:p w:rsidR="009B1DDA" w:rsidRDefault="009B1DDA" w:rsidP="009B1DDA">
      <w:pPr>
        <w:spacing w:line="276" w:lineRule="auto"/>
        <w:rPr>
          <w:rFonts w:ascii="Verdana" w:hAnsi="Verdana"/>
          <w:sz w:val="18"/>
          <w:szCs w:val="18"/>
        </w:rPr>
      </w:pPr>
      <w:r>
        <w:rPr>
          <w:rFonts w:ascii="Verdana" w:hAnsi="Verdana"/>
          <w:sz w:val="18"/>
          <w:szCs w:val="18"/>
        </w:rPr>
        <w:t>Based on the experience of the most recent crisis, the Committee welcomes the aims of the Commission to reform the euro in key aspects by abandoning austerity policies and deepening the Economic and Monetary Union (EMU). The EESC considers that a reformed and completed EMU will make the EU more resistant to asymmetric shocks and help prevent future crises.</w:t>
      </w:r>
    </w:p>
    <w:p w:rsidR="009B1DDA" w:rsidRDefault="009B1DDA" w:rsidP="009B1DDA">
      <w:pPr>
        <w:spacing w:line="276" w:lineRule="auto"/>
        <w:rPr>
          <w:rFonts w:ascii="Verdana" w:hAnsi="Verdana"/>
          <w:sz w:val="18"/>
          <w:szCs w:val="18"/>
        </w:rPr>
      </w:pPr>
    </w:p>
    <w:p w:rsidR="009B1DDA" w:rsidRPr="006D5D75" w:rsidRDefault="009B1DDA" w:rsidP="009B1DDA">
      <w:pPr>
        <w:spacing w:line="276" w:lineRule="auto"/>
        <w:rPr>
          <w:rFonts w:ascii="Verdana" w:hAnsi="Verdana"/>
          <w:b/>
          <w:sz w:val="18"/>
          <w:szCs w:val="18"/>
        </w:rPr>
      </w:pPr>
      <w:r>
        <w:rPr>
          <w:rFonts w:ascii="Verdana" w:hAnsi="Verdana"/>
          <w:b/>
          <w:sz w:val="18"/>
          <w:szCs w:val="18"/>
        </w:rPr>
        <w:t>Negative effects of austerity must be offset to prevent future crises</w:t>
      </w:r>
    </w:p>
    <w:p w:rsidR="009B1DDA" w:rsidRDefault="009B1DDA" w:rsidP="009B1DDA">
      <w:pPr>
        <w:spacing w:line="276" w:lineRule="auto"/>
        <w:rPr>
          <w:rFonts w:ascii="Verdana" w:hAnsi="Verdana"/>
          <w:sz w:val="18"/>
          <w:szCs w:val="18"/>
        </w:rPr>
      </w:pPr>
      <w:r>
        <w:rPr>
          <w:rFonts w:ascii="Verdana" w:hAnsi="Verdana"/>
          <w:sz w:val="18"/>
          <w:szCs w:val="18"/>
        </w:rPr>
        <w:t xml:space="preserve">The EESC urges the Commission to design </w:t>
      </w:r>
      <w:r w:rsidRPr="009B1DDA">
        <w:rPr>
          <w:rFonts w:ascii="Verdana" w:hAnsi="Verdana"/>
          <w:b/>
          <w:sz w:val="18"/>
          <w:szCs w:val="18"/>
        </w:rPr>
        <w:t>supplementary programmes for the economic and social recovery</w:t>
      </w:r>
      <w:r>
        <w:rPr>
          <w:rFonts w:ascii="Verdana" w:hAnsi="Verdana"/>
          <w:sz w:val="18"/>
          <w:szCs w:val="18"/>
        </w:rPr>
        <w:t xml:space="preserve"> of countries which were/are subject to austerity. These programmes should be applied </w:t>
      </w:r>
      <w:r w:rsidRPr="00F83D88">
        <w:rPr>
          <w:rFonts w:ascii="Verdana" w:hAnsi="Verdana"/>
          <w:sz w:val="18"/>
          <w:szCs w:val="18"/>
        </w:rPr>
        <w:t>at the same time as</w:t>
      </w:r>
      <w:r>
        <w:rPr>
          <w:rFonts w:ascii="Verdana" w:hAnsi="Verdana"/>
          <w:sz w:val="18"/>
          <w:szCs w:val="18"/>
        </w:rPr>
        <w:t>,</w:t>
      </w:r>
      <w:r w:rsidRPr="00F83D88">
        <w:rPr>
          <w:rFonts w:ascii="Verdana" w:hAnsi="Verdana"/>
          <w:sz w:val="18"/>
          <w:szCs w:val="18"/>
        </w:rPr>
        <w:t xml:space="preserve"> or at the end of</w:t>
      </w:r>
      <w:r>
        <w:rPr>
          <w:rFonts w:ascii="Verdana" w:hAnsi="Verdana"/>
          <w:sz w:val="18"/>
          <w:szCs w:val="18"/>
        </w:rPr>
        <w:t>,</w:t>
      </w:r>
      <w:r w:rsidRPr="00F83D88">
        <w:rPr>
          <w:rFonts w:ascii="Verdana" w:hAnsi="Verdana"/>
          <w:sz w:val="18"/>
          <w:szCs w:val="18"/>
        </w:rPr>
        <w:t xml:space="preserve"> an adjustment programme</w:t>
      </w:r>
      <w:r>
        <w:rPr>
          <w:rFonts w:ascii="Verdana" w:hAnsi="Verdana"/>
          <w:sz w:val="18"/>
          <w:szCs w:val="18"/>
        </w:rPr>
        <w:t>. The European Commission should also develop a European strategy to eradicate poverty.</w:t>
      </w:r>
    </w:p>
    <w:p w:rsidR="009B1DDA" w:rsidRDefault="009B1DDA" w:rsidP="009B1DDA">
      <w:pPr>
        <w:spacing w:line="276" w:lineRule="auto"/>
        <w:rPr>
          <w:rFonts w:ascii="Verdana" w:hAnsi="Verdana"/>
          <w:sz w:val="18"/>
          <w:szCs w:val="18"/>
        </w:rPr>
      </w:pPr>
    </w:p>
    <w:p w:rsidR="009B1DDA" w:rsidRDefault="009B1DDA" w:rsidP="009B1DDA">
      <w:pPr>
        <w:spacing w:line="276" w:lineRule="auto"/>
        <w:rPr>
          <w:rFonts w:ascii="Verdana" w:hAnsi="Verdana"/>
          <w:sz w:val="18"/>
          <w:szCs w:val="18"/>
        </w:rPr>
      </w:pPr>
      <w:r>
        <w:rPr>
          <w:rFonts w:ascii="Verdana" w:hAnsi="Verdana"/>
          <w:sz w:val="18"/>
          <w:szCs w:val="18"/>
        </w:rPr>
        <w:t>Although the impact of austerity measures differs between countries, dr</w:t>
      </w:r>
      <w:r w:rsidRPr="0086025A">
        <w:rPr>
          <w:rFonts w:ascii="Verdana" w:hAnsi="Verdana"/>
          <w:sz w:val="18"/>
          <w:szCs w:val="18"/>
        </w:rPr>
        <w:t>amatic consequences for cohesion and inclusion policies</w:t>
      </w:r>
      <w:r>
        <w:rPr>
          <w:rFonts w:ascii="Verdana" w:hAnsi="Verdana"/>
          <w:sz w:val="18"/>
          <w:szCs w:val="18"/>
        </w:rPr>
        <w:t xml:space="preserve"> have arisen all too often, causing amongst other things negative </w:t>
      </w:r>
      <w:proofErr w:type="gramStart"/>
      <w:r>
        <w:rPr>
          <w:rFonts w:ascii="Verdana" w:hAnsi="Verdana"/>
          <w:sz w:val="18"/>
          <w:szCs w:val="18"/>
        </w:rPr>
        <w:lastRenderedPageBreak/>
        <w:t>GDP growth, increasing unemployment and public deficits, and decreasing public investment and social protection.</w:t>
      </w:r>
      <w:proofErr w:type="gramEnd"/>
    </w:p>
    <w:p w:rsidR="009B1DDA" w:rsidRDefault="009B1DDA" w:rsidP="009B1DDA">
      <w:pPr>
        <w:spacing w:line="276" w:lineRule="auto"/>
        <w:rPr>
          <w:rFonts w:ascii="Verdana" w:hAnsi="Verdana"/>
          <w:sz w:val="18"/>
          <w:szCs w:val="18"/>
        </w:rPr>
      </w:pPr>
    </w:p>
    <w:p w:rsidR="009B1DDA" w:rsidRDefault="009B1DDA" w:rsidP="009B1DDA">
      <w:pPr>
        <w:spacing w:line="276" w:lineRule="auto"/>
        <w:rPr>
          <w:rFonts w:ascii="Verdana" w:hAnsi="Verdana"/>
          <w:sz w:val="18"/>
          <w:szCs w:val="18"/>
        </w:rPr>
      </w:pPr>
      <w:r>
        <w:rPr>
          <w:rFonts w:ascii="Verdana" w:hAnsi="Verdana"/>
          <w:sz w:val="18"/>
          <w:szCs w:val="18"/>
        </w:rPr>
        <w:t xml:space="preserve">The rapporteur, </w:t>
      </w:r>
      <w:r w:rsidRPr="0086025A">
        <w:rPr>
          <w:rFonts w:ascii="Verdana" w:hAnsi="Verdana"/>
          <w:b/>
          <w:sz w:val="18"/>
          <w:szCs w:val="18"/>
        </w:rPr>
        <w:t xml:space="preserve">José </w:t>
      </w:r>
      <w:proofErr w:type="spellStart"/>
      <w:r w:rsidRPr="0086025A">
        <w:rPr>
          <w:rFonts w:ascii="Verdana" w:hAnsi="Verdana"/>
          <w:b/>
          <w:sz w:val="18"/>
          <w:szCs w:val="18"/>
        </w:rPr>
        <w:t>L</w:t>
      </w:r>
      <w:r>
        <w:rPr>
          <w:rFonts w:ascii="Verdana" w:hAnsi="Verdana"/>
          <w:b/>
          <w:sz w:val="18"/>
          <w:szCs w:val="18"/>
        </w:rPr>
        <w:t>eirião</w:t>
      </w:r>
      <w:proofErr w:type="spellEnd"/>
      <w:r>
        <w:rPr>
          <w:rFonts w:ascii="Verdana" w:hAnsi="Verdana"/>
          <w:b/>
          <w:sz w:val="18"/>
          <w:szCs w:val="18"/>
        </w:rPr>
        <w:t xml:space="preserve">, </w:t>
      </w:r>
      <w:r>
        <w:rPr>
          <w:rFonts w:ascii="Verdana" w:hAnsi="Verdana"/>
          <w:sz w:val="18"/>
          <w:szCs w:val="18"/>
        </w:rPr>
        <w:t xml:space="preserve">suggested the setting up of: "specific funds for job creation in sectors such as science, engineering and health which have been hit hard by the brain drain. We believe that these funds could help encourage migrants to return and build up their country's competitiveness".  </w:t>
      </w:r>
    </w:p>
    <w:p w:rsidR="009B1DDA" w:rsidRDefault="009B1DDA" w:rsidP="009B1DDA">
      <w:pPr>
        <w:spacing w:line="276" w:lineRule="auto"/>
        <w:rPr>
          <w:rFonts w:ascii="Verdana" w:hAnsi="Verdana"/>
          <w:sz w:val="18"/>
          <w:szCs w:val="18"/>
        </w:rPr>
      </w:pPr>
    </w:p>
    <w:p w:rsidR="009B1DDA" w:rsidRDefault="009B1DDA" w:rsidP="009B1DDA">
      <w:pPr>
        <w:spacing w:line="276" w:lineRule="auto"/>
        <w:rPr>
          <w:rFonts w:ascii="Verdana" w:hAnsi="Verdana"/>
          <w:sz w:val="18"/>
          <w:szCs w:val="18"/>
        </w:rPr>
      </w:pPr>
      <w:r w:rsidRPr="00432824">
        <w:rPr>
          <w:rFonts w:ascii="Verdana" w:hAnsi="Verdana"/>
          <w:sz w:val="18"/>
          <w:szCs w:val="18"/>
        </w:rPr>
        <w:t xml:space="preserve">In view of current and upcoming labour market challenges, the EESC believes that the Commission should propose measures to tackle, on an EU level and in line with the European Pillar of Social Rights, the increase in poverty and to preserve social protection. </w:t>
      </w:r>
      <w:r w:rsidRPr="00FE14ED">
        <w:rPr>
          <w:rFonts w:ascii="Verdana" w:hAnsi="Verdana"/>
          <w:sz w:val="18"/>
          <w:szCs w:val="18"/>
        </w:rPr>
        <w:t xml:space="preserve">Member States should consider introducing a common </w:t>
      </w:r>
      <w:r w:rsidRPr="00FE14ED">
        <w:rPr>
          <w:rFonts w:ascii="Verdana" w:hAnsi="Verdana"/>
          <w:i/>
          <w:sz w:val="18"/>
          <w:szCs w:val="18"/>
        </w:rPr>
        <w:t>universal, basic unemployment insurance scheme</w:t>
      </w:r>
      <w:r w:rsidRPr="00FE14ED">
        <w:rPr>
          <w:rFonts w:ascii="Verdana" w:hAnsi="Verdana"/>
          <w:sz w:val="18"/>
          <w:szCs w:val="18"/>
        </w:rPr>
        <w:t xml:space="preserve"> and a </w:t>
      </w:r>
      <w:r w:rsidRPr="00FE14ED">
        <w:rPr>
          <w:rFonts w:ascii="Verdana" w:hAnsi="Verdana"/>
          <w:i/>
          <w:sz w:val="18"/>
          <w:szCs w:val="18"/>
        </w:rPr>
        <w:t xml:space="preserve">minimum living </w:t>
      </w:r>
      <w:r>
        <w:rPr>
          <w:rFonts w:ascii="Verdana" w:hAnsi="Verdana"/>
          <w:i/>
          <w:sz w:val="18"/>
          <w:szCs w:val="18"/>
        </w:rPr>
        <w:t>income</w:t>
      </w:r>
      <w:r w:rsidRPr="00FE14ED">
        <w:rPr>
          <w:rFonts w:ascii="Verdana" w:hAnsi="Verdana"/>
          <w:sz w:val="18"/>
          <w:szCs w:val="18"/>
        </w:rPr>
        <w:t>.</w:t>
      </w:r>
    </w:p>
    <w:p w:rsidR="009B1DDA" w:rsidRDefault="009B1DDA" w:rsidP="009B1DDA">
      <w:pPr>
        <w:spacing w:line="276" w:lineRule="auto"/>
        <w:rPr>
          <w:rFonts w:ascii="Verdana" w:hAnsi="Verdana"/>
          <w:sz w:val="18"/>
          <w:szCs w:val="18"/>
        </w:rPr>
      </w:pPr>
    </w:p>
    <w:p w:rsidR="009B1DDA" w:rsidRPr="0086025A" w:rsidRDefault="009B1DDA" w:rsidP="009B1DDA">
      <w:pPr>
        <w:spacing w:line="276" w:lineRule="auto"/>
        <w:rPr>
          <w:rFonts w:ascii="Verdana" w:hAnsi="Verdana"/>
          <w:color w:val="00B050"/>
          <w:sz w:val="18"/>
          <w:szCs w:val="18"/>
        </w:rPr>
      </w:pPr>
      <w:r>
        <w:rPr>
          <w:rFonts w:ascii="Verdana" w:hAnsi="Verdana"/>
          <w:sz w:val="18"/>
          <w:szCs w:val="18"/>
        </w:rPr>
        <w:t xml:space="preserve">Finally, the Committee calls on the Commission to </w:t>
      </w:r>
      <w:r w:rsidRPr="001755CE">
        <w:rPr>
          <w:rFonts w:ascii="Verdana" w:hAnsi="Verdana"/>
          <w:sz w:val="18"/>
          <w:szCs w:val="18"/>
        </w:rPr>
        <w:t>follow up on the conclusions of the High Level Group on the mutualisation of debt and euro debt securities.</w:t>
      </w:r>
    </w:p>
    <w:p w:rsidR="009B1DDA" w:rsidRPr="0086025A" w:rsidRDefault="009B1DDA" w:rsidP="009B1DDA">
      <w:pPr>
        <w:spacing w:line="276" w:lineRule="auto"/>
        <w:rPr>
          <w:rFonts w:ascii="Verdana" w:hAnsi="Verdana"/>
          <w:sz w:val="18"/>
          <w:szCs w:val="18"/>
        </w:rPr>
      </w:pPr>
    </w:p>
    <w:p w:rsidR="009B1DDA" w:rsidRPr="009B1DDA" w:rsidRDefault="009B1DDA" w:rsidP="009B1DDA">
      <w:pPr>
        <w:spacing w:line="276" w:lineRule="auto"/>
        <w:rPr>
          <w:rFonts w:ascii="Verdana" w:hAnsi="Verdana"/>
          <w:b/>
          <w:sz w:val="18"/>
          <w:szCs w:val="18"/>
          <w:u w:val="single"/>
        </w:rPr>
      </w:pPr>
      <w:r w:rsidRPr="009B1DDA">
        <w:rPr>
          <w:rFonts w:ascii="Verdana" w:hAnsi="Verdana"/>
          <w:b/>
          <w:sz w:val="18"/>
          <w:szCs w:val="18"/>
          <w:u w:val="single"/>
        </w:rPr>
        <w:t>Background:</w:t>
      </w:r>
    </w:p>
    <w:p w:rsidR="009B1DDA" w:rsidRPr="0086025A" w:rsidRDefault="009B1DDA" w:rsidP="009B1DDA">
      <w:pPr>
        <w:spacing w:line="276" w:lineRule="auto"/>
        <w:rPr>
          <w:rFonts w:ascii="Verdana" w:hAnsi="Verdana"/>
          <w:sz w:val="18"/>
          <w:szCs w:val="18"/>
        </w:rPr>
      </w:pPr>
      <w:r>
        <w:rPr>
          <w:rFonts w:ascii="Verdana" w:hAnsi="Verdana"/>
          <w:sz w:val="18"/>
          <w:szCs w:val="18"/>
        </w:rPr>
        <w:t>The</w:t>
      </w:r>
      <w:r w:rsidRPr="0086025A">
        <w:rPr>
          <w:rFonts w:ascii="Verdana" w:hAnsi="Verdana"/>
          <w:sz w:val="18"/>
          <w:szCs w:val="18"/>
        </w:rPr>
        <w:t xml:space="preserve"> opinion is based on fact-finding missions to Portugal, Greece and Ireland</w:t>
      </w:r>
      <w:r>
        <w:rPr>
          <w:rFonts w:ascii="Verdana" w:hAnsi="Verdana"/>
          <w:sz w:val="18"/>
          <w:szCs w:val="18"/>
        </w:rPr>
        <w:t>,</w:t>
      </w:r>
      <w:r w:rsidRPr="0086025A">
        <w:rPr>
          <w:rFonts w:ascii="Verdana" w:hAnsi="Verdana"/>
          <w:sz w:val="18"/>
          <w:szCs w:val="18"/>
        </w:rPr>
        <w:t xml:space="preserve"> which gathered in-depth, first-hand information about local experience</w:t>
      </w:r>
      <w:r>
        <w:rPr>
          <w:rFonts w:ascii="Verdana" w:hAnsi="Verdana"/>
          <w:sz w:val="18"/>
          <w:szCs w:val="18"/>
        </w:rPr>
        <w:t xml:space="preserve"> of</w:t>
      </w:r>
      <w:r w:rsidRPr="0086025A">
        <w:rPr>
          <w:rFonts w:ascii="Verdana" w:hAnsi="Verdana"/>
          <w:sz w:val="18"/>
          <w:szCs w:val="18"/>
        </w:rPr>
        <w:t xml:space="preserve"> crisis management and adjustment programmes and their impact</w:t>
      </w:r>
      <w:r>
        <w:rPr>
          <w:rFonts w:ascii="Verdana" w:hAnsi="Verdana"/>
          <w:sz w:val="18"/>
          <w:szCs w:val="18"/>
        </w:rPr>
        <w:t>, while it also</w:t>
      </w:r>
      <w:bookmarkStart w:id="0" w:name="_GoBack"/>
      <w:bookmarkEnd w:id="0"/>
      <w:r>
        <w:rPr>
          <w:rFonts w:ascii="Verdana" w:hAnsi="Verdana"/>
          <w:sz w:val="18"/>
          <w:szCs w:val="18"/>
        </w:rPr>
        <w:t xml:space="preserve"> builds on the conclusions of a public hearing involving the European Commission, the European Central Bank, the International Monetary Fund and representatives of civil society</w:t>
      </w:r>
      <w:r w:rsidRPr="003C39BA">
        <w:rPr>
          <w:rFonts w:ascii="Verdana" w:hAnsi="Verdana"/>
          <w:sz w:val="18"/>
          <w:szCs w:val="18"/>
        </w:rPr>
        <w:t xml:space="preserve"> </w:t>
      </w:r>
      <w:r>
        <w:rPr>
          <w:rFonts w:ascii="Verdana" w:hAnsi="Verdana"/>
          <w:sz w:val="18"/>
          <w:szCs w:val="18"/>
        </w:rPr>
        <w:t>organisations</w:t>
      </w:r>
      <w:r w:rsidRPr="0086025A">
        <w:rPr>
          <w:rFonts w:ascii="Verdana" w:hAnsi="Verdana"/>
          <w:sz w:val="18"/>
          <w:szCs w:val="18"/>
        </w:rPr>
        <w:t xml:space="preserve">. </w:t>
      </w:r>
      <w:r>
        <w:rPr>
          <w:rFonts w:ascii="Verdana" w:hAnsi="Verdana"/>
          <w:sz w:val="18"/>
          <w:szCs w:val="18"/>
        </w:rPr>
        <w:t xml:space="preserve">The programmes have led to severe socio-economic problems in these countries and </w:t>
      </w:r>
      <w:r w:rsidRPr="0086025A">
        <w:rPr>
          <w:rFonts w:ascii="Verdana" w:hAnsi="Verdana"/>
          <w:sz w:val="18"/>
          <w:szCs w:val="18"/>
        </w:rPr>
        <w:t>have affected the poorest people the most</w:t>
      </w:r>
      <w:r>
        <w:rPr>
          <w:rFonts w:ascii="Verdana" w:hAnsi="Verdana"/>
          <w:sz w:val="18"/>
          <w:szCs w:val="18"/>
        </w:rPr>
        <w:t>, reducing their access to the basic necessities</w:t>
      </w:r>
      <w:r w:rsidRPr="0086025A">
        <w:rPr>
          <w:rFonts w:ascii="Verdana" w:hAnsi="Verdana"/>
          <w:sz w:val="18"/>
          <w:szCs w:val="18"/>
        </w:rPr>
        <w:t xml:space="preserve">. </w:t>
      </w:r>
      <w:r>
        <w:rPr>
          <w:rFonts w:ascii="Verdana" w:hAnsi="Verdana"/>
          <w:sz w:val="18"/>
          <w:szCs w:val="18"/>
        </w:rPr>
        <w:t xml:space="preserve">The statistical data and reports of the missions can be found in the </w:t>
      </w:r>
      <w:hyperlink r:id="rId16" w:history="1">
        <w:r w:rsidRPr="009234C8">
          <w:rPr>
            <w:rStyle w:val="Hyperlink"/>
            <w:rFonts w:ascii="Verdana" w:hAnsi="Verdana"/>
            <w:sz w:val="18"/>
            <w:szCs w:val="18"/>
          </w:rPr>
          <w:t>Committee's opinion</w:t>
        </w:r>
      </w:hyperlink>
      <w:r w:rsidRPr="0086025A">
        <w:rPr>
          <w:rFonts w:ascii="Verdana" w:hAnsi="Verdana"/>
          <w:sz w:val="18"/>
          <w:szCs w:val="18"/>
        </w:rPr>
        <w:t>.</w:t>
      </w:r>
    </w:p>
    <w:p w:rsidR="009B1DDA" w:rsidRDefault="009B1DDA" w:rsidP="009B1DDA">
      <w:pPr>
        <w:spacing w:line="276" w:lineRule="auto"/>
        <w:jc w:val="center"/>
        <w:rPr>
          <w:rFonts w:ascii="Verdana" w:hAnsi="Verdana"/>
          <w:b/>
          <w:sz w:val="18"/>
          <w:szCs w:val="18"/>
        </w:rPr>
      </w:pPr>
    </w:p>
    <w:p w:rsidR="009B1DDA" w:rsidRPr="0086025A" w:rsidRDefault="009B1DDA" w:rsidP="009B1DDA">
      <w:pPr>
        <w:spacing w:line="276" w:lineRule="auto"/>
        <w:jc w:val="center"/>
        <w:rPr>
          <w:rFonts w:ascii="Verdana" w:hAnsi="Verdana"/>
          <w:b/>
          <w:sz w:val="18"/>
          <w:szCs w:val="18"/>
        </w:rPr>
      </w:pPr>
    </w:p>
    <w:p w:rsidR="009B1DDA" w:rsidRPr="0086025A" w:rsidRDefault="009B1DDA" w:rsidP="009B1DDA">
      <w:pPr>
        <w:spacing w:line="276" w:lineRule="auto"/>
        <w:jc w:val="center"/>
        <w:rPr>
          <w:rFonts w:ascii="Verdana" w:hAnsi="Verdana"/>
          <w:color w:val="0000FF"/>
          <w:sz w:val="18"/>
          <w:szCs w:val="18"/>
          <w:u w:val="single"/>
        </w:rPr>
      </w:pPr>
      <w:r w:rsidRPr="0086025A">
        <w:rPr>
          <w:rFonts w:ascii="Verdana" w:hAnsi="Verdana"/>
          <w:b/>
          <w:sz w:val="18"/>
          <w:szCs w:val="18"/>
        </w:rPr>
        <w:t>For more information, please contact:</w:t>
      </w:r>
    </w:p>
    <w:p w:rsidR="009B1DDA" w:rsidRPr="0086025A" w:rsidRDefault="009B1DDA" w:rsidP="009B1DDA">
      <w:pPr>
        <w:pStyle w:val="Heading1"/>
        <w:numPr>
          <w:ilvl w:val="0"/>
          <w:numId w:val="0"/>
        </w:numPr>
        <w:spacing w:line="276" w:lineRule="auto"/>
        <w:ind w:left="360"/>
        <w:jc w:val="center"/>
        <w:rPr>
          <w:rFonts w:ascii="Verdana" w:hAnsi="Verdana"/>
          <w:bCs/>
          <w:sz w:val="18"/>
          <w:szCs w:val="18"/>
          <w:highlight w:val="yellow"/>
        </w:rPr>
      </w:pPr>
      <w:r w:rsidRPr="0086025A">
        <w:rPr>
          <w:rFonts w:ascii="Verdana" w:hAnsi="Verdana"/>
          <w:sz w:val="18"/>
          <w:szCs w:val="18"/>
        </w:rPr>
        <w:t xml:space="preserve">EESC Press Unit – Jasmin </w:t>
      </w:r>
      <w:proofErr w:type="spellStart"/>
      <w:r w:rsidRPr="0086025A">
        <w:rPr>
          <w:rFonts w:ascii="Verdana" w:hAnsi="Verdana"/>
          <w:sz w:val="18"/>
          <w:szCs w:val="18"/>
        </w:rPr>
        <w:t>Klötzing</w:t>
      </w:r>
      <w:proofErr w:type="spellEnd"/>
    </w:p>
    <w:p w:rsidR="009B1DDA" w:rsidRPr="0086025A" w:rsidRDefault="009B1DDA" w:rsidP="009B1DDA">
      <w:pPr>
        <w:pStyle w:val="Heading1"/>
        <w:numPr>
          <w:ilvl w:val="0"/>
          <w:numId w:val="0"/>
        </w:numPr>
        <w:spacing w:line="276" w:lineRule="auto"/>
        <w:ind w:left="360"/>
        <w:jc w:val="center"/>
        <w:rPr>
          <w:rFonts w:ascii="Verdana" w:hAnsi="Verdana"/>
          <w:sz w:val="18"/>
          <w:szCs w:val="18"/>
        </w:rPr>
      </w:pPr>
      <w:r w:rsidRPr="0086025A">
        <w:rPr>
          <w:rFonts w:ascii="Verdana" w:hAnsi="Verdana"/>
          <w:sz w:val="18"/>
          <w:szCs w:val="18"/>
        </w:rPr>
        <w:t>+ 32 (0)</w:t>
      </w:r>
      <w:r>
        <w:rPr>
          <w:rFonts w:ascii="Verdana" w:hAnsi="Verdana"/>
          <w:sz w:val="18"/>
          <w:szCs w:val="18"/>
        </w:rPr>
        <w:t xml:space="preserve"> </w:t>
      </w:r>
      <w:r w:rsidRPr="0086025A">
        <w:rPr>
          <w:rFonts w:ascii="Verdana" w:hAnsi="Verdana"/>
          <w:sz w:val="18"/>
          <w:szCs w:val="18"/>
        </w:rPr>
        <w:t>2 546 90 67</w:t>
      </w:r>
    </w:p>
    <w:p w:rsidR="009B1DDA" w:rsidRPr="0086025A" w:rsidRDefault="009B1DDA" w:rsidP="009B1DDA">
      <w:pPr>
        <w:spacing w:line="276" w:lineRule="auto"/>
        <w:jc w:val="center"/>
        <w:rPr>
          <w:rFonts w:ascii="Verdana" w:hAnsi="Verdana"/>
          <w:sz w:val="18"/>
          <w:szCs w:val="18"/>
        </w:rPr>
      </w:pPr>
      <w:hyperlink r:id="rId17" w:history="1">
        <w:r w:rsidRPr="0086025A">
          <w:rPr>
            <w:rStyle w:val="Hyperlink"/>
            <w:rFonts w:ascii="Verdana" w:hAnsi="Verdana"/>
            <w:sz w:val="18"/>
            <w:szCs w:val="18"/>
          </w:rPr>
          <w:t>jasmin.kloetzing@eesc.europa.eu</w:t>
        </w:r>
      </w:hyperlink>
    </w:p>
    <w:p w:rsidR="009B1DDA" w:rsidRPr="0086025A" w:rsidRDefault="009B1DDA" w:rsidP="009B1DDA">
      <w:pPr>
        <w:spacing w:line="276" w:lineRule="auto"/>
        <w:jc w:val="center"/>
        <w:rPr>
          <w:rFonts w:ascii="Verdana" w:hAnsi="Verdana"/>
          <w:b/>
          <w:bCs/>
          <w:sz w:val="18"/>
          <w:szCs w:val="18"/>
        </w:rPr>
      </w:pPr>
      <w:r w:rsidRPr="0086025A">
        <w:rPr>
          <w:rFonts w:ascii="Verdana" w:hAnsi="Verdana"/>
          <w:b/>
          <w:bCs/>
          <w:sz w:val="18"/>
          <w:szCs w:val="18"/>
        </w:rPr>
        <w:t>@EESC_PRESS</w:t>
      </w:r>
    </w:p>
    <w:p w:rsidR="009B1DDA" w:rsidRDefault="009B1DDA" w:rsidP="009B1DDA">
      <w:pPr>
        <w:spacing w:line="276" w:lineRule="auto"/>
        <w:jc w:val="center"/>
        <w:rPr>
          <w:rFonts w:ascii="Verdana" w:hAnsi="Verdana"/>
          <w:color w:val="0000FF"/>
          <w:sz w:val="18"/>
          <w:szCs w:val="18"/>
        </w:rPr>
      </w:pPr>
      <w:hyperlink r:id="rId18" w:history="1">
        <w:r w:rsidRPr="0086025A">
          <w:rPr>
            <w:rStyle w:val="Hyperlink"/>
            <w:rFonts w:ascii="Verdana" w:hAnsi="Verdana"/>
            <w:sz w:val="18"/>
            <w:szCs w:val="18"/>
            <w:lang w:eastAsia="fr-BE"/>
          </w:rPr>
          <w:t>VIDEO: How has the EESC made a difference</w:t>
        </w:r>
      </w:hyperlink>
      <w:r w:rsidRPr="0086025A">
        <w:rPr>
          <w:rFonts w:ascii="Verdana" w:hAnsi="Verdana"/>
          <w:color w:val="0000FF"/>
          <w:sz w:val="18"/>
          <w:szCs w:val="18"/>
        </w:rPr>
        <w:t>?</w:t>
      </w:r>
    </w:p>
    <w:p w:rsidR="009B1DDA" w:rsidRPr="0086025A" w:rsidRDefault="009B1DDA" w:rsidP="009B1DDA">
      <w:pPr>
        <w:spacing w:line="276" w:lineRule="auto"/>
        <w:jc w:val="center"/>
        <w:rPr>
          <w:rStyle w:val="Hyperlink"/>
          <w:rFonts w:ascii="Verdana" w:hAnsi="Verdana"/>
          <w:sz w:val="18"/>
          <w:szCs w:val="18"/>
          <w:lang w:eastAsia="fr-BE"/>
        </w:rPr>
      </w:pPr>
    </w:p>
    <w:p w:rsidR="009B1DDA" w:rsidRPr="00A87A61" w:rsidRDefault="009B1DDA" w:rsidP="009B1DDA">
      <w:pPr>
        <w:pStyle w:val="Body"/>
        <w:spacing w:line="276" w:lineRule="auto"/>
        <w:jc w:val="center"/>
        <w:rPr>
          <w:rFonts w:ascii="Verdana" w:eastAsia="Verdana" w:hAnsi="Verdana" w:cs="Verdana"/>
          <w:sz w:val="16"/>
          <w:szCs w:val="16"/>
          <w:lang w:val="en-GB"/>
        </w:rPr>
      </w:pPr>
    </w:p>
    <w:p w:rsidR="009B1DDA" w:rsidRPr="00A87A61" w:rsidRDefault="009B1DDA" w:rsidP="009B1DDA">
      <w:pPr>
        <w:pStyle w:val="Body"/>
        <w:pBdr>
          <w:top w:val="single" w:sz="4" w:space="0" w:color="000000"/>
          <w:bottom w:val="single" w:sz="4" w:space="0" w:color="000000"/>
        </w:pBdr>
        <w:spacing w:line="276" w:lineRule="auto"/>
        <w:rPr>
          <w:rFonts w:ascii="Verdana" w:eastAsia="Verdana" w:hAnsi="Verdana" w:cs="Verdana"/>
          <w:i/>
          <w:iCs/>
          <w:sz w:val="14"/>
          <w:szCs w:val="14"/>
          <w:lang w:val="en-GB"/>
        </w:rPr>
      </w:pPr>
      <w:r w:rsidRPr="00A87A61">
        <w:rPr>
          <w:rFonts w:ascii="Verdana" w:hAnsi="Verdana"/>
          <w:i/>
          <w:iCs/>
          <w:sz w:val="14"/>
          <w:szCs w:val="14"/>
          <w:lang w:val="en-GB"/>
        </w:rPr>
        <w:t xml:space="preserve">The European Economic and Social Committee is an institutional consultative body established by the 1957 Treaty of Rome. The Committee has 350 members from across Europe, who </w:t>
      </w:r>
      <w:proofErr w:type="gramStart"/>
      <w:r w:rsidRPr="00A87A61">
        <w:rPr>
          <w:rFonts w:ascii="Verdana" w:hAnsi="Verdana"/>
          <w:i/>
          <w:iCs/>
          <w:sz w:val="14"/>
          <w:szCs w:val="14"/>
          <w:lang w:val="en-GB"/>
        </w:rPr>
        <w:t>are</w:t>
      </w:r>
      <w:proofErr w:type="gramEnd"/>
      <w:r w:rsidRPr="00A87A61">
        <w:rPr>
          <w:rFonts w:ascii="Verdana" w:hAnsi="Verdana"/>
          <w:i/>
          <w:iCs/>
          <w:sz w:val="14"/>
          <w:szCs w:val="14"/>
          <w:lang w:val="en-GB"/>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9B1DDA" w:rsidRPr="00A87A61" w:rsidRDefault="009B1DDA" w:rsidP="009B1DDA">
      <w:pPr>
        <w:pStyle w:val="Body"/>
        <w:spacing w:line="276" w:lineRule="auto"/>
        <w:rPr>
          <w:rFonts w:ascii="Verdana" w:eastAsia="Verdana" w:hAnsi="Verdana" w:cs="Verdana"/>
          <w:b/>
          <w:bCs/>
          <w:i/>
          <w:iCs/>
          <w:sz w:val="16"/>
          <w:szCs w:val="16"/>
          <w:lang w:val="en-GB"/>
        </w:rPr>
      </w:pPr>
    </w:p>
    <w:p w:rsidR="009B1DDA" w:rsidRPr="009B1DDA" w:rsidRDefault="009B1DDA" w:rsidP="009B1DDA">
      <w:pPr>
        <w:pStyle w:val="Body"/>
        <w:spacing w:line="276" w:lineRule="auto"/>
        <w:rPr>
          <w:rFonts w:ascii="Verdana" w:eastAsia="Verdana" w:hAnsi="Verdana" w:cs="Verdana"/>
          <w:color w:val="0000FF"/>
          <w:sz w:val="16"/>
          <w:szCs w:val="16"/>
          <w:u w:val="single" w:color="0000FF"/>
          <w:lang w:val="en-GB"/>
        </w:rPr>
      </w:pPr>
      <w:r w:rsidRPr="00A87A61">
        <w:rPr>
          <w:rFonts w:ascii="Verdana" w:hAnsi="Verdana"/>
          <w:sz w:val="16"/>
          <w:szCs w:val="16"/>
          <w:lang w:val="en-GB"/>
        </w:rPr>
        <w:t>If you no longer wish to receive these mess</w:t>
      </w:r>
      <w:r>
        <w:rPr>
          <w:rFonts w:ascii="Verdana" w:hAnsi="Verdana"/>
          <w:sz w:val="16"/>
          <w:szCs w:val="16"/>
          <w:lang w:val="en-GB"/>
        </w:rPr>
        <w:t>ages, please send an e-mail to:</w:t>
      </w:r>
      <w:r w:rsidRPr="00A87A61">
        <w:rPr>
          <w:rFonts w:ascii="Verdana" w:hAnsi="Verdana"/>
          <w:sz w:val="16"/>
          <w:szCs w:val="16"/>
          <w:lang w:val="en-GB"/>
        </w:rPr>
        <w:t xml:space="preserve"> </w:t>
      </w:r>
      <w:hyperlink r:id="rId19" w:history="1">
        <w:r w:rsidRPr="00A87A61">
          <w:rPr>
            <w:rStyle w:val="Hyperlink2"/>
            <w:lang w:val="en-GB"/>
          </w:rPr>
          <w:t>press@eesc.europa.eu</w:t>
        </w:r>
      </w:hyperlink>
    </w:p>
    <w:p w:rsidR="00CE439D" w:rsidRPr="00140B6A" w:rsidRDefault="00CE439D" w:rsidP="00AF47DD">
      <w:pPr>
        <w:rPr>
          <w:rFonts w:ascii="Verdana" w:hAnsi="Verdana"/>
          <w:b/>
          <w:i/>
          <w:sz w:val="16"/>
        </w:rPr>
      </w:pPr>
    </w:p>
    <w:sectPr w:rsidR="00CE439D" w:rsidRPr="00140B6A" w:rsidSect="002A2433">
      <w:type w:val="continuous"/>
      <w:pgSz w:w="11907" w:h="16839" w:code="9"/>
      <w:pgMar w:top="2127"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6B" w:rsidRDefault="00D9556B">
      <w:r>
        <w:separator/>
      </w:r>
    </w:p>
  </w:endnote>
  <w:endnote w:type="continuationSeparator" w:id="0">
    <w:p w:rsidR="00D9556B" w:rsidRDefault="00D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sidRPr="00473E94">
      <w:rPr>
        <w:rFonts w:ascii="Verdana" w:hAnsi="Verdana"/>
        <w:sz w:val="16"/>
      </w:rPr>
      <w:t>Rue Belliard/Belliardstr</w:t>
    </w:r>
    <w:r w:rsidR="008C573E" w:rsidRPr="00473E94">
      <w:rPr>
        <w:rFonts w:ascii="Verdana" w:hAnsi="Verdana"/>
        <w:sz w:val="16"/>
      </w:rPr>
      <w:t>aat 99 – 1040 Bruxelles/Brussel</w:t>
    </w:r>
    <w:r w:rsidRPr="00473E94">
      <w:rPr>
        <w:rFonts w:ascii="Verdana" w:hAnsi="Verdana"/>
        <w:sz w:val="16"/>
      </w:rPr>
      <w:t xml:space="preserve"> – BELGIQUE/BELGIË</w:t>
    </w:r>
  </w:p>
  <w:p w:rsidR="0004715C" w:rsidRPr="00473E94" w:rsidRDefault="00734330" w:rsidP="0004715C">
    <w:pPr>
      <w:spacing w:line="240" w:lineRule="auto"/>
      <w:jc w:val="center"/>
      <w:rPr>
        <w:rFonts w:ascii="Verdana" w:hAnsi="Verdana"/>
        <w:sz w:val="16"/>
      </w:rPr>
    </w:pPr>
    <w:r w:rsidRPr="00473E94">
      <w:rPr>
        <w:rFonts w:ascii="Verdana" w:hAnsi="Verdana"/>
        <w:sz w:val="16"/>
      </w:rPr>
      <w:t>Tel. +32 2546</w:t>
    </w:r>
    <w:r w:rsidR="00A94C10" w:rsidRPr="00473E94">
      <w:rPr>
        <w:rFonts w:ascii="Verdana" w:hAnsi="Verdana"/>
        <w:sz w:val="16"/>
      </w:rPr>
      <w:t>9</w:t>
    </w:r>
    <w:r w:rsidR="00AF47DD">
      <w:rPr>
        <w:rFonts w:ascii="Verdana" w:hAnsi="Verdana"/>
        <w:sz w:val="16"/>
      </w:rPr>
      <w:t>011</w:t>
    </w:r>
    <w:r w:rsidR="0004715C" w:rsidRPr="00473E94">
      <w:rPr>
        <w:rFonts w:ascii="Verdana" w:hAnsi="Verdana"/>
        <w:sz w:val="16"/>
      </w:rPr>
      <w:t xml:space="preserve"> – Fax +32 25</w:t>
    </w:r>
    <w:r w:rsidR="00AF47DD">
      <w:rPr>
        <w:rFonts w:ascii="Verdana" w:hAnsi="Verdana"/>
        <w:sz w:val="16"/>
      </w:rPr>
      <w:t>134893</w:t>
    </w:r>
  </w:p>
  <w:p w:rsidR="0004715C" w:rsidRPr="00473E94" w:rsidRDefault="0004715C"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F61167" w:rsidRPr="00473E94" w:rsidRDefault="00F61167" w:rsidP="00F61167">
    <w:pPr>
      <w:spacing w:line="240" w:lineRule="auto"/>
      <w:jc w:val="center"/>
    </w:pPr>
    <w:r w:rsidRPr="00473E94">
      <w:rPr>
        <w:rFonts w:ascii="Verdana" w:hAnsi="Verdana"/>
        <w:sz w:val="16"/>
      </w:rPr>
      <w:t xml:space="preserve">Follow the EESC on </w:t>
    </w:r>
    <w:r w:rsidR="00DE5D0A">
      <w:rPr>
        <w:noProof/>
        <w:lang w:val="en-US"/>
      </w:rPr>
      <w:drawing>
        <wp:inline distT="0" distB="0" distL="0" distR="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DE5D0A">
      <w:rPr>
        <w:noProof/>
        <w:lang w:val="en-US"/>
      </w:rPr>
      <w:drawing>
        <wp:inline distT="0" distB="0" distL="0" distR="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DE5D0A">
      <w:rPr>
        <w:noProof/>
        <w:lang w:val="en-US"/>
      </w:rPr>
      <w:drawing>
        <wp:inline distT="0" distB="0" distL="0" distR="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6B" w:rsidRDefault="00D9556B">
      <w:r>
        <w:separator/>
      </w:r>
    </w:p>
  </w:footnote>
  <w:footnote w:type="continuationSeparator" w:id="0">
    <w:p w:rsidR="00D9556B" w:rsidRDefault="00D9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99A0633"/>
    <w:multiLevelType w:val="hybridMultilevel"/>
    <w:tmpl w:val="0F5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4DFA"/>
    <w:rsid w:val="0013137C"/>
    <w:rsid w:val="00134081"/>
    <w:rsid w:val="00140B6A"/>
    <w:rsid w:val="00142677"/>
    <w:rsid w:val="00150E62"/>
    <w:rsid w:val="00161E2C"/>
    <w:rsid w:val="00166961"/>
    <w:rsid w:val="001719C4"/>
    <w:rsid w:val="00175E42"/>
    <w:rsid w:val="0018613F"/>
    <w:rsid w:val="001E0762"/>
    <w:rsid w:val="00227A31"/>
    <w:rsid w:val="00244B53"/>
    <w:rsid w:val="002562CD"/>
    <w:rsid w:val="002734F3"/>
    <w:rsid w:val="002A2433"/>
    <w:rsid w:val="002B04A8"/>
    <w:rsid w:val="002B6234"/>
    <w:rsid w:val="002C5CBB"/>
    <w:rsid w:val="002D08ED"/>
    <w:rsid w:val="002D6898"/>
    <w:rsid w:val="002D7A8C"/>
    <w:rsid w:val="002F7233"/>
    <w:rsid w:val="00304E7A"/>
    <w:rsid w:val="00337F0A"/>
    <w:rsid w:val="00364ED2"/>
    <w:rsid w:val="0036598D"/>
    <w:rsid w:val="00376637"/>
    <w:rsid w:val="00394D81"/>
    <w:rsid w:val="003B62F4"/>
    <w:rsid w:val="003B714A"/>
    <w:rsid w:val="003C7BF9"/>
    <w:rsid w:val="003D2255"/>
    <w:rsid w:val="003F5C5E"/>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58B4"/>
    <w:rsid w:val="00594C5F"/>
    <w:rsid w:val="005B203C"/>
    <w:rsid w:val="005B3342"/>
    <w:rsid w:val="005B53B3"/>
    <w:rsid w:val="005C08F4"/>
    <w:rsid w:val="005C46DB"/>
    <w:rsid w:val="005D1C0D"/>
    <w:rsid w:val="005E1BBF"/>
    <w:rsid w:val="005F42C5"/>
    <w:rsid w:val="0060771D"/>
    <w:rsid w:val="00626C38"/>
    <w:rsid w:val="006371D8"/>
    <w:rsid w:val="006403AA"/>
    <w:rsid w:val="00643B6D"/>
    <w:rsid w:val="00662EE3"/>
    <w:rsid w:val="00686EC2"/>
    <w:rsid w:val="006A7CB6"/>
    <w:rsid w:val="006E1765"/>
    <w:rsid w:val="0071010B"/>
    <w:rsid w:val="00712EA3"/>
    <w:rsid w:val="0071617F"/>
    <w:rsid w:val="00726590"/>
    <w:rsid w:val="00734330"/>
    <w:rsid w:val="0079480D"/>
    <w:rsid w:val="007A5486"/>
    <w:rsid w:val="007B245C"/>
    <w:rsid w:val="007C1DDE"/>
    <w:rsid w:val="007D708F"/>
    <w:rsid w:val="007E645B"/>
    <w:rsid w:val="007F0D33"/>
    <w:rsid w:val="007F36B6"/>
    <w:rsid w:val="007F385B"/>
    <w:rsid w:val="00811FCE"/>
    <w:rsid w:val="00825E10"/>
    <w:rsid w:val="008331BA"/>
    <w:rsid w:val="00862C04"/>
    <w:rsid w:val="008820BE"/>
    <w:rsid w:val="008A7BC8"/>
    <w:rsid w:val="008C3D7F"/>
    <w:rsid w:val="008C573E"/>
    <w:rsid w:val="008E5B09"/>
    <w:rsid w:val="00910EE7"/>
    <w:rsid w:val="009507B5"/>
    <w:rsid w:val="00961216"/>
    <w:rsid w:val="0096658E"/>
    <w:rsid w:val="009A0D29"/>
    <w:rsid w:val="009A348E"/>
    <w:rsid w:val="009B00D5"/>
    <w:rsid w:val="009B1DDA"/>
    <w:rsid w:val="009C2FCF"/>
    <w:rsid w:val="009D663A"/>
    <w:rsid w:val="009E6DD9"/>
    <w:rsid w:val="00A14889"/>
    <w:rsid w:val="00A21AF7"/>
    <w:rsid w:val="00A463F8"/>
    <w:rsid w:val="00A801B4"/>
    <w:rsid w:val="00A94C10"/>
    <w:rsid w:val="00AA0C32"/>
    <w:rsid w:val="00AA61D9"/>
    <w:rsid w:val="00AF2692"/>
    <w:rsid w:val="00AF47DD"/>
    <w:rsid w:val="00B03F1A"/>
    <w:rsid w:val="00B05B15"/>
    <w:rsid w:val="00B14944"/>
    <w:rsid w:val="00B172A0"/>
    <w:rsid w:val="00B239E2"/>
    <w:rsid w:val="00B33867"/>
    <w:rsid w:val="00B43F58"/>
    <w:rsid w:val="00B70056"/>
    <w:rsid w:val="00B9349D"/>
    <w:rsid w:val="00B96D77"/>
    <w:rsid w:val="00B97CC4"/>
    <w:rsid w:val="00BB36F5"/>
    <w:rsid w:val="00BE1AD1"/>
    <w:rsid w:val="00BE1DAF"/>
    <w:rsid w:val="00BF3CA8"/>
    <w:rsid w:val="00C12A8E"/>
    <w:rsid w:val="00C36609"/>
    <w:rsid w:val="00C92538"/>
    <w:rsid w:val="00C97D1B"/>
    <w:rsid w:val="00CA087C"/>
    <w:rsid w:val="00CB38B5"/>
    <w:rsid w:val="00CB3AEC"/>
    <w:rsid w:val="00CB5993"/>
    <w:rsid w:val="00CC51C7"/>
    <w:rsid w:val="00CE439D"/>
    <w:rsid w:val="00D04716"/>
    <w:rsid w:val="00D1634B"/>
    <w:rsid w:val="00D9556B"/>
    <w:rsid w:val="00D97D8E"/>
    <w:rsid w:val="00DC5ECF"/>
    <w:rsid w:val="00DC66B3"/>
    <w:rsid w:val="00DE5D0A"/>
    <w:rsid w:val="00E32EC6"/>
    <w:rsid w:val="00E376FE"/>
    <w:rsid w:val="00EC04FE"/>
    <w:rsid w:val="00EE684E"/>
    <w:rsid w:val="00F00B46"/>
    <w:rsid w:val="00F02081"/>
    <w:rsid w:val="00F54B43"/>
    <w:rsid w:val="00F61167"/>
    <w:rsid w:val="00F634A1"/>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 w:type="character" w:customStyle="1" w:styleId="Heading2Char">
    <w:name w:val="Heading 2 Char"/>
    <w:basedOn w:val="DefaultParagraphFont"/>
    <w:link w:val="Heading2"/>
    <w:rsid w:val="009B1DDA"/>
    <w:rPr>
      <w:sz w:val="22"/>
      <w:lang w:val="en-GB"/>
    </w:rPr>
  </w:style>
  <w:style w:type="paragraph" w:customStyle="1" w:styleId="Body">
    <w:name w:val="Body"/>
    <w:rsid w:val="009B1DDA"/>
    <w:pPr>
      <w:pBdr>
        <w:top w:val="nil"/>
        <w:left w:val="nil"/>
        <w:bottom w:val="nil"/>
        <w:right w:val="nil"/>
        <w:between w:val="nil"/>
        <w:bar w:val="nil"/>
      </w:pBdr>
      <w:spacing w:line="288" w:lineRule="auto"/>
      <w:jc w:val="both"/>
    </w:pPr>
    <w:rPr>
      <w:rFonts w:eastAsia="Arial Unicode MS" w:cs="Arial Unicode MS"/>
      <w:color w:val="000000"/>
      <w:sz w:val="22"/>
      <w:szCs w:val="22"/>
      <w:u w:color="000000"/>
      <w:bdr w:val="nil"/>
      <w:lang w:val="fr-FR" w:eastAsia="en-GB"/>
    </w:rPr>
  </w:style>
  <w:style w:type="character" w:customStyle="1" w:styleId="Hyperlink2">
    <w:name w:val="Hyperlink.2"/>
    <w:basedOn w:val="DefaultParagraphFont"/>
    <w:rsid w:val="009B1DDA"/>
    <w:rPr>
      <w:rFonts w:ascii="Verdana" w:eastAsia="Verdana" w:hAnsi="Verdana" w:cs="Verdana"/>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 w:type="character" w:customStyle="1" w:styleId="Heading2Char">
    <w:name w:val="Heading 2 Char"/>
    <w:basedOn w:val="DefaultParagraphFont"/>
    <w:link w:val="Heading2"/>
    <w:rsid w:val="009B1DDA"/>
    <w:rPr>
      <w:sz w:val="22"/>
      <w:lang w:val="en-GB"/>
    </w:rPr>
  </w:style>
  <w:style w:type="paragraph" w:customStyle="1" w:styleId="Body">
    <w:name w:val="Body"/>
    <w:rsid w:val="009B1DDA"/>
    <w:pPr>
      <w:pBdr>
        <w:top w:val="nil"/>
        <w:left w:val="nil"/>
        <w:bottom w:val="nil"/>
        <w:right w:val="nil"/>
        <w:between w:val="nil"/>
        <w:bar w:val="nil"/>
      </w:pBdr>
      <w:spacing w:line="288" w:lineRule="auto"/>
      <w:jc w:val="both"/>
    </w:pPr>
    <w:rPr>
      <w:rFonts w:eastAsia="Arial Unicode MS" w:cs="Arial Unicode MS"/>
      <w:color w:val="000000"/>
      <w:sz w:val="22"/>
      <w:szCs w:val="22"/>
      <w:u w:color="000000"/>
      <w:bdr w:val="nil"/>
      <w:lang w:val="fr-FR" w:eastAsia="en-GB"/>
    </w:rPr>
  </w:style>
  <w:style w:type="character" w:customStyle="1" w:styleId="Hyperlink2">
    <w:name w:val="Hyperlink.2"/>
    <w:basedOn w:val="DefaultParagraphFont"/>
    <w:rsid w:val="009B1DDA"/>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en.videos.4108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asmin.kloetzing@eesc.europa.eu" TargetMode="External"/><Relationship Id="rId2" Type="http://schemas.openxmlformats.org/officeDocument/2006/relationships/customXml" Target="../customXml/item2.xml"/><Relationship Id="rId16" Type="http://schemas.openxmlformats.org/officeDocument/2006/relationships/hyperlink" Target="http://www.eesc.europa.eu/en/our-work/opinions-information-reports/opinions/lessons-learned-avoiding-severity-austerity-policie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en/our-work/opinions-information-reports/opinions/lessons-learned-avoiding-severity-austerity-policies-eu" TargetMode="External"/><Relationship Id="rId10" Type="http://schemas.openxmlformats.org/officeDocument/2006/relationships/webSettings" Target="web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A4D7C458-A4C0-45BC-8252-A6BF66978A79}">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1ce364b-8312-4584-b8fd-0beccfde721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BE26162-8B8C-4D8A-B343-D8B16ED8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Pages>
  <Words>818</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CP 17 EN India</vt:lpstr>
    </vt:vector>
  </TitlesOfParts>
  <Company>CESE-CdR</Company>
  <LinksUpToDate>false</LinksUpToDate>
  <CharactersWithSpaces>5914</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EN India</dc:title>
  <dc:subject>Press Release</dc:subject>
  <dc:creator>Agata Berdys</dc:creator>
  <cp:keywords>EESC-2014-01231-00-00-CP-TRA-EN</cp:keywords>
  <cp:lastModifiedBy>Jasmin Kloetzing</cp:lastModifiedBy>
  <cp:revision>3</cp:revision>
  <cp:lastPrinted>2014-02-24T16:16:00Z</cp:lastPrinted>
  <dcterms:created xsi:type="dcterms:W3CDTF">2018-02-16T08:05:00Z</dcterms:created>
  <dcterms:modified xsi:type="dcterms:W3CDTF">2018-02-16T08:09:00Z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