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4" w:rsidRPr="009E0A87" w:rsidRDefault="00DA0C0C" w:rsidP="009E0A87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r w:rsidRPr="009E0A87">
        <w:rPr>
          <w:rFonts w:asciiTheme="minorHAnsi" w:hAnsiTheme="minorHAnsi"/>
          <w:b/>
        </w:rPr>
        <w:t>Cezhraničné služby zvyšujú rast, tvrdí štúdia</w:t>
      </w:r>
      <w:r w:rsidR="009E0A87" w:rsidRPr="00835A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A37B2E" wp14:editId="55B9842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8000" cy="396000"/>
                <wp:effectExtent l="0" t="0" r="0" b="444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A87" w:rsidRPr="00835A43" w:rsidRDefault="009E0A87" w:rsidP="009E0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835A43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7B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4hqi5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9E0A87" w:rsidRPr="00835A43" w:rsidRDefault="009E0A87" w:rsidP="009E0A8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835A43"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2802" w:rsidRPr="009E0A87" w:rsidRDefault="002D1935" w:rsidP="009E0A87">
      <w:pPr>
        <w:spacing w:after="240" w:line="264" w:lineRule="auto"/>
        <w:rPr>
          <w:rFonts w:asciiTheme="minorHAnsi" w:hAnsiTheme="minorHAnsi" w:cstheme="minorHAnsi"/>
          <w:b/>
        </w:rPr>
      </w:pPr>
      <w:r w:rsidRPr="009E0A87">
        <w:rPr>
          <w:rFonts w:asciiTheme="minorHAnsi" w:hAnsiTheme="minorHAnsi"/>
          <w:b/>
        </w:rPr>
        <w:t>Podľa novej štúdie, ktorú dal vypracovať Európsky hospodársky</w:t>
      </w:r>
      <w:r w:rsidR="009E0A87">
        <w:rPr>
          <w:rFonts w:asciiTheme="minorHAnsi" w:hAnsiTheme="minorHAnsi"/>
          <w:b/>
        </w:rPr>
        <w:t xml:space="preserve"> a </w:t>
      </w:r>
      <w:r w:rsidRPr="009E0A87">
        <w:rPr>
          <w:rFonts w:asciiTheme="minorHAnsi" w:hAnsiTheme="minorHAnsi"/>
          <w:b/>
        </w:rPr>
        <w:t>sociálny výbor, vytvárajú cezhraničné služby nové pracovné miesta</w:t>
      </w:r>
      <w:r w:rsidR="009E0A87">
        <w:rPr>
          <w:rFonts w:asciiTheme="minorHAnsi" w:hAnsiTheme="minorHAnsi"/>
          <w:b/>
        </w:rPr>
        <w:t xml:space="preserve"> a </w:t>
      </w:r>
      <w:r w:rsidRPr="009E0A87">
        <w:rPr>
          <w:rFonts w:asciiTheme="minorHAnsi" w:hAnsiTheme="minorHAnsi"/>
          <w:b/>
        </w:rPr>
        <w:t>hospodársky rast. Majú pozitívny vplyv na všetky krajiny EÚ aj na rôzne typy pracovných miest, náročné na pracovnú silu</w:t>
      </w:r>
      <w:r w:rsidR="009E0A87">
        <w:rPr>
          <w:rFonts w:asciiTheme="minorHAnsi" w:hAnsiTheme="minorHAnsi"/>
          <w:b/>
        </w:rPr>
        <w:t xml:space="preserve"> i </w:t>
      </w:r>
      <w:r w:rsidRPr="009E0A87">
        <w:rPr>
          <w:rFonts w:asciiTheme="minorHAnsi" w:hAnsiTheme="minorHAnsi"/>
          <w:b/>
        </w:rPr>
        <w:t>na vedomosti. Štúdia dokazuje, že pre hospodárstvo EÚ je prospešné nezavádzať prísnejšiu reguláciu na vnútornom trhu</w:t>
      </w:r>
      <w:r w:rsidR="009E0A87">
        <w:rPr>
          <w:rFonts w:asciiTheme="minorHAnsi" w:hAnsiTheme="minorHAnsi"/>
          <w:b/>
        </w:rPr>
        <w:t xml:space="preserve"> s </w:t>
      </w:r>
      <w:r w:rsidRPr="009E0A87">
        <w:rPr>
          <w:rFonts w:asciiTheme="minorHAnsi" w:hAnsiTheme="minorHAnsi"/>
          <w:b/>
        </w:rPr>
        <w:t>cezhraničnými službami Znížením podielu cezhraničných služieb</w:t>
      </w:r>
      <w:r w:rsidR="009E0A87">
        <w:rPr>
          <w:rFonts w:asciiTheme="minorHAnsi" w:hAnsiTheme="minorHAnsi"/>
          <w:b/>
        </w:rPr>
        <w:t xml:space="preserve"> o </w:t>
      </w:r>
      <w:r w:rsidRPr="009E0A87">
        <w:rPr>
          <w:rFonts w:asciiTheme="minorHAnsi" w:hAnsiTheme="minorHAnsi"/>
          <w:b/>
        </w:rPr>
        <w:t>1</w:t>
      </w:r>
      <w:r w:rsidR="009E0A87">
        <w:rPr>
          <w:rFonts w:asciiTheme="minorHAnsi" w:hAnsiTheme="minorHAnsi"/>
          <w:b/>
        </w:rPr>
        <w:t> %</w:t>
      </w:r>
      <w:r w:rsidRPr="009E0A87">
        <w:rPr>
          <w:rFonts w:asciiTheme="minorHAnsi" w:hAnsiTheme="minorHAnsi"/>
          <w:b/>
        </w:rPr>
        <w:t xml:space="preserve"> by hospodárstvo EÚ prišlo približne</w:t>
      </w:r>
      <w:r w:rsidR="009E0A87">
        <w:rPr>
          <w:rFonts w:asciiTheme="minorHAnsi" w:hAnsiTheme="minorHAnsi"/>
          <w:b/>
        </w:rPr>
        <w:t xml:space="preserve"> o </w:t>
      </w:r>
      <w:r w:rsidRPr="009E0A87">
        <w:rPr>
          <w:rFonts w:asciiTheme="minorHAnsi" w:hAnsiTheme="minorHAnsi"/>
          <w:b/>
        </w:rPr>
        <w:t>8 miliárd EUR.</w:t>
      </w:r>
    </w:p>
    <w:p w:rsidR="009E0A87" w:rsidRDefault="00703AA2" w:rsidP="009E0A87">
      <w:pPr>
        <w:spacing w:after="240" w:line="264" w:lineRule="auto"/>
        <w:rPr>
          <w:rFonts w:asciiTheme="minorHAnsi" w:hAnsiTheme="minorHAnsi"/>
        </w:rPr>
      </w:pPr>
      <w:r w:rsidRPr="009E0A87">
        <w:rPr>
          <w:rFonts w:asciiTheme="minorHAnsi" w:hAnsiTheme="minorHAnsi"/>
        </w:rPr>
        <w:t>V roku 2014 spočívalo takmer 11</w:t>
      </w:r>
      <w:r w:rsidR="009E0A87">
        <w:rPr>
          <w:rFonts w:asciiTheme="minorHAnsi" w:hAnsiTheme="minorHAnsi"/>
        </w:rPr>
        <w:t> </w:t>
      </w:r>
      <w:r w:rsidRPr="009E0A87">
        <w:rPr>
          <w:rFonts w:asciiTheme="minorHAnsi" w:hAnsiTheme="minorHAnsi"/>
        </w:rPr>
        <w:t>miliónov pracovných miest</w:t>
      </w:r>
      <w:r w:rsidR="009E0A87">
        <w:rPr>
          <w:rFonts w:asciiTheme="minorHAnsi" w:hAnsiTheme="minorHAnsi"/>
        </w:rPr>
        <w:t xml:space="preserve"> v </w:t>
      </w:r>
      <w:r w:rsidRPr="009E0A87">
        <w:rPr>
          <w:rFonts w:asciiTheme="minorHAnsi" w:hAnsiTheme="minorHAnsi"/>
        </w:rPr>
        <w:t>EÚ na vývoze cezhraničných služieb. Počet zamestnancov závislých od cezhraničných služieb sa od roku 2000 takmer zdvojnásobil. Zatiaľ čo celková zamestnanosť</w:t>
      </w:r>
      <w:r w:rsidR="009E0A87">
        <w:rPr>
          <w:rFonts w:asciiTheme="minorHAnsi" w:hAnsiTheme="minorHAnsi"/>
        </w:rPr>
        <w:t xml:space="preserve"> v </w:t>
      </w:r>
      <w:r w:rsidRPr="009E0A87">
        <w:rPr>
          <w:rFonts w:asciiTheme="minorHAnsi" w:hAnsiTheme="minorHAnsi"/>
        </w:rPr>
        <w:t>EÚ vzrástla</w:t>
      </w:r>
      <w:r w:rsidR="009E0A87">
        <w:rPr>
          <w:rFonts w:asciiTheme="minorHAnsi" w:hAnsiTheme="minorHAnsi"/>
        </w:rPr>
        <w:t xml:space="preserve"> o </w:t>
      </w:r>
      <w:r w:rsidRPr="009E0A87">
        <w:rPr>
          <w:rFonts w:asciiTheme="minorHAnsi" w:hAnsiTheme="minorHAnsi"/>
        </w:rPr>
        <w:t>5,5</w:t>
      </w:r>
      <w:r w:rsidR="009E0A87">
        <w:rPr>
          <w:rFonts w:asciiTheme="minorHAnsi" w:hAnsiTheme="minorHAnsi"/>
        </w:rPr>
        <w:t> %</w:t>
      </w:r>
      <w:r w:rsidRPr="009E0A87">
        <w:rPr>
          <w:rFonts w:asciiTheme="minorHAnsi" w:hAnsiTheme="minorHAnsi"/>
        </w:rPr>
        <w:t>, zamestnanosť závislá od cezhraničných služieb sa zvýšila</w:t>
      </w:r>
      <w:r w:rsidR="009E0A87">
        <w:rPr>
          <w:rFonts w:asciiTheme="minorHAnsi" w:hAnsiTheme="minorHAnsi"/>
        </w:rPr>
        <w:t xml:space="preserve"> o </w:t>
      </w:r>
      <w:r w:rsidRPr="009E0A87">
        <w:rPr>
          <w:rFonts w:asciiTheme="minorHAnsi" w:hAnsiTheme="minorHAnsi"/>
        </w:rPr>
        <w:t>94</w:t>
      </w:r>
      <w:r w:rsidR="009E0A87">
        <w:rPr>
          <w:rFonts w:asciiTheme="minorHAnsi" w:hAnsiTheme="minorHAnsi"/>
        </w:rPr>
        <w:t> %</w:t>
      </w:r>
      <w:r w:rsidRPr="009E0A87">
        <w:rPr>
          <w:rFonts w:asciiTheme="minorHAnsi" w:hAnsiTheme="minorHAnsi"/>
        </w:rPr>
        <w:t>. Jasne to dokazuje pozitívny vplyv na hospodárstvo EÚ. Krajiny</w:t>
      </w:r>
      <w:r w:rsidR="009E0A87">
        <w:rPr>
          <w:rFonts w:asciiTheme="minorHAnsi" w:hAnsiTheme="minorHAnsi"/>
        </w:rPr>
        <w:t xml:space="preserve"> s </w:t>
      </w:r>
      <w:r w:rsidRPr="009E0A87">
        <w:rPr>
          <w:rFonts w:asciiTheme="minorHAnsi" w:hAnsiTheme="minorHAnsi"/>
        </w:rPr>
        <w:t>vyšším podielom na cezhraničných službách zaznamenali oveľa výraznejší rast zamestnanosti</w:t>
      </w:r>
      <w:r w:rsidR="009E0A87">
        <w:rPr>
          <w:rFonts w:asciiTheme="minorHAnsi" w:hAnsiTheme="minorHAnsi"/>
        </w:rPr>
        <w:t xml:space="preserve"> a </w:t>
      </w:r>
      <w:r w:rsidRPr="009E0A87">
        <w:rPr>
          <w:rFonts w:asciiTheme="minorHAnsi" w:hAnsiTheme="minorHAnsi"/>
        </w:rPr>
        <w:t>HDP ako krajiny menej zapojené do trhu</w:t>
      </w:r>
      <w:r w:rsidR="009E0A87">
        <w:rPr>
          <w:rFonts w:asciiTheme="minorHAnsi" w:hAnsiTheme="minorHAnsi"/>
        </w:rPr>
        <w:t xml:space="preserve"> s </w:t>
      </w:r>
      <w:r w:rsidRPr="009E0A87">
        <w:rPr>
          <w:rFonts w:asciiTheme="minorHAnsi" w:hAnsiTheme="minorHAnsi"/>
        </w:rPr>
        <w:t>cezhraničnými službami</w:t>
      </w:r>
      <w:r w:rsidR="009E0A87">
        <w:rPr>
          <w:rFonts w:asciiTheme="minorHAnsi" w:hAnsiTheme="minorHAnsi"/>
        </w:rPr>
        <w:t>.</w:t>
      </w:r>
    </w:p>
    <w:p w:rsidR="00703AA2" w:rsidRPr="009E0A87" w:rsidRDefault="009C0298" w:rsidP="009E0A87">
      <w:pPr>
        <w:spacing w:after="240" w:line="264" w:lineRule="auto"/>
        <w:rPr>
          <w:rFonts w:asciiTheme="minorHAnsi" w:hAnsiTheme="minorHAnsi" w:cstheme="minorHAnsi"/>
        </w:rPr>
      </w:pPr>
      <w:r w:rsidRPr="009E0A87">
        <w:rPr>
          <w:rFonts w:asciiTheme="minorHAnsi" w:hAnsiTheme="minorHAnsi"/>
        </w:rPr>
        <w:t>„Štúdia dokazuje, že cezhraničné služby nepredstavujú ani sociálny damping, ani nebezpečenstvo pre hospodárstva členských štátov. Čoraz prísnejšia regulácia cezhraničných služieb by mala negatívny dosah na hospodárstvo</w:t>
      </w:r>
      <w:r w:rsidR="009E0A87">
        <w:rPr>
          <w:rFonts w:asciiTheme="minorHAnsi" w:hAnsiTheme="minorHAnsi"/>
        </w:rPr>
        <w:t xml:space="preserve"> a </w:t>
      </w:r>
      <w:r w:rsidRPr="009E0A87">
        <w:rPr>
          <w:rFonts w:asciiTheme="minorHAnsi" w:hAnsiTheme="minorHAnsi"/>
        </w:rPr>
        <w:t>ohrozila by celistvosť jednotného trhu,“ povedal podpredseda skupiny Zamestnávatelia Peter Clever.</w:t>
      </w:r>
    </w:p>
    <w:p w:rsidR="009C0298" w:rsidRPr="009E0A87" w:rsidRDefault="00142802" w:rsidP="009E0A87">
      <w:pPr>
        <w:spacing w:after="240" w:line="264" w:lineRule="auto"/>
        <w:rPr>
          <w:rFonts w:asciiTheme="minorHAnsi" w:hAnsiTheme="minorHAnsi" w:cstheme="minorHAnsi"/>
        </w:rPr>
      </w:pPr>
      <w:r w:rsidRPr="009E0A87">
        <w:rPr>
          <w:rFonts w:asciiTheme="minorHAnsi" w:hAnsiTheme="minorHAnsi"/>
        </w:rPr>
        <w:t>Napriek tomu, že verejnosť to vníma inak, sa podľa štúdie tri zo štyroch cezhraničných pracovných miest nachádzajú</w:t>
      </w:r>
      <w:r w:rsidR="009E0A87">
        <w:rPr>
          <w:rFonts w:asciiTheme="minorHAnsi" w:hAnsiTheme="minorHAnsi"/>
        </w:rPr>
        <w:t xml:space="preserve"> v </w:t>
      </w:r>
      <w:r w:rsidRPr="009E0A87">
        <w:rPr>
          <w:rFonts w:asciiTheme="minorHAnsi" w:hAnsiTheme="minorHAnsi"/>
        </w:rPr>
        <w:t>štátoch EÚ15 Takmer 40</w:t>
      </w:r>
      <w:r w:rsidR="009E0A87">
        <w:rPr>
          <w:rFonts w:asciiTheme="minorHAnsi" w:hAnsiTheme="minorHAnsi"/>
        </w:rPr>
        <w:t> %</w:t>
      </w:r>
      <w:r w:rsidRPr="009E0A87">
        <w:rPr>
          <w:rFonts w:asciiTheme="minorHAnsi" w:hAnsiTheme="minorHAnsi"/>
        </w:rPr>
        <w:t xml:space="preserve"> vyslaných pracovníkov bolo vyslaných</w:t>
      </w:r>
      <w:r w:rsidR="009E0A87">
        <w:rPr>
          <w:rFonts w:asciiTheme="minorHAnsi" w:hAnsiTheme="minorHAnsi"/>
        </w:rPr>
        <w:t xml:space="preserve"> z </w:t>
      </w:r>
      <w:r w:rsidRPr="009E0A87">
        <w:rPr>
          <w:rFonts w:asciiTheme="minorHAnsi" w:hAnsiTheme="minorHAnsi"/>
        </w:rPr>
        <w:t>jednej krajiny</w:t>
      </w:r>
      <w:r w:rsidR="009E0A87">
        <w:rPr>
          <w:rFonts w:asciiTheme="minorHAnsi" w:hAnsiTheme="minorHAnsi"/>
        </w:rPr>
        <w:t xml:space="preserve"> s </w:t>
      </w:r>
      <w:r w:rsidRPr="009E0A87">
        <w:rPr>
          <w:rFonts w:asciiTheme="minorHAnsi" w:hAnsiTheme="minorHAnsi"/>
        </w:rPr>
        <w:t>vysokými mzdami do druhej.</w:t>
      </w:r>
      <w:r w:rsidR="009E0A87">
        <w:rPr>
          <w:rFonts w:asciiTheme="minorHAnsi" w:hAnsiTheme="minorHAnsi"/>
        </w:rPr>
        <w:t xml:space="preserve"> Z </w:t>
      </w:r>
      <w:r w:rsidRPr="009E0A87">
        <w:rPr>
          <w:rFonts w:asciiTheme="minorHAnsi" w:hAnsiTheme="minorHAnsi"/>
        </w:rPr>
        <w:t>toho jasne vidno, že</w:t>
      </w:r>
      <w:r w:rsidR="009E0A87">
        <w:rPr>
          <w:rFonts w:asciiTheme="minorHAnsi" w:hAnsiTheme="minorHAnsi"/>
        </w:rPr>
        <w:t xml:space="preserve"> z </w:t>
      </w:r>
      <w:r w:rsidRPr="009E0A87">
        <w:rPr>
          <w:rFonts w:asciiTheme="minorHAnsi" w:hAnsiTheme="minorHAnsi"/>
        </w:rPr>
        <w:t>cezhraničných služieb profitujú ekonomiky všetkých členských štátov. Celková pridaná hodnota závislá od vývozu cezhraničných služieb predstavovala</w:t>
      </w:r>
      <w:r w:rsidR="009E0A87">
        <w:rPr>
          <w:rFonts w:asciiTheme="minorHAnsi" w:hAnsiTheme="minorHAnsi"/>
        </w:rPr>
        <w:t xml:space="preserve"> v </w:t>
      </w:r>
      <w:r w:rsidRPr="009E0A87">
        <w:rPr>
          <w:rFonts w:asciiTheme="minorHAnsi" w:hAnsiTheme="minorHAnsi"/>
        </w:rPr>
        <w:t>roku 2014 vo všetkých 28 členských štátoch 625 miliárd EUR.</w:t>
      </w:r>
    </w:p>
    <w:p w:rsidR="009C0298" w:rsidRPr="009E0A87" w:rsidRDefault="009C0298" w:rsidP="009E0A87">
      <w:pPr>
        <w:spacing w:after="240" w:line="264" w:lineRule="auto"/>
        <w:rPr>
          <w:rFonts w:asciiTheme="minorHAnsi" w:hAnsiTheme="minorHAnsi" w:cstheme="minorHAnsi"/>
        </w:rPr>
      </w:pPr>
      <w:r w:rsidRPr="009E0A87">
        <w:rPr>
          <w:rFonts w:asciiTheme="minorHAnsi" w:hAnsiTheme="minorHAnsi"/>
        </w:rPr>
        <w:t>Okrem toho sa cezhraničné služby neobmedzujú len na pracovné miesta</w:t>
      </w:r>
      <w:r w:rsidR="009E0A87">
        <w:rPr>
          <w:rFonts w:asciiTheme="minorHAnsi" w:hAnsiTheme="minorHAnsi"/>
        </w:rPr>
        <w:t xml:space="preserve"> s </w:t>
      </w:r>
      <w:r w:rsidRPr="009E0A87">
        <w:rPr>
          <w:rFonts w:asciiTheme="minorHAnsi" w:hAnsiTheme="minorHAnsi"/>
        </w:rPr>
        <w:t>nízkymi mzdami náročné na pracovnú silu. Podiel pracovných miest</w:t>
      </w:r>
      <w:r w:rsidR="009E0A87">
        <w:rPr>
          <w:rFonts w:asciiTheme="minorHAnsi" w:hAnsiTheme="minorHAnsi"/>
        </w:rPr>
        <w:t xml:space="preserve"> v </w:t>
      </w:r>
      <w:r w:rsidRPr="009E0A87">
        <w:rPr>
          <w:rFonts w:asciiTheme="minorHAnsi" w:hAnsiTheme="minorHAnsi"/>
        </w:rPr>
        <w:t>odvetviach náročných na poznatky</w:t>
      </w:r>
      <w:r w:rsidR="009E0A87">
        <w:rPr>
          <w:rFonts w:asciiTheme="minorHAnsi" w:hAnsiTheme="minorHAnsi"/>
        </w:rPr>
        <w:t xml:space="preserve"> a </w:t>
      </w:r>
      <w:r w:rsidRPr="009E0A87">
        <w:rPr>
          <w:rFonts w:asciiTheme="minorHAnsi" w:hAnsiTheme="minorHAnsi"/>
        </w:rPr>
        <w:t>závislých od vývozu cezhraničných služieb vzrástol takmer rovnako ako podiel pracovných miest náročných na pracovnou silu.</w:t>
      </w:r>
    </w:p>
    <w:p w:rsidR="00964F65" w:rsidRPr="009E0A87" w:rsidRDefault="00964F65" w:rsidP="009E0A87">
      <w:pPr>
        <w:spacing w:after="240" w:line="264" w:lineRule="auto"/>
        <w:rPr>
          <w:rFonts w:asciiTheme="minorHAnsi" w:hAnsiTheme="minorHAnsi" w:cstheme="minorHAnsi"/>
        </w:rPr>
      </w:pPr>
      <w:r w:rsidRPr="009E0A87">
        <w:rPr>
          <w:rFonts w:asciiTheme="minorHAnsi" w:hAnsiTheme="minorHAnsi"/>
        </w:rPr>
        <w:t>Výskum takisto poukázal na to, že</w:t>
      </w:r>
      <w:r w:rsidR="009E0A87">
        <w:rPr>
          <w:rFonts w:asciiTheme="minorHAnsi" w:hAnsiTheme="minorHAnsi"/>
        </w:rPr>
        <w:t xml:space="preserve"> v </w:t>
      </w:r>
      <w:r w:rsidRPr="009E0A87">
        <w:rPr>
          <w:rFonts w:asciiTheme="minorHAnsi" w:hAnsiTheme="minorHAnsi"/>
        </w:rPr>
        <w:t>krajinách</w:t>
      </w:r>
      <w:r w:rsidR="009E0A87">
        <w:rPr>
          <w:rFonts w:asciiTheme="minorHAnsi" w:hAnsiTheme="minorHAnsi"/>
        </w:rPr>
        <w:t xml:space="preserve"> s </w:t>
      </w:r>
      <w:r w:rsidRPr="009E0A87">
        <w:rPr>
          <w:rFonts w:asciiTheme="minorHAnsi" w:hAnsiTheme="minorHAnsi"/>
        </w:rPr>
        <w:t>vyšším podielom cezhraničných služieb je</w:t>
      </w:r>
      <w:r w:rsidR="009E0A87">
        <w:rPr>
          <w:rFonts w:asciiTheme="minorHAnsi" w:hAnsiTheme="minorHAnsi"/>
        </w:rPr>
        <w:t xml:space="preserve"> v </w:t>
      </w:r>
      <w:r w:rsidRPr="009E0A87">
        <w:rPr>
          <w:rFonts w:asciiTheme="minorHAnsi" w:hAnsiTheme="minorHAnsi"/>
        </w:rPr>
        <w:t>priemere menšie percento ľudí ohrozených chudobou</w:t>
      </w:r>
      <w:r w:rsidR="009E0A87">
        <w:rPr>
          <w:rFonts w:asciiTheme="minorHAnsi" w:hAnsiTheme="minorHAnsi"/>
        </w:rPr>
        <w:t xml:space="preserve"> a </w:t>
      </w:r>
      <w:r w:rsidRPr="009E0A87">
        <w:rPr>
          <w:rFonts w:asciiTheme="minorHAnsi" w:hAnsiTheme="minorHAnsi"/>
        </w:rPr>
        <w:t>sociálnym vylúčením</w:t>
      </w:r>
      <w:r w:rsidR="009E0A87">
        <w:rPr>
          <w:rFonts w:asciiTheme="minorHAnsi" w:hAnsiTheme="minorHAnsi"/>
        </w:rPr>
        <w:t xml:space="preserve"> a u </w:t>
      </w:r>
      <w:r w:rsidRPr="009E0A87">
        <w:rPr>
          <w:rFonts w:asciiTheme="minorHAnsi" w:hAnsiTheme="minorHAnsi"/>
        </w:rPr>
        <w:t>ich obyvateľov bola zaznamenaná vyššia úroveň šťastia</w:t>
      </w:r>
      <w:r w:rsidR="009E0A87">
        <w:rPr>
          <w:rFonts w:asciiTheme="minorHAnsi" w:hAnsiTheme="minorHAnsi"/>
        </w:rPr>
        <w:t xml:space="preserve"> a </w:t>
      </w:r>
      <w:r w:rsidRPr="009E0A87">
        <w:rPr>
          <w:rFonts w:asciiTheme="minorHAnsi" w:hAnsiTheme="minorHAnsi"/>
        </w:rPr>
        <w:t>spokojnosti so životom.</w:t>
      </w:r>
    </w:p>
    <w:p w:rsidR="00C532F3" w:rsidRPr="009E0A87" w:rsidRDefault="009C0298" w:rsidP="009E0A87">
      <w:pPr>
        <w:spacing w:after="240" w:line="264" w:lineRule="auto"/>
        <w:rPr>
          <w:rFonts w:asciiTheme="minorHAnsi" w:hAnsiTheme="minorHAnsi" w:cstheme="minorHAnsi"/>
        </w:rPr>
      </w:pPr>
      <w:r w:rsidRPr="009E0A87">
        <w:rPr>
          <w:rFonts w:asciiTheme="minorHAnsi" w:hAnsiTheme="minorHAnsi"/>
        </w:rPr>
        <w:t>Vypracovaním štúdie,</w:t>
      </w:r>
      <w:r w:rsidR="009E0A87">
        <w:rPr>
          <w:rFonts w:asciiTheme="minorHAnsi" w:hAnsiTheme="minorHAnsi"/>
        </w:rPr>
        <w:t xml:space="preserve"> o </w:t>
      </w:r>
      <w:r w:rsidRPr="009E0A87">
        <w:rPr>
          <w:rFonts w:asciiTheme="minorHAnsi" w:hAnsiTheme="minorHAnsi"/>
        </w:rPr>
        <w:t>ktoré požiadala skupina Zamestnávatelia, poveril Európsky hospodársky</w:t>
      </w:r>
      <w:r w:rsidR="009E0A87">
        <w:rPr>
          <w:rFonts w:asciiTheme="minorHAnsi" w:hAnsiTheme="minorHAnsi"/>
        </w:rPr>
        <w:t xml:space="preserve"> a </w:t>
      </w:r>
      <w:r w:rsidRPr="009E0A87">
        <w:rPr>
          <w:rFonts w:asciiTheme="minorHAnsi" w:hAnsiTheme="minorHAnsi"/>
        </w:rPr>
        <w:t xml:space="preserve">sociálny výbor nemeckú expertnú skupinu IW Consult. Štúdiu si môžete stiahnuť tu: </w:t>
      </w:r>
      <w:hyperlink r:id="rId7" w:history="1">
        <w:r w:rsidRPr="009E0A87">
          <w:rPr>
            <w:rStyle w:val="Hyperlink"/>
            <w:rFonts w:asciiTheme="minorHAnsi" w:hAnsiTheme="minorHAnsi"/>
          </w:rPr>
          <w:t>https://europa.eu/!yQ</w:t>
        </w:r>
        <w:r w:rsidRPr="009E0A87">
          <w:rPr>
            <w:rStyle w:val="Hyperlink"/>
            <w:rFonts w:asciiTheme="minorHAnsi" w:hAnsiTheme="minorHAnsi"/>
          </w:rPr>
          <w:t>3</w:t>
        </w:r>
        <w:r w:rsidRPr="009E0A87">
          <w:rPr>
            <w:rStyle w:val="Hyperlink"/>
            <w:rFonts w:asciiTheme="minorHAnsi" w:hAnsiTheme="minorHAnsi"/>
          </w:rPr>
          <w:t>6mK</w:t>
        </w:r>
      </w:hyperlink>
      <w:bookmarkStart w:id="0" w:name="_GoBack"/>
      <w:bookmarkEnd w:id="0"/>
    </w:p>
    <w:sectPr w:rsidR="00C532F3" w:rsidRPr="009E0A87" w:rsidSect="009E0A87">
      <w:footerReference w:type="default" r:id="rId8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9E0A87" w:rsidRDefault="009E0A87" w:rsidP="009E0A8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-0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142802"/>
    <w:rsid w:val="00202851"/>
    <w:rsid w:val="002D1935"/>
    <w:rsid w:val="0049113F"/>
    <w:rsid w:val="00502F90"/>
    <w:rsid w:val="00703AA2"/>
    <w:rsid w:val="007D2EC5"/>
    <w:rsid w:val="0084292A"/>
    <w:rsid w:val="00877476"/>
    <w:rsid w:val="008D1CDD"/>
    <w:rsid w:val="009648B6"/>
    <w:rsid w:val="00964F65"/>
    <w:rsid w:val="009C0298"/>
    <w:rsid w:val="009E0A87"/>
    <w:rsid w:val="00A178DE"/>
    <w:rsid w:val="00B70A54"/>
    <w:rsid w:val="00C532F3"/>
    <w:rsid w:val="00C95DD3"/>
    <w:rsid w:val="00D22DDD"/>
    <w:rsid w:val="00D337D6"/>
    <w:rsid w:val="00DA0C0C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056F"/>
  <w15:docId w15:val="{CDB8FA64-DD75-466B-ABC8-2851DDE57F8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87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E0A8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E0A8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E0A8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E0A8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E0A8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E0A8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E0A8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E0A8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E0A8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E0A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0A87"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9E0A87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9E0A8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9E0A87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9E0A8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E0A87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opa.eu/!yQ36m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CTJJHAUHWN5E-724024958-3243</_dlc_DocId>
    <_dlc_DocIdUrl xmlns="bfc960a6-20da-4c94-8684-71380fca093b">
      <Url>http://dm2016/eesc/2019/_layouts/15/DocIdRedir.aspx?ID=CTJJHAUHWN5E-724024958-3243</Url>
      <Description>CTJJHAUHWN5E-724024958-3243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2019-06-14T12:00:00+00:00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D98F3-BA0A-49CC-9E3F-36F70A2EB491}"/>
</file>

<file path=customXml/itemProps2.xml><?xml version="1.0" encoding="utf-8"?>
<ds:datastoreItem xmlns:ds="http://schemas.openxmlformats.org/officeDocument/2006/customXml" ds:itemID="{DBE41D41-B682-4D46-A93F-B456B84955C6}"/>
</file>

<file path=customXml/itemProps3.xml><?xml version="1.0" encoding="utf-8"?>
<ds:datastoreItem xmlns:ds="http://schemas.openxmlformats.org/officeDocument/2006/customXml" ds:itemID="{FE1D941F-E46B-4E42-B3F3-42FC187E2194}"/>
</file>

<file path=customXml/itemProps4.xml><?xml version="1.0" encoding="utf-8"?>
<ds:datastoreItem xmlns:ds="http://schemas.openxmlformats.org/officeDocument/2006/customXml" ds:itemID="{5A4A2317-4F1A-4BB0-9CFA-9964D950F13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Cezhraničné služby PR final</dc:title>
  <dc:creator>ljar</dc:creator>
  <cp:keywords>EESC-2019-02761-00-00-TCD-TRA-EN</cp:keywords>
  <dc:description>Rapporteur:  - Original language: EN - Date of document: 14/06/2019 - Date of meeting:  - External documents:  - Administrator: M. Jarosz Leszek</dc:description>
  <cp:lastModifiedBy>dhra</cp:lastModifiedBy>
  <cp:revision>3</cp:revision>
  <dcterms:created xsi:type="dcterms:W3CDTF">2019-06-06T14:10:00Z</dcterms:created>
  <dcterms:modified xsi:type="dcterms:W3CDTF">2019-06-14T08:46:00Z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c7f3b7f3-9891-4348-9957-d78cbf41ab5f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DA|5d49c027-8956-412b-aa16-e85a0f96ad0e;CS|72f9705b-0217-4fd3-bea2-cbc7ed80e26e;NL|55c6556c-b4f4-441d-9acf-c498d4f838bd;DE|f6b31e5a-26fa-4935-b661-318e46daf27e;MT|7df99101-6854-4a26-b53a-b88c0da02c26;EN|f2175f21-25d7-44a3-96da-d6a61b075e1b;IT|0774613c-01ed-4e5d-a25d-11d2388de825;BG|1a1b3951-7821-4e6a-85f5-5673fc08bd2c;LV|46f7e311-5d9f-4663-b433-18aeccb7ace7;PT|50ccc04a-eadd-42ae-a0cb-acaf45f812ba;ES|e7a6b05b-ae16-40c8-add9-68b64b03aeba;EL|6d4f4d51-af9b-4650-94b4-4276bee85c91;RO|feb747a2-64cd-4299-af12-4833ddc30497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55;#BG|1a1b3951-7821-4e6a-85f5-5673fc08bd2c;#64;#PT|50ccc04a-eadd-42ae-a0cb-acaf45f812ba;#63;#MT|7df99101-6854-4a26-b53a-b88c0da02c26;#21;#IT|0774613c-01ed-4e5d-a25d-11d2388de825;#57;#RO|feb747a2-64cd-4299-af12-4833ddc30497;#45;#NL|55c6556c-b4f4-441d-9acf-c498d4f838bd;#17;#ES|e7a6b05b-ae16-40c8-add9-68b64b03aeba;#52;#DA|5d49c027-8956-412b-aa16-e85a0f96ad0e;#14;#DE|f6b31e5a-26fa-4935-b661-318e46daf27e;#49;#EL|6d4f4d51-af9b-4650-94b4-4276bee85c91;#58;#LV|46f7e311-5d9f-4663-b433-18aeccb7ace7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25;#SK|46d9fce0-ef79-4f71-b89b-cd6aa82426b8</vt:lpwstr>
  </property>
</Properties>
</file>