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54" w:rsidRPr="0084292A" w:rsidRDefault="00DA0C0C" w:rsidP="00142802">
      <w:pPr>
        <w:spacing w:after="240" w:line="264" w:lineRule="auto"/>
        <w:jc w:val="center"/>
        <w:rPr>
          <w:rFonts w:asciiTheme="minorHAnsi" w:hAnsiTheme="minorHAnsi" w:cstheme="minorHAnsi"/>
          <w:b/>
        </w:rPr>
      </w:pPr>
      <w:r>
        <w:rPr>
          <w:rFonts w:asciiTheme="minorHAnsi" w:hAnsiTheme="minorHAnsi"/>
          <w:b/>
        </w:rPr>
        <w:t>Selon une étude, les services transfrontières stimulent la croissance</w:t>
      </w:r>
    </w:p>
    <w:p w:rsidR="00142802" w:rsidRPr="0084292A" w:rsidRDefault="002D1935" w:rsidP="00142802">
      <w:pPr>
        <w:spacing w:after="240" w:line="264" w:lineRule="auto"/>
        <w:rPr>
          <w:rFonts w:asciiTheme="minorHAnsi" w:hAnsiTheme="minorHAnsi" w:cstheme="minorHAnsi"/>
          <w:b/>
        </w:rPr>
      </w:pPr>
      <w:r>
        <w:rPr>
          <w:rFonts w:asciiTheme="minorHAnsi" w:hAnsiTheme="minorHAnsi"/>
          <w:b/>
        </w:rPr>
        <w:t>Une nouvelle étude commandée par le Comité économique et social européen a révélé que les services transfrontières contribuaient à générer de l</w:t>
      </w:r>
      <w:r w:rsidR="008C363A">
        <w:rPr>
          <w:rFonts w:asciiTheme="minorHAnsi" w:hAnsiTheme="minorHAnsi"/>
          <w:b/>
        </w:rPr>
        <w:t>’</w:t>
      </w:r>
      <w:r>
        <w:rPr>
          <w:rFonts w:asciiTheme="minorHAnsi" w:hAnsiTheme="minorHAnsi"/>
          <w:b/>
        </w:rPr>
        <w:t>emploi et favorisaient la croissance économique. Ils s</w:t>
      </w:r>
      <w:r w:rsidR="008C363A">
        <w:rPr>
          <w:rFonts w:asciiTheme="minorHAnsi" w:hAnsiTheme="minorHAnsi"/>
          <w:b/>
        </w:rPr>
        <w:t>’</w:t>
      </w:r>
      <w:r>
        <w:rPr>
          <w:rFonts w:asciiTheme="minorHAnsi" w:hAnsiTheme="minorHAnsi"/>
          <w:b/>
        </w:rPr>
        <w:t>avèrent bénéfiques dans tous les pays de l</w:t>
      </w:r>
      <w:r w:rsidR="008C363A">
        <w:rPr>
          <w:rFonts w:asciiTheme="minorHAnsi" w:hAnsiTheme="minorHAnsi"/>
          <w:b/>
        </w:rPr>
        <w:t>’</w:t>
      </w:r>
      <w:r>
        <w:rPr>
          <w:rFonts w:asciiTheme="minorHAnsi" w:hAnsiTheme="minorHAnsi"/>
          <w:b/>
        </w:rPr>
        <w:t>Union européenne et pour divers types d</w:t>
      </w:r>
      <w:r w:rsidR="008C363A">
        <w:rPr>
          <w:rFonts w:asciiTheme="minorHAnsi" w:hAnsiTheme="minorHAnsi"/>
          <w:b/>
        </w:rPr>
        <w:t>’</w:t>
      </w:r>
      <w:r>
        <w:rPr>
          <w:rFonts w:asciiTheme="minorHAnsi" w:hAnsiTheme="minorHAnsi"/>
          <w:b/>
        </w:rPr>
        <w:t>emplois, à forte intensité de main-d</w:t>
      </w:r>
      <w:r w:rsidR="008C363A">
        <w:rPr>
          <w:rFonts w:asciiTheme="minorHAnsi" w:hAnsiTheme="minorHAnsi"/>
          <w:b/>
        </w:rPr>
        <w:t>’</w:t>
      </w:r>
      <w:r>
        <w:rPr>
          <w:rFonts w:asciiTheme="minorHAnsi" w:hAnsiTheme="minorHAnsi"/>
          <w:b/>
        </w:rPr>
        <w:t>œuvre ou de connaissances. L</w:t>
      </w:r>
      <w:r w:rsidR="008C363A">
        <w:rPr>
          <w:rFonts w:asciiTheme="minorHAnsi" w:hAnsiTheme="minorHAnsi"/>
          <w:b/>
        </w:rPr>
        <w:t>’</w:t>
      </w:r>
      <w:r>
        <w:rPr>
          <w:rFonts w:asciiTheme="minorHAnsi" w:hAnsiTheme="minorHAnsi"/>
          <w:b/>
        </w:rPr>
        <w:t>étude prouve qu</w:t>
      </w:r>
      <w:r w:rsidR="008C363A">
        <w:rPr>
          <w:rFonts w:asciiTheme="minorHAnsi" w:hAnsiTheme="minorHAnsi"/>
          <w:b/>
        </w:rPr>
        <w:t>’</w:t>
      </w:r>
      <w:r>
        <w:rPr>
          <w:rFonts w:asciiTheme="minorHAnsi" w:hAnsiTheme="minorHAnsi"/>
          <w:b/>
        </w:rPr>
        <w:t>il serait profitable à l</w:t>
      </w:r>
      <w:r w:rsidR="008C363A">
        <w:rPr>
          <w:rFonts w:asciiTheme="minorHAnsi" w:hAnsiTheme="minorHAnsi"/>
          <w:b/>
        </w:rPr>
        <w:t>’</w:t>
      </w:r>
      <w:r>
        <w:rPr>
          <w:rFonts w:asciiTheme="minorHAnsi" w:hAnsiTheme="minorHAnsi"/>
          <w:b/>
        </w:rPr>
        <w:t>économie de l</w:t>
      </w:r>
      <w:r w:rsidR="008C363A">
        <w:rPr>
          <w:rFonts w:asciiTheme="minorHAnsi" w:hAnsiTheme="minorHAnsi"/>
          <w:b/>
        </w:rPr>
        <w:t>’</w:t>
      </w:r>
      <w:r>
        <w:rPr>
          <w:rFonts w:asciiTheme="minorHAnsi" w:hAnsiTheme="minorHAnsi"/>
          <w:b/>
        </w:rPr>
        <w:t>Union d</w:t>
      </w:r>
      <w:r w:rsidR="008C363A">
        <w:rPr>
          <w:rFonts w:asciiTheme="minorHAnsi" w:hAnsiTheme="minorHAnsi"/>
          <w:b/>
        </w:rPr>
        <w:t>’</w:t>
      </w:r>
      <w:r>
        <w:rPr>
          <w:rFonts w:asciiTheme="minorHAnsi" w:hAnsiTheme="minorHAnsi"/>
          <w:b/>
        </w:rPr>
        <w:t>éviter toute réglementation trop stricte sur le marché intérieur des services transfrontières. Une diminution d</w:t>
      </w:r>
      <w:r w:rsidR="008C363A">
        <w:rPr>
          <w:rFonts w:asciiTheme="minorHAnsi" w:hAnsiTheme="minorHAnsi"/>
          <w:b/>
        </w:rPr>
        <w:t>’</w:t>
      </w:r>
      <w:r>
        <w:rPr>
          <w:rFonts w:asciiTheme="minorHAnsi" w:hAnsiTheme="minorHAnsi"/>
          <w:b/>
        </w:rPr>
        <w:t>un pour cent de la part des services transfrontières pourrait coûter environ 8 milliards d</w:t>
      </w:r>
      <w:r w:rsidR="008C363A">
        <w:rPr>
          <w:rFonts w:asciiTheme="minorHAnsi" w:hAnsiTheme="minorHAnsi"/>
          <w:b/>
        </w:rPr>
        <w:t>’</w:t>
      </w:r>
      <w:r>
        <w:rPr>
          <w:rFonts w:asciiTheme="minorHAnsi" w:hAnsiTheme="minorHAnsi"/>
          <w:b/>
        </w:rPr>
        <w:t>euros à l</w:t>
      </w:r>
      <w:r w:rsidR="008C363A">
        <w:rPr>
          <w:rFonts w:asciiTheme="minorHAnsi" w:hAnsiTheme="minorHAnsi"/>
          <w:b/>
        </w:rPr>
        <w:t>’</w:t>
      </w:r>
      <w:r>
        <w:rPr>
          <w:rFonts w:asciiTheme="minorHAnsi" w:hAnsiTheme="minorHAnsi"/>
          <w:b/>
        </w:rPr>
        <w:t>économie de l</w:t>
      </w:r>
      <w:r w:rsidR="008C363A">
        <w:rPr>
          <w:rFonts w:asciiTheme="minorHAnsi" w:hAnsiTheme="minorHAnsi"/>
          <w:b/>
        </w:rPr>
        <w:t>’</w:t>
      </w:r>
      <w:r>
        <w:rPr>
          <w:rFonts w:asciiTheme="minorHAnsi" w:hAnsiTheme="minorHAnsi"/>
          <w:b/>
        </w:rPr>
        <w:t>UE.</w:t>
      </w:r>
    </w:p>
    <w:p w:rsidR="00703AA2" w:rsidRPr="00C95DD3" w:rsidRDefault="00703AA2" w:rsidP="00142802">
      <w:pPr>
        <w:spacing w:after="240" w:line="264" w:lineRule="auto"/>
        <w:rPr>
          <w:rFonts w:asciiTheme="minorHAnsi" w:hAnsiTheme="minorHAnsi" w:cstheme="minorHAnsi"/>
        </w:rPr>
      </w:pPr>
      <w:r>
        <w:rPr>
          <w:rFonts w:asciiTheme="minorHAnsi" w:hAnsiTheme="minorHAnsi"/>
        </w:rPr>
        <w:t>En 2014, près de 11 millions d</w:t>
      </w:r>
      <w:r w:rsidR="008C363A">
        <w:rPr>
          <w:rFonts w:asciiTheme="minorHAnsi" w:hAnsiTheme="minorHAnsi"/>
        </w:rPr>
        <w:t>’</w:t>
      </w:r>
      <w:r>
        <w:rPr>
          <w:rFonts w:asciiTheme="minorHAnsi" w:hAnsiTheme="minorHAnsi"/>
        </w:rPr>
        <w:t>emplois dans l</w:t>
      </w:r>
      <w:r w:rsidR="008C363A">
        <w:rPr>
          <w:rFonts w:asciiTheme="minorHAnsi" w:hAnsiTheme="minorHAnsi"/>
        </w:rPr>
        <w:t>’</w:t>
      </w:r>
      <w:r>
        <w:rPr>
          <w:rFonts w:asciiTheme="minorHAnsi" w:hAnsiTheme="minorHAnsi"/>
        </w:rPr>
        <w:t>UE étaient basés sur l</w:t>
      </w:r>
      <w:r w:rsidR="008C363A">
        <w:rPr>
          <w:rFonts w:asciiTheme="minorHAnsi" w:hAnsiTheme="minorHAnsi"/>
        </w:rPr>
        <w:t>’</w:t>
      </w:r>
      <w:r>
        <w:rPr>
          <w:rFonts w:asciiTheme="minorHAnsi" w:hAnsiTheme="minorHAnsi"/>
        </w:rPr>
        <w:t>exportation de services transfrontières. Depuis 2000, le nombre de salariés dont l</w:t>
      </w:r>
      <w:r w:rsidR="008C363A">
        <w:rPr>
          <w:rFonts w:asciiTheme="minorHAnsi" w:hAnsiTheme="minorHAnsi"/>
        </w:rPr>
        <w:t>’</w:t>
      </w:r>
      <w:r>
        <w:rPr>
          <w:rFonts w:asciiTheme="minorHAnsi" w:hAnsiTheme="minorHAnsi"/>
        </w:rPr>
        <w:t>emploi dépend de services transfrontières a presque doublé. Si le taux total d</w:t>
      </w:r>
      <w:r w:rsidR="008C363A">
        <w:rPr>
          <w:rFonts w:asciiTheme="minorHAnsi" w:hAnsiTheme="minorHAnsi"/>
        </w:rPr>
        <w:t>’</w:t>
      </w:r>
      <w:r>
        <w:rPr>
          <w:rFonts w:asciiTheme="minorHAnsi" w:hAnsiTheme="minorHAnsi"/>
        </w:rPr>
        <w:t>emploi dans l</w:t>
      </w:r>
      <w:r w:rsidR="008C363A">
        <w:rPr>
          <w:rFonts w:asciiTheme="minorHAnsi" w:hAnsiTheme="minorHAnsi"/>
        </w:rPr>
        <w:t>’</w:t>
      </w:r>
      <w:r>
        <w:rPr>
          <w:rFonts w:asciiTheme="minorHAnsi" w:hAnsiTheme="minorHAnsi"/>
        </w:rPr>
        <w:t>Union a augmenté de 5,5 %, les emplois dépendant des services transfrontières ont progressé de 94 %. On peut donc en conclure que ces services ont un effet manifestement bénéfique sur l</w:t>
      </w:r>
      <w:r w:rsidR="008C363A">
        <w:rPr>
          <w:rFonts w:asciiTheme="minorHAnsi" w:hAnsiTheme="minorHAnsi"/>
        </w:rPr>
        <w:t>’</w:t>
      </w:r>
      <w:r>
        <w:rPr>
          <w:rFonts w:asciiTheme="minorHAnsi" w:hAnsiTheme="minorHAnsi"/>
        </w:rPr>
        <w:t>économie de l</w:t>
      </w:r>
      <w:r w:rsidR="008C363A">
        <w:rPr>
          <w:rFonts w:asciiTheme="minorHAnsi" w:hAnsiTheme="minorHAnsi"/>
        </w:rPr>
        <w:t>’</w:t>
      </w:r>
      <w:r>
        <w:rPr>
          <w:rFonts w:asciiTheme="minorHAnsi" w:hAnsiTheme="minorHAnsi"/>
        </w:rPr>
        <w:t>Union. Les pays offrant davantage de services transfrontières ont enregistré une croissance de l</w:t>
      </w:r>
      <w:r w:rsidR="008C363A">
        <w:rPr>
          <w:rFonts w:asciiTheme="minorHAnsi" w:hAnsiTheme="minorHAnsi"/>
        </w:rPr>
        <w:t>’</w:t>
      </w:r>
      <w:r>
        <w:rPr>
          <w:rFonts w:asciiTheme="minorHAnsi" w:hAnsiTheme="minorHAnsi"/>
        </w:rPr>
        <w:t xml:space="preserve">emploi et du PIB nettement supérieure par rapport aux États moins investis sur ce marché. </w:t>
      </w:r>
    </w:p>
    <w:p w:rsidR="00703AA2" w:rsidRPr="00C95DD3" w:rsidRDefault="009C0298" w:rsidP="00142802">
      <w:pPr>
        <w:spacing w:after="240" w:line="264" w:lineRule="auto"/>
        <w:rPr>
          <w:rFonts w:asciiTheme="minorHAnsi" w:hAnsiTheme="minorHAnsi" w:cstheme="minorHAnsi"/>
        </w:rPr>
      </w:pPr>
      <w:r>
        <w:rPr>
          <w:rFonts w:asciiTheme="minorHAnsi" w:hAnsiTheme="minorHAnsi"/>
        </w:rPr>
        <w:t>«Cette étude démontre que les services transfrontières ne sont ni du dumping social, ni un danger pour les économies des États membres. Un durcissement de la réglementation des services transfrontières aurait un impact négatif sur l</w:t>
      </w:r>
      <w:r w:rsidR="008C363A">
        <w:rPr>
          <w:rFonts w:asciiTheme="minorHAnsi" w:hAnsiTheme="minorHAnsi"/>
        </w:rPr>
        <w:t>’</w:t>
      </w:r>
      <w:r>
        <w:rPr>
          <w:rFonts w:asciiTheme="minorHAnsi" w:hAnsiTheme="minorHAnsi"/>
        </w:rPr>
        <w:t>économie et menacerait l</w:t>
      </w:r>
      <w:r w:rsidR="008C363A">
        <w:rPr>
          <w:rFonts w:asciiTheme="minorHAnsi" w:hAnsiTheme="minorHAnsi"/>
        </w:rPr>
        <w:t>’</w:t>
      </w:r>
      <w:r>
        <w:rPr>
          <w:rFonts w:asciiTheme="minorHAnsi" w:hAnsiTheme="minorHAnsi"/>
        </w:rPr>
        <w:t>intégrité du marché unique», a déclaré Peter Clever, vice-président du groupe des employeurs du CESE.</w:t>
      </w:r>
    </w:p>
    <w:p w:rsidR="009C0298" w:rsidRPr="00C95DD3" w:rsidRDefault="00142802" w:rsidP="00142802">
      <w:pPr>
        <w:spacing w:after="240" w:line="264" w:lineRule="auto"/>
        <w:rPr>
          <w:rFonts w:asciiTheme="minorHAnsi" w:hAnsiTheme="minorHAnsi" w:cstheme="minorHAnsi"/>
        </w:rPr>
      </w:pPr>
      <w:r>
        <w:rPr>
          <w:rFonts w:asciiTheme="minorHAnsi" w:hAnsiTheme="minorHAnsi"/>
        </w:rPr>
        <w:t>D</w:t>
      </w:r>
      <w:r w:rsidR="008C363A">
        <w:rPr>
          <w:rFonts w:asciiTheme="minorHAnsi" w:hAnsiTheme="minorHAnsi"/>
        </w:rPr>
        <w:t>’</w:t>
      </w:r>
      <w:r>
        <w:rPr>
          <w:rFonts w:asciiTheme="minorHAnsi" w:hAnsiTheme="minorHAnsi"/>
        </w:rPr>
        <w:t>après l</w:t>
      </w:r>
      <w:r w:rsidR="008C363A">
        <w:rPr>
          <w:rFonts w:asciiTheme="minorHAnsi" w:hAnsiTheme="minorHAnsi"/>
        </w:rPr>
        <w:t>’</w:t>
      </w:r>
      <w:r>
        <w:rPr>
          <w:rFonts w:asciiTheme="minorHAnsi" w:hAnsiTheme="minorHAnsi"/>
        </w:rPr>
        <w:t>étude, et contrairement à la croyance publique, 3 emplois transfrontières sur 4 se situent en réalité dans les États membres de l</w:t>
      </w:r>
      <w:r w:rsidR="008C363A">
        <w:rPr>
          <w:rFonts w:asciiTheme="minorHAnsi" w:hAnsiTheme="minorHAnsi"/>
        </w:rPr>
        <w:t>’</w:t>
      </w:r>
      <w:r>
        <w:rPr>
          <w:rFonts w:asciiTheme="minorHAnsi" w:hAnsiTheme="minorHAnsi"/>
        </w:rPr>
        <w:t>EU-15. Près de 40 % des détachements de travailleurs ont lieu entre des pays où les salaires sont élevés, ce qui indique que les services transfrontières profitent aux économies de tous les États membres de l</w:t>
      </w:r>
      <w:r w:rsidR="008C363A">
        <w:rPr>
          <w:rFonts w:asciiTheme="minorHAnsi" w:hAnsiTheme="minorHAnsi"/>
        </w:rPr>
        <w:t>’</w:t>
      </w:r>
      <w:r>
        <w:rPr>
          <w:rFonts w:asciiTheme="minorHAnsi" w:hAnsiTheme="minorHAnsi"/>
        </w:rPr>
        <w:t>Union. En 2014, le total de la valeur ajoutée liée aux exportations de services transfrontières s</w:t>
      </w:r>
      <w:r w:rsidR="008C363A">
        <w:rPr>
          <w:rFonts w:asciiTheme="minorHAnsi" w:hAnsiTheme="minorHAnsi"/>
        </w:rPr>
        <w:t>’</w:t>
      </w:r>
      <w:r>
        <w:rPr>
          <w:rFonts w:asciiTheme="minorHAnsi" w:hAnsiTheme="minorHAnsi"/>
        </w:rPr>
        <w:t>élevait à 625 milliards d</w:t>
      </w:r>
      <w:r w:rsidR="008C363A">
        <w:rPr>
          <w:rFonts w:asciiTheme="minorHAnsi" w:hAnsiTheme="minorHAnsi"/>
        </w:rPr>
        <w:t>’</w:t>
      </w:r>
      <w:r>
        <w:rPr>
          <w:rFonts w:asciiTheme="minorHAnsi" w:hAnsiTheme="minorHAnsi"/>
        </w:rPr>
        <w:t>euros pour l</w:t>
      </w:r>
      <w:r w:rsidR="008C363A">
        <w:rPr>
          <w:rFonts w:asciiTheme="minorHAnsi" w:hAnsiTheme="minorHAnsi"/>
        </w:rPr>
        <w:t>’</w:t>
      </w:r>
      <w:r>
        <w:rPr>
          <w:rFonts w:asciiTheme="minorHAnsi" w:hAnsiTheme="minorHAnsi"/>
        </w:rPr>
        <w:t>ensemble des 28 États membres.</w:t>
      </w:r>
    </w:p>
    <w:p w:rsidR="009C0298" w:rsidRPr="00C95DD3" w:rsidRDefault="009C0298" w:rsidP="00142802">
      <w:pPr>
        <w:spacing w:after="240" w:line="264" w:lineRule="auto"/>
        <w:rPr>
          <w:rFonts w:asciiTheme="minorHAnsi" w:hAnsiTheme="minorHAnsi" w:cstheme="minorHAnsi"/>
        </w:rPr>
      </w:pPr>
      <w:r>
        <w:rPr>
          <w:rFonts w:asciiTheme="minorHAnsi" w:hAnsiTheme="minorHAnsi"/>
        </w:rPr>
        <w:t>Par ailleurs, les services transfrontières ne concernent pas que les emplois à forte intensité de main-d</w:t>
      </w:r>
      <w:r w:rsidR="008C363A">
        <w:rPr>
          <w:rFonts w:asciiTheme="minorHAnsi" w:hAnsiTheme="minorHAnsi"/>
        </w:rPr>
        <w:t>’</w:t>
      </w:r>
      <w:bookmarkStart w:id="0" w:name="_GoBack"/>
      <w:bookmarkEnd w:id="0"/>
      <w:r>
        <w:rPr>
          <w:rFonts w:asciiTheme="minorHAnsi" w:hAnsiTheme="minorHAnsi"/>
        </w:rPr>
        <w:t>œuvre et à bas salaire. Dans les secteurs proposant des services à forte intensité de connaissances, les emplois qui dépendent des services transfrontières ont progressé presque autant que les tâches à forte intensité de main-d</w:t>
      </w:r>
      <w:r w:rsidR="008C363A">
        <w:rPr>
          <w:rFonts w:asciiTheme="minorHAnsi" w:hAnsiTheme="minorHAnsi"/>
        </w:rPr>
        <w:t>’</w:t>
      </w:r>
      <w:r>
        <w:rPr>
          <w:rFonts w:asciiTheme="minorHAnsi" w:hAnsiTheme="minorHAnsi"/>
        </w:rPr>
        <w:t>œuvre.</w:t>
      </w:r>
    </w:p>
    <w:p w:rsidR="00964F65" w:rsidRPr="008D1CDD" w:rsidRDefault="00964F65" w:rsidP="00142802">
      <w:pPr>
        <w:spacing w:after="240" w:line="264" w:lineRule="auto"/>
        <w:rPr>
          <w:rFonts w:asciiTheme="minorHAnsi" w:hAnsiTheme="minorHAnsi" w:cstheme="minorHAnsi"/>
        </w:rPr>
      </w:pPr>
      <w:r>
        <w:rPr>
          <w:rFonts w:asciiTheme="minorHAnsi" w:hAnsiTheme="minorHAnsi"/>
        </w:rPr>
        <w:t>L</w:t>
      </w:r>
      <w:r w:rsidR="008C363A">
        <w:rPr>
          <w:rFonts w:asciiTheme="minorHAnsi" w:hAnsiTheme="minorHAnsi"/>
        </w:rPr>
        <w:t>’</w:t>
      </w:r>
      <w:r>
        <w:rPr>
          <w:rFonts w:asciiTheme="minorHAnsi" w:hAnsiTheme="minorHAnsi"/>
        </w:rPr>
        <w:t>étude indique également que les pays où les services transfrontières constituent une plus grande part de l</w:t>
      </w:r>
      <w:r w:rsidR="008C363A">
        <w:rPr>
          <w:rFonts w:asciiTheme="minorHAnsi" w:hAnsiTheme="minorHAnsi"/>
        </w:rPr>
        <w:t>’</w:t>
      </w:r>
      <w:r>
        <w:rPr>
          <w:rFonts w:asciiTheme="minorHAnsi" w:hAnsiTheme="minorHAnsi"/>
        </w:rPr>
        <w:t>économie comptent en moyenne moins d</w:t>
      </w:r>
      <w:r w:rsidR="008C363A">
        <w:rPr>
          <w:rFonts w:asciiTheme="minorHAnsi" w:hAnsiTheme="minorHAnsi"/>
        </w:rPr>
        <w:t>’</w:t>
      </w:r>
      <w:r>
        <w:rPr>
          <w:rFonts w:asciiTheme="minorHAnsi" w:hAnsiTheme="minorHAnsi"/>
        </w:rPr>
        <w:t>habitants menacés de pauvreté ou d</w:t>
      </w:r>
      <w:r w:rsidR="008C363A">
        <w:rPr>
          <w:rFonts w:asciiTheme="minorHAnsi" w:hAnsiTheme="minorHAnsi"/>
        </w:rPr>
        <w:t>’</w:t>
      </w:r>
      <w:r>
        <w:rPr>
          <w:rFonts w:asciiTheme="minorHAnsi" w:hAnsiTheme="minorHAnsi"/>
        </w:rPr>
        <w:t>exclusion sociale, et enregistrent des niveaux de bonheur et de satisfaction dans la vie plus élevés.</w:t>
      </w:r>
    </w:p>
    <w:p w:rsidR="00C532F3" w:rsidRPr="008D1CDD" w:rsidRDefault="009C0298" w:rsidP="00964F65">
      <w:pPr>
        <w:spacing w:after="240" w:line="264" w:lineRule="auto"/>
        <w:rPr>
          <w:rFonts w:asciiTheme="minorHAnsi" w:hAnsiTheme="minorHAnsi" w:cstheme="minorHAnsi"/>
        </w:rPr>
      </w:pPr>
      <w:r>
        <w:rPr>
          <w:rFonts w:asciiTheme="minorHAnsi" w:hAnsiTheme="minorHAnsi"/>
        </w:rPr>
        <w:t>L</w:t>
      </w:r>
      <w:r w:rsidR="008C363A">
        <w:rPr>
          <w:rFonts w:asciiTheme="minorHAnsi" w:hAnsiTheme="minorHAnsi"/>
        </w:rPr>
        <w:t>’</w:t>
      </w:r>
      <w:r>
        <w:rPr>
          <w:rFonts w:asciiTheme="minorHAnsi" w:hAnsiTheme="minorHAnsi"/>
        </w:rPr>
        <w:t>étude a été menée par IW Consult, un groupe de réflexion allemand, et commandée par le Comité économique et social européen à la demande de son groupe des employeurs. Le document peut être téléchargé à l</w:t>
      </w:r>
      <w:r w:rsidR="008C363A">
        <w:rPr>
          <w:rFonts w:asciiTheme="minorHAnsi" w:hAnsiTheme="minorHAnsi"/>
        </w:rPr>
        <w:t>’</w:t>
      </w:r>
      <w:r>
        <w:rPr>
          <w:rFonts w:asciiTheme="minorHAnsi" w:hAnsiTheme="minorHAnsi"/>
        </w:rPr>
        <w:t xml:space="preserve">adresse </w:t>
      </w:r>
      <w:hyperlink r:id="rId7" w:history="1">
        <w:r>
          <w:rPr>
            <w:rStyle w:val="Hyperlink"/>
            <w:rFonts w:asciiTheme="minorHAnsi" w:hAnsiTheme="minorHAnsi"/>
          </w:rPr>
          <w:t>https://europa.eu/!yQ36mK</w:t>
        </w:r>
      </w:hyperlink>
    </w:p>
    <w:sectPr w:rsidR="00C532F3" w:rsidRPr="008D1CDD" w:rsidSect="00ED77B7">
      <w:headerReference w:type="even" r:id="rId8"/>
      <w:headerReference w:type="default" r:id="rId9"/>
      <w:footerReference w:type="even" r:id="rId10"/>
      <w:footerReference w:type="default" r:id="rId11"/>
      <w:headerReference w:type="first" r:id="rId12"/>
      <w:footerReference w:type="first" r:id="rId13"/>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7B7" w:rsidRDefault="00ED77B7" w:rsidP="00ED77B7">
      <w:pPr>
        <w:spacing w:line="240" w:lineRule="auto"/>
      </w:pPr>
      <w:r>
        <w:separator/>
      </w:r>
    </w:p>
  </w:endnote>
  <w:endnote w:type="continuationSeparator" w:id="0">
    <w:p w:rsidR="00ED77B7" w:rsidRDefault="00ED77B7" w:rsidP="00ED7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B7" w:rsidRPr="00ED77B7" w:rsidRDefault="00ED77B7" w:rsidP="00ED7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B7" w:rsidRPr="00ED77B7" w:rsidRDefault="00ED77B7" w:rsidP="00ED77B7">
    <w:pPr>
      <w:pStyle w:val="Footer"/>
    </w:pPr>
    <w:r>
      <w:t xml:space="preserve">EESC-2019-02761-00-00-TCD-TRA (EN) </w:t>
    </w:r>
    <w:r>
      <w:fldChar w:fldCharType="begin"/>
    </w:r>
    <w:r>
      <w:instrText xml:space="preserve"> PAGE  \* Arabic  \* MERGEFORMAT </w:instrText>
    </w:r>
    <w:r>
      <w:fldChar w:fldCharType="separate"/>
    </w:r>
    <w:r w:rsidR="008C363A">
      <w:rPr>
        <w:noProof/>
      </w:rPr>
      <w:t>1</w:t>
    </w:r>
    <w:r>
      <w:fldChar w:fldCharType="end"/>
    </w:r>
    <w:r>
      <w:t>/</w:t>
    </w:r>
    <w:r>
      <w:fldChar w:fldCharType="begin"/>
    </w:r>
    <w:r>
      <w:instrText xml:space="preserve"> = </w:instrText>
    </w:r>
    <w:fldSimple w:instr=" NUMPAGES ">
      <w:r w:rsidR="008C363A">
        <w:rPr>
          <w:noProof/>
        </w:rPr>
        <w:instrText>1</w:instrText>
      </w:r>
    </w:fldSimple>
    <w:r>
      <w:instrText xml:space="preserve"> </w:instrText>
    </w:r>
    <w:r>
      <w:fldChar w:fldCharType="separate"/>
    </w:r>
    <w:r w:rsidR="008C363A">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B7" w:rsidRPr="00ED77B7" w:rsidRDefault="00ED77B7" w:rsidP="00ED7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7B7" w:rsidRDefault="00ED77B7" w:rsidP="00ED77B7">
      <w:pPr>
        <w:spacing w:line="240" w:lineRule="auto"/>
      </w:pPr>
      <w:r>
        <w:separator/>
      </w:r>
    </w:p>
  </w:footnote>
  <w:footnote w:type="continuationSeparator" w:id="0">
    <w:p w:rsidR="00ED77B7" w:rsidRDefault="00ED77B7" w:rsidP="00ED77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B7" w:rsidRPr="00ED77B7" w:rsidRDefault="00ED77B7" w:rsidP="00ED7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B7" w:rsidRPr="00ED77B7" w:rsidRDefault="00ED77B7" w:rsidP="00ED77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B7" w:rsidRPr="00ED77B7" w:rsidRDefault="00ED77B7" w:rsidP="00ED7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54"/>
    <w:rsid w:val="00142802"/>
    <w:rsid w:val="00202851"/>
    <w:rsid w:val="002D1935"/>
    <w:rsid w:val="0049113F"/>
    <w:rsid w:val="004E2307"/>
    <w:rsid w:val="00502F90"/>
    <w:rsid w:val="00703AA2"/>
    <w:rsid w:val="007D2EC5"/>
    <w:rsid w:val="0084292A"/>
    <w:rsid w:val="00877476"/>
    <w:rsid w:val="008C363A"/>
    <w:rsid w:val="008D1CDD"/>
    <w:rsid w:val="009648B6"/>
    <w:rsid w:val="00964F65"/>
    <w:rsid w:val="009C0298"/>
    <w:rsid w:val="00A178DE"/>
    <w:rsid w:val="00B70A54"/>
    <w:rsid w:val="00C532F3"/>
    <w:rsid w:val="00C95DD3"/>
    <w:rsid w:val="00D22DDD"/>
    <w:rsid w:val="00D337D6"/>
    <w:rsid w:val="00DA0C0C"/>
    <w:rsid w:val="00ED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11529-101B-45C9-9CDD-AB08DA73E91B}"/>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A54"/>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70A54"/>
    <w:pPr>
      <w:numPr>
        <w:numId w:val="1"/>
      </w:numPr>
      <w:ind w:left="567" w:hanging="567"/>
      <w:outlineLvl w:val="0"/>
    </w:pPr>
    <w:rPr>
      <w:kern w:val="28"/>
    </w:rPr>
  </w:style>
  <w:style w:type="paragraph" w:styleId="Heading2">
    <w:name w:val="heading 2"/>
    <w:basedOn w:val="Normal"/>
    <w:next w:val="Normal"/>
    <w:link w:val="Heading2Char"/>
    <w:qFormat/>
    <w:rsid w:val="00B70A54"/>
    <w:pPr>
      <w:numPr>
        <w:ilvl w:val="1"/>
        <w:numId w:val="1"/>
      </w:numPr>
      <w:ind w:left="567" w:hanging="567"/>
      <w:outlineLvl w:val="1"/>
    </w:pPr>
  </w:style>
  <w:style w:type="paragraph" w:styleId="Heading3">
    <w:name w:val="heading 3"/>
    <w:basedOn w:val="Normal"/>
    <w:next w:val="Normal"/>
    <w:link w:val="Heading3Char"/>
    <w:qFormat/>
    <w:rsid w:val="00B70A54"/>
    <w:pPr>
      <w:numPr>
        <w:ilvl w:val="2"/>
        <w:numId w:val="1"/>
      </w:numPr>
      <w:ind w:left="567" w:hanging="567"/>
      <w:outlineLvl w:val="2"/>
    </w:pPr>
  </w:style>
  <w:style w:type="paragraph" w:styleId="Heading4">
    <w:name w:val="heading 4"/>
    <w:basedOn w:val="Normal"/>
    <w:next w:val="Normal"/>
    <w:link w:val="Heading4Char"/>
    <w:qFormat/>
    <w:rsid w:val="00B70A54"/>
    <w:pPr>
      <w:numPr>
        <w:ilvl w:val="3"/>
        <w:numId w:val="1"/>
      </w:numPr>
      <w:ind w:left="567" w:hanging="567"/>
      <w:outlineLvl w:val="3"/>
    </w:pPr>
  </w:style>
  <w:style w:type="paragraph" w:styleId="Heading5">
    <w:name w:val="heading 5"/>
    <w:basedOn w:val="Normal"/>
    <w:next w:val="Normal"/>
    <w:link w:val="Heading5Char"/>
    <w:qFormat/>
    <w:rsid w:val="00B70A54"/>
    <w:pPr>
      <w:numPr>
        <w:ilvl w:val="4"/>
        <w:numId w:val="1"/>
      </w:numPr>
      <w:ind w:left="567" w:hanging="567"/>
      <w:outlineLvl w:val="4"/>
    </w:pPr>
  </w:style>
  <w:style w:type="paragraph" w:styleId="Heading6">
    <w:name w:val="heading 6"/>
    <w:basedOn w:val="Normal"/>
    <w:next w:val="Normal"/>
    <w:link w:val="Heading6Char"/>
    <w:qFormat/>
    <w:rsid w:val="00B70A54"/>
    <w:pPr>
      <w:numPr>
        <w:ilvl w:val="5"/>
        <w:numId w:val="1"/>
      </w:numPr>
      <w:ind w:left="567" w:hanging="567"/>
      <w:outlineLvl w:val="5"/>
    </w:pPr>
  </w:style>
  <w:style w:type="paragraph" w:styleId="Heading7">
    <w:name w:val="heading 7"/>
    <w:basedOn w:val="Normal"/>
    <w:next w:val="Normal"/>
    <w:link w:val="Heading7Char"/>
    <w:qFormat/>
    <w:rsid w:val="00B70A54"/>
    <w:pPr>
      <w:numPr>
        <w:ilvl w:val="6"/>
        <w:numId w:val="1"/>
      </w:numPr>
      <w:ind w:left="567" w:hanging="567"/>
      <w:outlineLvl w:val="6"/>
    </w:pPr>
  </w:style>
  <w:style w:type="paragraph" w:styleId="Heading8">
    <w:name w:val="heading 8"/>
    <w:basedOn w:val="Normal"/>
    <w:next w:val="Normal"/>
    <w:link w:val="Heading8Char"/>
    <w:qFormat/>
    <w:rsid w:val="00B70A54"/>
    <w:pPr>
      <w:numPr>
        <w:ilvl w:val="7"/>
        <w:numId w:val="1"/>
      </w:numPr>
      <w:ind w:left="567" w:hanging="567"/>
      <w:outlineLvl w:val="7"/>
    </w:pPr>
  </w:style>
  <w:style w:type="paragraph" w:styleId="Heading9">
    <w:name w:val="heading 9"/>
    <w:basedOn w:val="Normal"/>
    <w:next w:val="Normal"/>
    <w:link w:val="Heading9Char"/>
    <w:qFormat/>
    <w:rsid w:val="00B70A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A54"/>
    <w:rPr>
      <w:rFonts w:ascii="Times New Roman" w:eastAsia="Times New Roman" w:hAnsi="Times New Roman" w:cs="Times New Roman"/>
      <w:kern w:val="28"/>
      <w:lang w:val="fr-FR"/>
    </w:rPr>
  </w:style>
  <w:style w:type="character" w:customStyle="1" w:styleId="Heading2Char">
    <w:name w:val="Heading 2 Char"/>
    <w:basedOn w:val="DefaultParagraphFont"/>
    <w:link w:val="Heading2"/>
    <w:rsid w:val="00B70A54"/>
    <w:rPr>
      <w:rFonts w:ascii="Times New Roman" w:eastAsia="Times New Roman" w:hAnsi="Times New Roman" w:cs="Times New Roman"/>
      <w:lang w:val="fr-FR"/>
    </w:rPr>
  </w:style>
  <w:style w:type="character" w:customStyle="1" w:styleId="Heading3Char">
    <w:name w:val="Heading 3 Char"/>
    <w:basedOn w:val="DefaultParagraphFont"/>
    <w:link w:val="Heading3"/>
    <w:rsid w:val="00B70A54"/>
    <w:rPr>
      <w:rFonts w:ascii="Times New Roman" w:eastAsia="Times New Roman" w:hAnsi="Times New Roman" w:cs="Times New Roman"/>
      <w:lang w:val="fr-FR"/>
    </w:rPr>
  </w:style>
  <w:style w:type="character" w:customStyle="1" w:styleId="Heading4Char">
    <w:name w:val="Heading 4 Char"/>
    <w:basedOn w:val="DefaultParagraphFont"/>
    <w:link w:val="Heading4"/>
    <w:rsid w:val="00B70A54"/>
    <w:rPr>
      <w:rFonts w:ascii="Times New Roman" w:eastAsia="Times New Roman" w:hAnsi="Times New Roman" w:cs="Times New Roman"/>
      <w:lang w:val="fr-FR"/>
    </w:rPr>
  </w:style>
  <w:style w:type="character" w:customStyle="1" w:styleId="Heading5Char">
    <w:name w:val="Heading 5 Char"/>
    <w:basedOn w:val="DefaultParagraphFont"/>
    <w:link w:val="Heading5"/>
    <w:rsid w:val="00B70A54"/>
    <w:rPr>
      <w:rFonts w:ascii="Times New Roman" w:eastAsia="Times New Roman" w:hAnsi="Times New Roman" w:cs="Times New Roman"/>
      <w:lang w:val="fr-FR"/>
    </w:rPr>
  </w:style>
  <w:style w:type="character" w:customStyle="1" w:styleId="Heading6Char">
    <w:name w:val="Heading 6 Char"/>
    <w:basedOn w:val="DefaultParagraphFont"/>
    <w:link w:val="Heading6"/>
    <w:rsid w:val="00B70A54"/>
    <w:rPr>
      <w:rFonts w:ascii="Times New Roman" w:eastAsia="Times New Roman" w:hAnsi="Times New Roman" w:cs="Times New Roman"/>
      <w:lang w:val="fr-FR"/>
    </w:rPr>
  </w:style>
  <w:style w:type="character" w:customStyle="1" w:styleId="Heading7Char">
    <w:name w:val="Heading 7 Char"/>
    <w:basedOn w:val="DefaultParagraphFont"/>
    <w:link w:val="Heading7"/>
    <w:rsid w:val="00B70A54"/>
    <w:rPr>
      <w:rFonts w:ascii="Times New Roman" w:eastAsia="Times New Roman" w:hAnsi="Times New Roman" w:cs="Times New Roman"/>
      <w:lang w:val="fr-FR"/>
    </w:rPr>
  </w:style>
  <w:style w:type="character" w:customStyle="1" w:styleId="Heading8Char">
    <w:name w:val="Heading 8 Char"/>
    <w:basedOn w:val="DefaultParagraphFont"/>
    <w:link w:val="Heading8"/>
    <w:rsid w:val="00B70A54"/>
    <w:rPr>
      <w:rFonts w:ascii="Times New Roman" w:eastAsia="Times New Roman" w:hAnsi="Times New Roman" w:cs="Times New Roman"/>
      <w:lang w:val="fr-FR"/>
    </w:rPr>
  </w:style>
  <w:style w:type="character" w:customStyle="1" w:styleId="Heading9Char">
    <w:name w:val="Heading 9 Char"/>
    <w:basedOn w:val="DefaultParagraphFont"/>
    <w:link w:val="Heading9"/>
    <w:rsid w:val="00B70A54"/>
    <w:rPr>
      <w:rFonts w:ascii="Times New Roman" w:eastAsia="Times New Roman" w:hAnsi="Times New Roman" w:cs="Times New Roman"/>
      <w:lang w:val="fr-FR"/>
    </w:rPr>
  </w:style>
  <w:style w:type="paragraph" w:styleId="Footer">
    <w:name w:val="footer"/>
    <w:basedOn w:val="Normal"/>
    <w:link w:val="FooterChar"/>
    <w:qFormat/>
    <w:rsid w:val="00B70A54"/>
  </w:style>
  <w:style w:type="character" w:customStyle="1" w:styleId="FooterChar">
    <w:name w:val="Footer Char"/>
    <w:basedOn w:val="DefaultParagraphFont"/>
    <w:link w:val="Footer"/>
    <w:rsid w:val="00B70A54"/>
    <w:rPr>
      <w:rFonts w:ascii="Times New Roman" w:eastAsia="Times New Roman" w:hAnsi="Times New Roman" w:cs="Times New Roman"/>
      <w:lang w:val="fr-FR"/>
    </w:rPr>
  </w:style>
  <w:style w:type="paragraph" w:styleId="FootnoteText">
    <w:name w:val="footnote text"/>
    <w:basedOn w:val="Normal"/>
    <w:link w:val="FootnoteTextChar"/>
    <w:qFormat/>
    <w:rsid w:val="00B70A54"/>
    <w:pPr>
      <w:keepLines/>
      <w:spacing w:after="60" w:line="240" w:lineRule="auto"/>
      <w:ind w:left="567" w:hanging="567"/>
    </w:pPr>
    <w:rPr>
      <w:sz w:val="16"/>
    </w:rPr>
  </w:style>
  <w:style w:type="character" w:customStyle="1" w:styleId="FootnoteTextChar">
    <w:name w:val="Footnote Text Char"/>
    <w:basedOn w:val="DefaultParagraphFont"/>
    <w:link w:val="FootnoteText"/>
    <w:rsid w:val="00B70A54"/>
    <w:rPr>
      <w:rFonts w:ascii="Times New Roman" w:eastAsia="Times New Roman" w:hAnsi="Times New Roman" w:cs="Times New Roman"/>
      <w:sz w:val="16"/>
      <w:lang w:val="fr-FR"/>
    </w:rPr>
  </w:style>
  <w:style w:type="paragraph" w:styleId="Header">
    <w:name w:val="header"/>
    <w:basedOn w:val="Normal"/>
    <w:link w:val="HeaderChar"/>
    <w:qFormat/>
    <w:rsid w:val="00B70A54"/>
  </w:style>
  <w:style w:type="character" w:customStyle="1" w:styleId="HeaderChar">
    <w:name w:val="Header Char"/>
    <w:basedOn w:val="DefaultParagraphFont"/>
    <w:link w:val="Header"/>
    <w:rsid w:val="00B70A54"/>
    <w:rPr>
      <w:rFonts w:ascii="Times New Roman" w:eastAsia="Times New Roman" w:hAnsi="Times New Roman" w:cs="Times New Roman"/>
      <w:lang w:val="fr-FR"/>
    </w:rPr>
  </w:style>
  <w:style w:type="paragraph" w:customStyle="1" w:styleId="quotes">
    <w:name w:val="quotes"/>
    <w:basedOn w:val="Normal"/>
    <w:next w:val="Normal"/>
    <w:rsid w:val="00B70A54"/>
    <w:pPr>
      <w:ind w:left="720"/>
    </w:pPr>
    <w:rPr>
      <w:i/>
    </w:rPr>
  </w:style>
  <w:style w:type="character" w:styleId="FootnoteReference">
    <w:name w:val="footnote reference"/>
    <w:basedOn w:val="DefaultParagraphFont"/>
    <w:unhideWhenUsed/>
    <w:qFormat/>
    <w:rsid w:val="00B70A54"/>
    <w:rPr>
      <w:sz w:val="24"/>
      <w:vertAlign w:val="superscript"/>
    </w:rPr>
  </w:style>
  <w:style w:type="character" w:styleId="Hyperlink">
    <w:name w:val="Hyperlink"/>
    <w:basedOn w:val="DefaultParagraphFont"/>
    <w:uiPriority w:val="99"/>
    <w:unhideWhenUsed/>
    <w:rsid w:val="007D2EC5"/>
    <w:rPr>
      <w:color w:val="0563C1" w:themeColor="hyperlink"/>
      <w:u w:val="single"/>
    </w:rPr>
  </w:style>
  <w:style w:type="paragraph" w:styleId="BalloonText">
    <w:name w:val="Balloon Text"/>
    <w:basedOn w:val="Normal"/>
    <w:link w:val="BalloonTextChar"/>
    <w:uiPriority w:val="99"/>
    <w:semiHidden/>
    <w:unhideWhenUsed/>
    <w:rsid w:val="008D1C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DD"/>
    <w:rPr>
      <w:rFonts w:ascii="Segoe UI" w:eastAsia="Times New Roman" w:hAnsi="Segoe UI" w:cs="Segoe UI"/>
      <w:sz w:val="18"/>
      <w:szCs w:val="18"/>
      <w:lang w:val="fr-FR"/>
    </w:rPr>
  </w:style>
  <w:style w:type="character" w:styleId="FollowedHyperlink">
    <w:name w:val="FollowedHyperlink"/>
    <w:basedOn w:val="DefaultParagraphFont"/>
    <w:uiPriority w:val="99"/>
    <w:semiHidden/>
    <w:unhideWhenUsed/>
    <w:rsid w:val="00C95D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europa.eu/!yQ36mK"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CTJJHAUHWN5E-724024958-3306</_dlc_DocId>
    <_dlc_DocIdUrl xmlns="bfc960a6-20da-4c94-8684-71380fca093b">
      <Url>http://dm2016/eesc/2019/_layouts/15/DocIdRedir.aspx?ID=CTJJHAUHWN5E-724024958-3306</Url>
      <Description>CTJJHAUHWN5E-724024958-3306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2019-06-14T12:00:00+00:00</ProductionDate>
    <FicheYear xmlns="bfc960a6-20da-4c94-8684-71380fca093b">2019</FicheYear>
    <DocumentNumber xmlns="f65a6ba9-9ade-4e46-ad2d-b102ed1f8959">2761</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5965</FicheNumber>
    <DocumentPart xmlns="bfc960a6-20da-4c94-8684-71380fca093b">0</DocumentPart>
    <AdoptionDate xmlns="bfc960a6-20da-4c94-8684-71380fca093b" xsi:nil="true"/>
    <RequestingService xmlns="bfc960a6-20da-4c94-8684-71380fca093b">Secrétariat Groupe I</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65a6ba9-9ade-4e46-ad2d-b102ed1f8959"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0D8F881A6C1EF49A0296729E770AD02" ma:contentTypeVersion="4" ma:contentTypeDescription="Defines the documents for Document Manager V2" ma:contentTypeScope="" ma:versionID="dee4b33903289837b721eceeeefc0a5e">
  <xsd:schema xmlns:xsd="http://www.w3.org/2001/XMLSchema" xmlns:xs="http://www.w3.org/2001/XMLSchema" xmlns:p="http://schemas.microsoft.com/office/2006/metadata/properties" xmlns:ns2="bfc960a6-20da-4c94-8684-71380fca093b" xmlns:ns3="http://schemas.microsoft.com/sharepoint/v3/fields" xmlns:ns4="f65a6ba9-9ade-4e46-ad2d-b102ed1f8959" targetNamespace="http://schemas.microsoft.com/office/2006/metadata/properties" ma:root="true" ma:fieldsID="8b268bca67683b4cfb9f9264184f3c58" ns2:_="" ns3:_="" ns4:_="">
    <xsd:import namespace="bfc960a6-20da-4c94-8684-71380fca093b"/>
    <xsd:import namespace="http://schemas.microsoft.com/sharepoint/v3/fields"/>
    <xsd:import namespace="f65a6ba9-9ade-4e46-ad2d-b102ed1f8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a6ba9-9ade-4e46-ad2d-b102ed1f8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3483B7-D199-4359-88C8-423D5861EC1E}"/>
</file>

<file path=customXml/itemProps2.xml><?xml version="1.0" encoding="utf-8"?>
<ds:datastoreItem xmlns:ds="http://schemas.openxmlformats.org/officeDocument/2006/customXml" ds:itemID="{94423D79-D0D3-40C0-BFFD-58A57D6B45C2}"/>
</file>

<file path=customXml/itemProps3.xml><?xml version="1.0" encoding="utf-8"?>
<ds:datastoreItem xmlns:ds="http://schemas.openxmlformats.org/officeDocument/2006/customXml" ds:itemID="{CCFB60C8-EF85-48FE-958A-FAF4F29A013D}"/>
</file>

<file path=customXml/itemProps4.xml><?xml version="1.0" encoding="utf-8"?>
<ds:datastoreItem xmlns:ds="http://schemas.openxmlformats.org/officeDocument/2006/customXml" ds:itemID="{EDE73A48-BCE6-4674-B2F9-2E5C5F2EF7A3}"/>
</file>

<file path=docProps/app.xml><?xml version="1.0" encoding="utf-8"?>
<Properties xmlns="http://schemas.openxmlformats.org/officeDocument/2006/extended-properties" xmlns:vt="http://schemas.openxmlformats.org/officeDocument/2006/docPropsVTypes">
  <Template>Styles.dotm</Template>
  <TotalTime>2</TotalTime>
  <Pages>1</Pages>
  <Words>481</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transfrontières - CP final</dc:title>
  <dc:subject>Travaux consultatifs, divers</dc:subject>
  <dc:creator>ljar</dc:creator>
  <cp:keywords>EESC-2019-02761-00-00-TCD-TRA-EN</cp:keywords>
  <dc:description>Rapporteur:  - Original language: EN - Date of document: 14/06/2019 - Date of meeting:  - External documents:  - Administrator: M. Jarosz Leszek</dc:description>
  <cp:lastModifiedBy>ccad</cp:lastModifiedBy>
  <cp:revision>4</cp:revision>
  <dcterms:created xsi:type="dcterms:W3CDTF">2019-06-06T14:10:00Z</dcterms:created>
  <dcterms:modified xsi:type="dcterms:W3CDTF">2019-06-14T09:56:00Z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06/06/2019</vt:lpwstr>
  </property>
  <property fmtid="{D5CDD505-2E9C-101B-9397-08002B2CF9AE}" pid="4" name="Pref_Time">
    <vt:lpwstr>16:09:58</vt:lpwstr>
  </property>
  <property fmtid="{D5CDD505-2E9C-101B-9397-08002B2CF9AE}" pid="5" name="Pref_User">
    <vt:lpwstr>enied</vt:lpwstr>
  </property>
  <property fmtid="{D5CDD505-2E9C-101B-9397-08002B2CF9AE}" pid="6" name="Pref_FileName">
    <vt:lpwstr>EESC-2019-02761-00-00-TCD-ORI.docx</vt:lpwstr>
  </property>
  <property fmtid="{D5CDD505-2E9C-101B-9397-08002B2CF9AE}" pid="7" name="ContentTypeId">
    <vt:lpwstr>0x010100EA97B91038054C99906057A708A1480A0090D8F881A6C1EF49A0296729E770AD02</vt:lpwstr>
  </property>
  <property fmtid="{D5CDD505-2E9C-101B-9397-08002B2CF9AE}" pid="8" name="_dlc_DocIdItemGuid">
    <vt:lpwstr>2ac0d481-c676-481e-b4dc-062e8a7cf2c7</vt:lpwstr>
  </property>
  <property fmtid="{D5CDD505-2E9C-101B-9397-08002B2CF9AE}" pid="9" name="AvailableTranslations">
    <vt:lpwstr>10;#FR|d2afafd3-4c81-4f60-8f52-ee33f2f54ff3;#52;#DA|5d49c027-8956-412b-aa16-e85a0f96ad0e;#56;#SL|98a412ae-eb01-49e9-ae3d-585a81724cfc;#46;#CS|72f9705b-0217-4fd3-bea2-cbc7ed80e26e;#45;#NL|55c6556c-b4f4-441d-9acf-c498d4f838bd;#16;#PL|1e03da61-4678-4e07-b136-b5024ca9197b;#14;#DE|f6b31e5a-26fa-4935-b661-318e46daf27e;#63;#MT|7df99101-6854-4a26-b53a-b88c0da02c26;#4;#EN|f2175f21-25d7-44a3-96da-d6a61b075e1b;#21;#IT|0774613c-01ed-4e5d-a25d-11d2388de825;#62;#FI|87606a43-d45f-42d6-b8c9-e1a3457db5b7;#48;#LT|a7ff5ce7-6123-4f68-865a-a57c31810414;#55;#BG|1a1b3951-7821-4e6a-85f5-5673fc08bd2c;#58;#LV|46f7e311-5d9f-4663-b433-18aeccb7ace7;#64;#PT|50ccc04a-eadd-42ae-a0cb-acaf45f812ba;#38;#SV|c2ed69e7-a339-43d7-8f22-d93680a92aa0;#59;#HR|2f555653-ed1a-4fe6-8362-9082d95989e5;#25;#SK|46d9fce0-ef79-4f71-b89b-cd6aa82426b8;#17;#ES|e7a6b05b-ae16-40c8-add9-68b64b03aeba;#49;#EL|6d4f4d51-af9b-4650-94b4-4276bee85c91;#57;#RO|feb747a2-64cd-4299-af12-4833ddc30497;#65;#ET|ff6c3f4c-b02c-4c3c-ab07-2c37995a7a0a;#60;#HU|6b229040-c589-4408-b4c1-4285663d20a8</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2761</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Secrétariat Groupe I</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DA|5d49c027-8956-412b-aa16-e85a0f96ad0e;CS|72f9705b-0217-4fd3-bea2-cbc7ed80e26e;NL|55c6556c-b4f4-441d-9acf-c498d4f838bd;DE|f6b31e5a-26fa-4935-b661-318e46daf27e;MT|7df99101-6854-4a26-b53a-b88c0da02c26;EN|f2175f21-25d7-44a3-96da-d6a61b075e1b;IT|0774613c-01ed-4e5d-a25d-11d2388de825;BG|1a1b3951-7821-4e6a-85f5-5673fc08bd2c;LV|46f7e311-5d9f-4663-b433-18aeccb7ace7;PT|50ccc04a-eadd-42ae-a0cb-acaf45f812ba;HR|2f555653-ed1a-4fe6-8362-9082d95989e5;SK|46d9fce0-ef79-4f71-b89b-cd6aa82426b8;ES|e7a6b05b-ae16-40c8-add9-68b64b03aeba;EL|6d4f4d51-af9b-4650-94b4-4276bee85c91;RO|feb747a2-64cd-4299-af12-4833ddc30497;ET|ff6c3f4c-b02c-4c3c-ab07-2c37995a7a0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55;#BG|1a1b3951-7821-4e6a-85f5-5673fc08bd2c;#65;#ET|ff6c3f4c-b02c-4c3c-ab07-2c37995a7a0a;#64;#PT|50ccc04a-eadd-42ae-a0cb-acaf45f812ba;#63;#MT|7df99101-6854-4a26-b53a-b88c0da02c26;#25;#SK|46d9fce0-ef79-4f71-b89b-cd6aa82426b8;#59;#HR|2f555653-ed1a-4fe6-8362-9082d95989e5;#21;#IT|0774613c-01ed-4e5d-a25d-11d2388de825;#57;#RO|feb747a2-64cd-4299-af12-4833ddc30497;#45;#NL|55c6556c-b4f4-441d-9acf-c498d4f838bd;#17;#ES|e7a6b05b-ae16-40c8-add9-68b64b03aeba;#52;#DA|5d49c027-8956-412b-aa16-e85a0f96ad0e;#14;#DE|f6b31e5a-26fa-4935-b661-318e46daf27e;#49;#EL|6d4f4d51-af9b-4650-94b4-4276bee85c91;#58;#LV|46f7e311-5d9f-4663-b433-18aeccb7ace7;#46;#CS|72f9705b-0217-4fd3-bea2-cbc7ed80e26e;#8;#TCD|cd9d6eb6-3f4f-424a-b2d1-57c9d450eaaf;#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5965</vt:i4>
  </property>
  <property fmtid="{D5CDD505-2E9C-101B-9397-08002B2CF9AE}" pid="37" name="DocumentLanguage">
    <vt:lpwstr>10;#FR|d2afafd3-4c81-4f60-8f52-ee33f2f54ff3</vt:lpwstr>
  </property>
</Properties>
</file>