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4292A" w:rsidR="00B70A54" w:rsidP="00142802" w:rsidRDefault="00DA0C0C">
      <w:pPr>
        <w:spacing w:after="240" w:line="264" w:lineRule="auto"/>
        <w:jc w:val="center"/>
        <w:rPr>
          <w:b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Los servicios transfronterizos impulsan el crecimiento: así lo afirma un estudio</w:t>
      </w:r>
    </w:p>
    <w:p w:rsidRPr="0084292A" w:rsidR="00142802" w:rsidP="00142802" w:rsidRDefault="002D1935">
      <w:pPr>
        <w:spacing w:after="240" w:line="264" w:lineRule="auto"/>
        <w:rPr>
          <w:b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Según un nuevo estudio encargado por el Comité Económico y Social Europeo, los servicios transfronterizos generan nuevos puestos de trabajo e impulsan el crecimiento económico.</w:t>
      </w:r>
      <w:r>
        <w:rPr>
          <w:b/>
          <w:rFonts w:asciiTheme="minorHAnsi" w:hAnsiTheme="minorHAnsi"/>
        </w:rPr>
        <w:t xml:space="preserve"> </w:t>
      </w:r>
      <w:r>
        <w:rPr>
          <w:b/>
          <w:rFonts w:asciiTheme="minorHAnsi" w:hAnsiTheme="minorHAnsi"/>
        </w:rPr>
        <w:t xml:space="preserve">Estos servicios son positivos para todos los países de la UE y para diferentes tipos de empleo, tanto los que requieren abundante mano de obra como los que se basan en el uso intensivo de conocimientos.</w:t>
      </w:r>
      <w:r>
        <w:rPr>
          <w:b/>
          <w:rFonts w:asciiTheme="minorHAnsi" w:hAnsiTheme="minorHAnsi"/>
        </w:rPr>
        <w:t xml:space="preserve"> </w:t>
      </w:r>
      <w:r>
        <w:rPr>
          <w:b/>
          <w:rFonts w:asciiTheme="minorHAnsi" w:hAnsiTheme="minorHAnsi"/>
        </w:rPr>
        <w:t xml:space="preserve">El estudio demuestra que evitar una regulación estricta en el mercado interior de estos servicios es beneficioso para la economía de la UE.</w:t>
      </w:r>
      <w:r>
        <w:rPr>
          <w:b/>
          <w:rFonts w:asciiTheme="minorHAnsi" w:hAnsiTheme="minorHAnsi"/>
        </w:rPr>
        <w:t xml:space="preserve"> </w:t>
      </w:r>
      <w:r>
        <w:rPr>
          <w:b/>
          <w:rFonts w:asciiTheme="minorHAnsi" w:hAnsiTheme="minorHAnsi"/>
        </w:rPr>
        <w:t xml:space="preserve">Una reducción del 1 % de la proporción de servicios transfronterizos costaría a la economía de la UE unos 8 000 millones de euros.</w:t>
      </w:r>
    </w:p>
    <w:p w:rsidRPr="00C95DD3" w:rsidR="00703AA2" w:rsidP="00142802" w:rsidRDefault="00703AA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 2014, casi once millones de puestos de trabajo en la UE se basaban en la exportación de servicios transfronterizos.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Desde el año 2000, el número de empleados que dependen de estos servicios casi se ha duplicado.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Mientras que el empleo total en la UE ha crecido un 5,5 %, el empleo que depende de servicios transfronterizos ha aumentado un 94 %,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 que demuestra claramente un impacto positivo en la economía de la UE.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Los países con un mayor porcentaje de servicios transfronterizos han registrado un crecimiento del empleo y del PIB muy superior al de los países que hacen menos uso de tales servicios.</w:t>
      </w:r>
      <w:r>
        <w:rPr>
          <w:rFonts w:asciiTheme="minorHAnsi" w:hAnsiTheme="minorHAnsi"/>
        </w:rPr>
        <w:t xml:space="preserve"> </w:t>
      </w:r>
    </w:p>
    <w:p w:rsidRPr="00C95DD3" w:rsidR="00703AA2" w:rsidP="00142802" w:rsidRDefault="009C0298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Peter Clever, vicepresidente del Grupo de Empresarios, afirmó: «El estudio demuestra que los servicios transfronterizos no son un </w:t>
      </w:r>
      <w:r>
        <w:rPr>
          <w:i/>
          <w:iCs/>
          <w:rFonts w:asciiTheme="minorHAnsi" w:hAnsiTheme="minorHAnsi"/>
        </w:rPr>
        <w:t xml:space="preserve">dumping</w:t>
      </w:r>
      <w:r>
        <w:rPr>
          <w:rFonts w:asciiTheme="minorHAnsi" w:hAnsiTheme="minorHAnsi"/>
        </w:rPr>
        <w:t xml:space="preserve"> social ni representan un peligro para las economías de los Estados miembros.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Una regulación cada vez más estricta de estos servicios tendría un impacto negativo en la economía y pondría en peligro la integridad del mercado único».</w:t>
      </w:r>
    </w:p>
    <w:p w:rsidRPr="00C95DD3" w:rsidR="009C0298" w:rsidP="00142802" w:rsidRDefault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Según el documento —en contra de la percepción pública— tres de cada cuatro empleos transfronterizos se dan en los Estados miembros de la EU-15.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Casi el 40 % de los desplazamientos de trabajadores tuvo lugar de un país con salarios elevados a otro,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 que demuestra con claridad que las economías de todos los Estados miembros de la UE se benefician de estos servicios.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2014, el total del valor añadido que depende de las exportaciones de servicios transfronterizos fue de 625 000 millones de euros en los veintiocho Estados miembros.</w:t>
      </w:r>
    </w:p>
    <w:p w:rsidRPr="00C95DD3" w:rsidR="009C0298" w:rsidP="00142802" w:rsidRDefault="009C0298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otra parte, los servicios transfronterizos no se limitan a los puestos de trabajo que hacen un uso intensivo de mano de obra y están mal remunerados.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El porcentaje de empleos en sectores que se basan en el uso intensivo de conocimientos y que dependen de los servicios transfronterizos ha crecido casi tanto como la proporción de empleos que requieren abundante mano de obra.</w:t>
      </w:r>
    </w:p>
    <w:p w:rsidRPr="008D1CDD" w:rsidR="00964F65" w:rsidP="00142802" w:rsidRDefault="00964F65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Asimismo, la investigación parece indicar que los países con un mayor porcentaje de estos servicios tienen en promedio una menor proporción de personas en riesgo de pobreza y exclusión social y registran niveles más elevados de felicidad y satisfacción en la vida.</w:t>
      </w:r>
    </w:p>
    <w:p w:rsidRPr="008D1CDD" w:rsidR="00C532F3" w:rsidP="00964F65" w:rsidRDefault="009C0298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estudio, encargado por el Comité Económico y Social Europeo a petición del Grupo de Empresarios, fue elaborado por el grupo de reflexión alemán IW Consult.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El documento puede descargarse aquí: </w:t>
      </w:r>
      <w:hyperlink w:history="1" r:id="rId8">
        <w:r>
          <w:rPr>
            <w:rStyle w:val="Hyperlink"/>
            <w:rFonts w:asciiTheme="minorHAnsi" w:hAnsiTheme="minorHAnsi"/>
          </w:rPr>
          <w:t xml:space="preserve">https://europa.eu/!yQ36mK</w:t>
        </w:r>
      </w:hyperlink>
    </w:p>
    <w:sectPr w:rsidRPr="008D1CDD" w:rsidR="00C532F3" w:rsidSect="00ED7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B7" w:rsidP="00ED77B7" w:rsidRDefault="00ED77B7">
      <w:pPr>
        <w:spacing w:line="240" w:lineRule="auto"/>
      </w:pPr>
      <w:r>
        <w:separator/>
      </w:r>
    </w:p>
  </w:endnote>
  <w:endnote w:type="continuationSeparator" w:id="0">
    <w:p w:rsidR="00ED77B7" w:rsidP="00ED77B7" w:rsidRDefault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D77B7" w:rsidR="00ED77B7" w:rsidP="00ED77B7" w:rsidRDefault="00ED7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D77B7" w:rsidR="00ED77B7" w:rsidP="00ED77B7" w:rsidRDefault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/</w:t>
    </w:r>
    <w:r>
      <w:fldChar w:fldCharType="begin"/>
    </w:r>
    <w:r>
      <w:instrText xml:space="preserve"> = </w:instrText>
    </w:r>
    <w:r>
      <w:fldChar w:fldCharType="begin" w:dirty="true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D77B7" w:rsidR="00ED77B7" w:rsidP="00ED77B7" w:rsidRDefault="00ED7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B7" w:rsidP="00ED77B7" w:rsidRDefault="00ED77B7">
      <w:pPr>
        <w:spacing w:line="240" w:lineRule="auto"/>
      </w:pPr>
      <w:r>
        <w:separator/>
      </w:r>
    </w:p>
  </w:footnote>
  <w:footnote w:type="continuationSeparator" w:id="0">
    <w:p w:rsidR="00ED77B7" w:rsidP="00ED77B7" w:rsidRDefault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D77B7" w:rsidR="00ED77B7" w:rsidP="00ED77B7" w:rsidRDefault="00ED7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D77B7" w:rsidR="00ED77B7" w:rsidP="00ED77B7" w:rsidRDefault="00ED7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D77B7" w:rsidR="00ED77B7" w:rsidP="00ED77B7" w:rsidRDefault="00ED7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142802"/>
    <w:rsid w:val="00202851"/>
    <w:rsid w:val="002D1935"/>
    <w:rsid w:val="0049113F"/>
    <w:rsid w:val="00502F90"/>
    <w:rsid w:val="00703AA2"/>
    <w:rsid w:val="007D2EC5"/>
    <w:rsid w:val="0084292A"/>
    <w:rsid w:val="00877476"/>
    <w:rsid w:val="008D1CDD"/>
    <w:rsid w:val="009648B6"/>
    <w:rsid w:val="00964F65"/>
    <w:rsid w:val="009C0298"/>
    <w:rsid w:val="00A178DE"/>
    <w:rsid w:val="00B70A54"/>
    <w:rsid w:val="00C532F3"/>
    <w:rsid w:val="00C95DD3"/>
    <w:rsid w:val="00D22DDD"/>
    <w:rsid w:val="00D337D6"/>
    <w:rsid w:val="00DA0C0C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es-ES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es-ES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es-ES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es-ES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!yQ36m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CTJJHAUHWN5E-724024958-2995</_dlc_DocId>
    <_dlc_DocIdUrl xmlns="bfc960a6-20da-4c94-8684-71380fca093b">
      <Url>http://dm2016/eesc/2019/_layouts/15/DocIdRedir.aspx?ID=CTJJHAUHWN5E-724024958-2995</Url>
      <Description>CTJJHAUHWN5E-724024958-2995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2019-06-13T12:00:00+00:00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787552-463C-4295-8E18-8862F4C8312E}"/>
</file>

<file path=customXml/itemProps2.xml><?xml version="1.0" encoding="utf-8"?>
<ds:datastoreItem xmlns:ds="http://schemas.openxmlformats.org/officeDocument/2006/customXml" ds:itemID="{2B7F4753-D210-4098-9D9E-C578D447B191}"/>
</file>

<file path=customXml/itemProps3.xml><?xml version="1.0" encoding="utf-8"?>
<ds:datastoreItem xmlns:ds="http://schemas.openxmlformats.org/officeDocument/2006/customXml" ds:itemID="{1CBF256C-15B5-4AC1-A8CA-62C541403E06}"/>
</file>

<file path=customXml/itemProps4.xml><?xml version="1.0" encoding="utf-8"?>
<ds:datastoreItem xmlns:ds="http://schemas.openxmlformats.org/officeDocument/2006/customXml" ds:itemID="{AC2F59F4-07D4-4F06-A542-A67174FDF328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transfronterizos PR final</dc:title>
  <dc:subject>Trabajos consultivos/varios</dc:subject>
  <dc:creator>ljar</dc:creator>
  <cp:keywords>EESC-2019-02761-00-00-TCD-TRA-EN</cp:keywords>
  <dc:description>Rapporteur:  - Original language: EN - Date of document: 13/06/2019 - Date of meeting:  - External documents:  - Administrator: M. Jarosz Leszek</dc:description>
  <cp:lastModifiedBy>Emma Nieddu</cp:lastModifiedBy>
  <cp:revision>2</cp:revision>
  <dcterms:created xsi:type="dcterms:W3CDTF">2019-06-06T14:10:00Z</dcterms:created>
  <dcterms:modified xsi:type="dcterms:W3CDTF">2019-06-06T14:10:00Z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697479c2-f044-4c61-84cd-d81e94a90bfc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EN|f2175f21-25d7-44a3-96da-d6a61b075e1b;IT|0774613c-01ed-4e5d-a25d-11d2388de825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21;#IT|0774613c-01ed-4e5d-a25d-11d2388de825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17;#ES|e7a6b05b-ae16-40c8-add9-68b64b03aeba</vt:lpwstr>
  </property>
  <property fmtid="{D5CDD505-2E9C-101B-9397-08002B2CF9AE}" pid="38" name="_docset_NoMedatataSyncRequired">
    <vt:lpwstr>False</vt:lpwstr>
  </property>
</Properties>
</file>