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FD6F" w14:textId="7027E443" w:rsidR="007F0055" w:rsidRPr="00337721" w:rsidRDefault="007F0055" w:rsidP="007F0055">
      <w:pPr>
        <w:ind w:left="-993"/>
        <w:jc w:val="center"/>
      </w:pPr>
      <w:r>
        <w:rPr>
          <w:noProof/>
          <w:lang w:val="en-GB" w:eastAsia="en-GB"/>
        </w:rPr>
        <w:drawing>
          <wp:inline distT="0" distB="0" distL="0" distR="0" wp14:anchorId="0FDEAD1D" wp14:editId="6CA3EB61">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456CE43D" wp14:editId="7D7CC26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A0908" w14:textId="77777777" w:rsidR="00D810F8" w:rsidRPr="00260E65" w:rsidRDefault="00D810F8">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E43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32A0908" w14:textId="77777777" w:rsidR="00D810F8" w:rsidRPr="00260E65" w:rsidRDefault="00D810F8">
                      <w:pPr>
                        <w:jc w:val="center"/>
                        <w:rPr>
                          <w:rFonts w:ascii="Arial" w:hAnsi="Arial" w:cs="Arial"/>
                          <w:b/>
                          <w:bCs/>
                          <w:sz w:val="48"/>
                        </w:rPr>
                      </w:pPr>
                      <w:r>
                        <w:rPr>
                          <w:rFonts w:ascii="Arial" w:hAnsi="Arial"/>
                          <w:b/>
                          <w:bCs/>
                          <w:sz w:val="48"/>
                        </w:rPr>
                        <w:t>DE</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7F0055" w:rsidRPr="00337721" w14:paraId="31FC6A33" w14:textId="77777777" w:rsidTr="00FB0E98">
        <w:trPr>
          <w:cantSplit/>
        </w:trPr>
        <w:tc>
          <w:tcPr>
            <w:tcW w:w="5168" w:type="dxa"/>
          </w:tcPr>
          <w:p w14:paraId="5BBF6F34" w14:textId="74B76954" w:rsidR="007F0055" w:rsidRPr="00337721" w:rsidRDefault="00F11CFC" w:rsidP="00422387">
            <w:pPr>
              <w:spacing w:line="240" w:lineRule="auto"/>
              <w:rPr>
                <w:rFonts w:ascii="Verdana" w:hAnsi="Verdana"/>
                <w:b/>
                <w:bCs/>
                <w:sz w:val="18"/>
                <w:szCs w:val="18"/>
              </w:rPr>
            </w:pPr>
            <w:r>
              <w:rPr>
                <w:rFonts w:ascii="Verdana" w:hAnsi="Verdana"/>
                <w:b/>
                <w:bCs/>
                <w:sz w:val="18"/>
                <w:szCs w:val="18"/>
              </w:rPr>
              <w:t>Nr. 11/2019</w:t>
            </w:r>
          </w:p>
        </w:tc>
        <w:tc>
          <w:tcPr>
            <w:tcW w:w="4119" w:type="dxa"/>
          </w:tcPr>
          <w:p w14:paraId="5A19FC99" w14:textId="32DA56BF" w:rsidR="007F0055" w:rsidRPr="00337721" w:rsidRDefault="00422387" w:rsidP="00014CDB">
            <w:pPr>
              <w:spacing w:line="240" w:lineRule="auto"/>
              <w:jc w:val="right"/>
              <w:rPr>
                <w:rFonts w:ascii="Verdana" w:hAnsi="Verdana"/>
                <w:b/>
                <w:bCs/>
                <w:sz w:val="18"/>
                <w:szCs w:val="18"/>
              </w:rPr>
            </w:pPr>
            <w:r>
              <w:rPr>
                <w:rFonts w:ascii="Verdana" w:hAnsi="Verdana"/>
                <w:b/>
                <w:bCs/>
                <w:sz w:val="18"/>
                <w:szCs w:val="18"/>
              </w:rPr>
              <w:t>21. März 2019</w:t>
            </w:r>
          </w:p>
        </w:tc>
      </w:tr>
    </w:tbl>
    <w:p w14:paraId="3B830097" w14:textId="77777777" w:rsidR="007F0055" w:rsidRPr="00337721" w:rsidRDefault="007F0055" w:rsidP="007F0055">
      <w:pPr>
        <w:spacing w:line="240" w:lineRule="auto"/>
        <w:rPr>
          <w:rFonts w:ascii="Verdana" w:hAnsi="Verdana"/>
          <w:b/>
          <w:i/>
          <w:sz w:val="20"/>
        </w:rPr>
        <w:sectPr w:rsidR="007F0055" w:rsidRPr="00337721" w:rsidSect="00D810F8">
          <w:footerReference w:type="default" r:id="rId13"/>
          <w:pgSz w:w="11907" w:h="16839" w:code="9"/>
          <w:pgMar w:top="1417" w:right="1417" w:bottom="1417" w:left="1417" w:header="709" w:footer="709" w:gutter="0"/>
          <w:pgNumType w:start="1"/>
          <w:cols w:space="720"/>
          <w:docGrid w:linePitch="299"/>
        </w:sectPr>
      </w:pPr>
    </w:p>
    <w:p w14:paraId="2BBA876F" w14:textId="77777777" w:rsidR="0059271E" w:rsidRPr="009E465D" w:rsidRDefault="0059271E" w:rsidP="00691C09">
      <w:pPr>
        <w:rPr>
          <w:rFonts w:ascii="Verdana" w:hAnsi="Verdana"/>
          <w:sz w:val="18"/>
          <w:szCs w:val="18"/>
        </w:rPr>
      </w:pPr>
    </w:p>
    <w:p w14:paraId="2DEA7A5A" w14:textId="77777777" w:rsidR="008F03D3" w:rsidRPr="009E465D" w:rsidRDefault="008F03D3" w:rsidP="00691C09">
      <w:pPr>
        <w:rPr>
          <w:rFonts w:ascii="Verdana" w:hAnsi="Verdana"/>
          <w:sz w:val="18"/>
          <w:szCs w:val="18"/>
        </w:rPr>
      </w:pPr>
    </w:p>
    <w:p w14:paraId="04D3DFB0" w14:textId="77777777" w:rsidR="00177ED4" w:rsidRDefault="00177ED4" w:rsidP="00177ED4">
      <w:pPr>
        <w:pStyle w:val="Body"/>
        <w:jc w:val="center"/>
        <w:rPr>
          <w:rFonts w:ascii="Verdana" w:eastAsia="Verdana" w:hAnsi="Verdana" w:cs="Verdana"/>
          <w:sz w:val="18"/>
          <w:szCs w:val="18"/>
        </w:rPr>
      </w:pPr>
      <w:r>
        <w:rPr>
          <w:rFonts w:ascii="Verdana" w:hAnsi="Verdana"/>
          <w:b/>
          <w:color w:val="0070C0"/>
          <w:sz w:val="32"/>
          <w:u w:color="0070C0"/>
        </w:rPr>
        <w:t xml:space="preserve">Der </w:t>
      </w:r>
      <w:r>
        <w:rPr>
          <w:rFonts w:ascii="Verdana" w:hAnsi="Verdana"/>
          <w:b/>
          <w:i/>
          <w:iCs/>
          <w:color w:val="0070C0"/>
          <w:sz w:val="32"/>
          <w:u w:color="0070C0"/>
        </w:rPr>
        <w:t>Weg der weißen Taube</w:t>
      </w:r>
      <w:r>
        <w:rPr>
          <w:rFonts w:ascii="Verdana" w:hAnsi="Verdana"/>
          <w:b/>
          <w:color w:val="0070C0"/>
          <w:sz w:val="32"/>
          <w:u w:color="0070C0"/>
        </w:rPr>
        <w:t>‚ ein Friedensweg durch Europa</w:t>
      </w:r>
    </w:p>
    <w:p w14:paraId="4F392819" w14:textId="77777777" w:rsidR="00177ED4" w:rsidRDefault="00177ED4" w:rsidP="00177ED4">
      <w:pPr>
        <w:pStyle w:val="Body"/>
        <w:rPr>
          <w:rFonts w:ascii="Verdana" w:eastAsia="Verdana" w:hAnsi="Verdana" w:cs="Verdana"/>
          <w:sz w:val="18"/>
          <w:szCs w:val="18"/>
        </w:rPr>
      </w:pPr>
    </w:p>
    <w:p w14:paraId="5EC413A8" w14:textId="1A5DC8EA" w:rsidR="00177ED4" w:rsidRDefault="00177ED4" w:rsidP="00177ED4">
      <w:pPr>
        <w:pStyle w:val="Body"/>
        <w:rPr>
          <w:rFonts w:ascii="Verdana" w:eastAsia="Verdana" w:hAnsi="Verdana" w:cs="Verdana"/>
          <w:sz w:val="18"/>
          <w:szCs w:val="18"/>
        </w:rPr>
      </w:pPr>
      <w:r>
        <w:rPr>
          <w:rFonts w:ascii="Verdana" w:hAnsi="Verdana"/>
          <w:b/>
          <w:sz w:val="18"/>
        </w:rPr>
        <w:t xml:space="preserve">Der Europäische Wirtschafts- und Sozialausschuss (EWSA) verabschiedete auf seiner Plenartagung im März eine Stellungnahme, in der er eine EU-geführte globale Strategie der Friedenskonsolidierung vorschlägt, die auch die Schaffung des </w:t>
      </w:r>
      <w:r>
        <w:rPr>
          <w:rFonts w:ascii="Verdana" w:hAnsi="Verdana"/>
          <w:b/>
          <w:i/>
          <w:iCs/>
          <w:sz w:val="18"/>
        </w:rPr>
        <w:t>Weges der weißen Taube vorsieht</w:t>
      </w:r>
      <w:r>
        <w:rPr>
          <w:rFonts w:ascii="Verdana" w:hAnsi="Verdana"/>
          <w:b/>
          <w:sz w:val="18"/>
        </w:rPr>
        <w:t>. Dieser Friedensweg von Nordirland nach Nikosia soll auf den Spuren des irischen Wandermönchs Columban, der im 6. Jahrhundert lebte, den Dialog und die Konfliktprävention fördern und zur Versöhnung aufrufen.</w:t>
      </w:r>
    </w:p>
    <w:p w14:paraId="2333064D" w14:textId="77777777" w:rsidR="00177ED4" w:rsidRDefault="00177ED4" w:rsidP="00177ED4">
      <w:pPr>
        <w:pStyle w:val="Body"/>
        <w:rPr>
          <w:rFonts w:ascii="Verdana" w:eastAsia="Verdana" w:hAnsi="Verdana" w:cs="Verdana"/>
          <w:sz w:val="18"/>
          <w:szCs w:val="18"/>
        </w:rPr>
      </w:pPr>
    </w:p>
    <w:p w14:paraId="77856B85" w14:textId="4E1C711D" w:rsidR="00177ED4" w:rsidRDefault="00177ED4" w:rsidP="00177ED4">
      <w:pPr>
        <w:pStyle w:val="Body"/>
        <w:spacing w:after="120"/>
        <w:rPr>
          <w:rFonts w:ascii="Verdana" w:eastAsia="Verdana" w:hAnsi="Verdana" w:cs="Verdana"/>
          <w:sz w:val="18"/>
          <w:szCs w:val="18"/>
        </w:rPr>
      </w:pPr>
      <w:r>
        <w:rPr>
          <w:rFonts w:ascii="Verdana" w:hAnsi="Verdana"/>
          <w:sz w:val="18"/>
        </w:rPr>
        <w:t>Die Europäische Union gründet auf einem Friedensauftrag, für den sie 2012 mit dem Friedensnobelpreis ausgezeichnet wurde.</w:t>
      </w:r>
      <w:r w:rsidR="000F471B">
        <w:rPr>
          <w:rFonts w:ascii="Verdana" w:hAnsi="Verdana"/>
          <w:sz w:val="18"/>
          <w:szCs w:val="18"/>
        </w:rPr>
        <w:t xml:space="preserve"> </w:t>
      </w:r>
      <w:r>
        <w:rPr>
          <w:rFonts w:ascii="Verdana" w:hAnsi="Verdana"/>
          <w:sz w:val="18"/>
        </w:rPr>
        <w:t xml:space="preserve">Viele junge Generationen von Europäerinnen und Europäern konnten auf diese Weise in einem Europa ohne Krieg aufwachsen. Nun ist es an der Zeit, dass sich die EU als größtes Friedensprojekt der Moderne zum Vorreiter und Vorbild für die Friedenskonsolidierung in Europa und der Welt macht. So lautet die wichtigste Botschaft der vom EWSA verabschiedeten Initiativstellungnahme </w:t>
      </w:r>
      <w:hyperlink r:id="rId14" w:history="1">
        <w:r>
          <w:rPr>
            <w:rStyle w:val="Hyperlink1"/>
            <w:u w:val="none"/>
          </w:rPr>
          <w:t>Der Weg der weißen Taube – Vorschlag einer EU-geführten globalen Strategie der Friedenskonsolidierung</w:t>
        </w:r>
      </w:hyperlink>
      <w:r>
        <w:rPr>
          <w:rFonts w:ascii="Verdana" w:hAnsi="Verdana"/>
          <w:sz w:val="18"/>
        </w:rPr>
        <w:t xml:space="preserve">. Für Berichterstatterin </w:t>
      </w:r>
      <w:r>
        <w:rPr>
          <w:rFonts w:ascii="Verdana" w:hAnsi="Verdana"/>
          <w:b/>
          <w:bCs/>
          <w:sz w:val="18"/>
          <w:szCs w:val="18"/>
        </w:rPr>
        <w:t>Jane Morrice</w:t>
      </w:r>
      <w:r>
        <w:rPr>
          <w:rFonts w:ascii="Verdana" w:hAnsi="Verdana"/>
          <w:sz w:val="18"/>
        </w:rPr>
        <w:t xml:space="preserve"> „hat die EU die moralische Verpflichtung, unabhängig von geopolitischen oder wirtschaftlichen Interessen nach Wegen zu suchen, um das Leben unschuldiger Opfer von Konflikten, vor allem von Kindern, zu schützen.“</w:t>
      </w:r>
    </w:p>
    <w:p w14:paraId="547ACC52" w14:textId="2E94412D" w:rsidR="00177ED4" w:rsidRDefault="00177ED4" w:rsidP="00177ED4">
      <w:pPr>
        <w:pStyle w:val="Body"/>
        <w:spacing w:after="120"/>
        <w:rPr>
          <w:rFonts w:ascii="Verdana" w:eastAsia="Verdana" w:hAnsi="Verdana" w:cs="Verdana"/>
          <w:sz w:val="18"/>
          <w:szCs w:val="18"/>
        </w:rPr>
      </w:pPr>
      <w:r>
        <w:rPr>
          <w:rFonts w:ascii="Verdana" w:hAnsi="Verdana"/>
          <w:sz w:val="18"/>
        </w:rPr>
        <w:t xml:space="preserve">Zu diesem Zweck fordert der EWSA die EU auf, eine neue globale Strategie der Friedenskonsolidierung zu schaffen und zu finanzieren, deren Leuchtturmprojekt die Schaffung des </w:t>
      </w:r>
      <w:r>
        <w:rPr>
          <w:rFonts w:ascii="Verdana" w:hAnsi="Verdana"/>
          <w:i/>
          <w:iCs/>
          <w:sz w:val="18"/>
        </w:rPr>
        <w:t>Weges der weißen Taube</w:t>
      </w:r>
      <w:r>
        <w:rPr>
          <w:rFonts w:ascii="Verdana" w:hAnsi="Verdana"/>
          <w:sz w:val="18"/>
        </w:rPr>
        <w:t xml:space="preserve"> wäre. Dieser 5 000 Kilometer lange Friedensweg würde quer durch Europa von Nordirland nach Nikosia, in die Hauptstadt Zyperns, führen. Der Weg würde den Spuren des irischen Wandermönchs Columban folgen, der im 6. Jahrhundert von Irland nach Italien wanderte und von EU-Gründervater </w:t>
      </w:r>
      <w:r w:rsidR="000F471B">
        <w:rPr>
          <w:rFonts w:ascii="Verdana" w:hAnsi="Verdana"/>
          <w:b/>
          <w:sz w:val="18"/>
        </w:rPr>
        <w:t>Robert </w:t>
      </w:r>
      <w:r>
        <w:rPr>
          <w:rFonts w:ascii="Verdana" w:hAnsi="Verdana"/>
          <w:b/>
          <w:sz w:val="18"/>
        </w:rPr>
        <w:t>Schuman</w:t>
      </w:r>
      <w:r>
        <w:rPr>
          <w:rFonts w:ascii="Verdana" w:hAnsi="Verdana"/>
          <w:sz w:val="18"/>
        </w:rPr>
        <w:t xml:space="preserve"> als „Schutzheiliger all derer, die ein vereintes Europa aufbauen wollen“, beschrieben wurde.</w:t>
      </w:r>
    </w:p>
    <w:p w14:paraId="05FD3B23" w14:textId="4712D018" w:rsidR="00177ED4" w:rsidRDefault="00177ED4" w:rsidP="00177ED4">
      <w:pPr>
        <w:pStyle w:val="Body"/>
        <w:spacing w:after="120"/>
        <w:rPr>
          <w:rFonts w:ascii="Verdana" w:eastAsia="Verdana" w:hAnsi="Verdana" w:cs="Verdana"/>
          <w:sz w:val="18"/>
          <w:szCs w:val="18"/>
        </w:rPr>
      </w:pPr>
      <w:r>
        <w:rPr>
          <w:rFonts w:ascii="Verdana" w:hAnsi="Verdana"/>
          <w:sz w:val="18"/>
        </w:rPr>
        <w:t xml:space="preserve">Der </w:t>
      </w:r>
      <w:r>
        <w:rPr>
          <w:rFonts w:ascii="Verdana" w:hAnsi="Verdana"/>
          <w:i/>
          <w:iCs/>
          <w:sz w:val="18"/>
        </w:rPr>
        <w:t>Weg der weißen Taube</w:t>
      </w:r>
      <w:r>
        <w:rPr>
          <w:rFonts w:ascii="Verdana" w:hAnsi="Verdana"/>
          <w:sz w:val="18"/>
        </w:rPr>
        <w:t xml:space="preserve"> würde über Columbans ursprüngliche Route hinausgehen und durch Gegenden verlaufen, die von Kriegen und Konflikten stark gezeichnet sind, wie z. B. die Westfront, Südtirol und der Balkan, und Menschen und Orte entlang des Weges miteinander verbinden. Der Vorschlag umfasst ferner die Einrichtung von </w:t>
      </w:r>
      <w:r>
        <w:rPr>
          <w:rFonts w:ascii="Verdana" w:hAnsi="Verdana"/>
          <w:sz w:val="18"/>
          <w:szCs w:val="18"/>
        </w:rPr>
        <w:t>Friedenszentren</w:t>
      </w:r>
      <w:r>
        <w:rPr>
          <w:rFonts w:ascii="Verdana" w:hAnsi="Verdana"/>
          <w:sz w:val="18"/>
        </w:rPr>
        <w:t xml:space="preserve"> sowie Abs</w:t>
      </w:r>
      <w:r w:rsidR="006248F3">
        <w:rPr>
          <w:rFonts w:ascii="Verdana" w:hAnsi="Verdana"/>
          <w:sz w:val="18"/>
        </w:rPr>
        <w:t>techer nach Nord-, Ost-, Mittel</w:t>
      </w:r>
      <w:r w:rsidR="006248F3">
        <w:rPr>
          <w:rFonts w:ascii="Verdana" w:hAnsi="Verdana"/>
          <w:sz w:val="18"/>
        </w:rPr>
        <w:noBreakHyphen/>
      </w:r>
      <w:bookmarkStart w:id="0" w:name="_GoBack"/>
      <w:bookmarkEnd w:id="0"/>
      <w:r>
        <w:rPr>
          <w:rFonts w:ascii="Verdana" w:hAnsi="Verdana"/>
          <w:sz w:val="18"/>
        </w:rPr>
        <w:t xml:space="preserve"> und Südeuropa, so dass Wanderer ihre Route frei wählen und beliebig viele Stätten besichtigen können.</w:t>
      </w:r>
    </w:p>
    <w:p w14:paraId="5ED25CEB" w14:textId="77777777" w:rsidR="00177ED4" w:rsidRDefault="00177ED4" w:rsidP="00177ED4">
      <w:pPr>
        <w:pStyle w:val="Body"/>
        <w:spacing w:after="120"/>
        <w:rPr>
          <w:rFonts w:ascii="Verdana" w:eastAsia="Verdana" w:hAnsi="Verdana" w:cs="Verdana"/>
          <w:b/>
          <w:bCs/>
          <w:sz w:val="18"/>
          <w:szCs w:val="18"/>
        </w:rPr>
      </w:pPr>
      <w:r>
        <w:rPr>
          <w:rFonts w:ascii="Verdana" w:hAnsi="Verdana"/>
          <w:b/>
          <w:sz w:val="18"/>
        </w:rPr>
        <w:t>Ein für alle zugänglicher Kulturweg</w:t>
      </w:r>
    </w:p>
    <w:p w14:paraId="47438DD8" w14:textId="77777777" w:rsidR="00177ED4" w:rsidRDefault="00177ED4" w:rsidP="00177ED4">
      <w:pPr>
        <w:pStyle w:val="Body"/>
        <w:spacing w:after="120"/>
        <w:rPr>
          <w:rFonts w:ascii="Verdana" w:eastAsia="Verdana" w:hAnsi="Verdana" w:cs="Verdana"/>
          <w:sz w:val="18"/>
          <w:szCs w:val="18"/>
        </w:rPr>
      </w:pPr>
      <w:r>
        <w:rPr>
          <w:rFonts w:ascii="Verdana" w:hAnsi="Verdana"/>
          <w:sz w:val="18"/>
        </w:rPr>
        <w:t xml:space="preserve">Der Vorschlag des EWSA sieht auch ein Internetportal vor, das eine virtuelle und interaktive Erfahrung mit audiovisuellen Beiträgen aller Etappenziele schafft und als pädagogisches Instrument für die Vermittlung der Friedenskonsolidierung an Schulen EU-weit eingesetzt würde. Zu diesem Zweck regt </w:t>
      </w:r>
      <w:r>
        <w:rPr>
          <w:rFonts w:ascii="Verdana" w:hAnsi="Verdana"/>
          <w:sz w:val="18"/>
        </w:rPr>
        <w:lastRenderedPageBreak/>
        <w:t xml:space="preserve">der EWSA die Einsetzung einer EU-Taskforce „Weg der weißen Taube“ an, die Konsultationen mit lokalen und regionalen Partnern und anderen bestehenden Wegen, wie dem </w:t>
      </w:r>
      <w:hyperlink r:id="rId15" w:history="1">
        <w:r>
          <w:rPr>
            <w:rStyle w:val="Hyperlink2"/>
            <w:u w:val="none"/>
          </w:rPr>
          <w:t>Western Front Way</w:t>
        </w:r>
      </w:hyperlink>
      <w:r>
        <w:rPr>
          <w:rFonts w:ascii="Verdana" w:hAnsi="Verdana"/>
          <w:sz w:val="18"/>
        </w:rPr>
        <w:t xml:space="preserve"> und dem von den Friends of Columbanus vorgeschlagenen Kulturweg anstoßen sollte. Diese Taskforce wäre auch für eine engere Zusammenarbeit mit internationalen Organisationen wie den Vereinten Nationen, der UNESCO, der OSZE und dem Europarat sowie für die logistische Vorbereitung eines Weges von Irland nach Zypern zuständig.</w:t>
      </w:r>
    </w:p>
    <w:p w14:paraId="05A57595" w14:textId="7CF5E364" w:rsidR="00177ED4" w:rsidRDefault="00177ED4" w:rsidP="00177ED4">
      <w:pPr>
        <w:pStyle w:val="Body"/>
        <w:spacing w:after="120"/>
        <w:rPr>
          <w:rFonts w:ascii="Verdana" w:eastAsia="Verdana" w:hAnsi="Verdana" w:cs="Verdana"/>
          <w:sz w:val="18"/>
          <w:szCs w:val="18"/>
        </w:rPr>
      </w:pPr>
      <w:r>
        <w:rPr>
          <w:rFonts w:ascii="Verdana" w:hAnsi="Verdana"/>
          <w:sz w:val="18"/>
        </w:rPr>
        <w:t xml:space="preserve">Die vom EWSA vorgeschlagene Initiative umfasst die Einrichtung von europäischen Zentren für Frieden und Versöhnung in Nordirland und Nikosia sowie von Zentren des Lernens, die bedeutsame Orte entlang des </w:t>
      </w:r>
      <w:r>
        <w:rPr>
          <w:rFonts w:ascii="Verdana" w:hAnsi="Verdana"/>
          <w:i/>
          <w:iCs/>
          <w:sz w:val="18"/>
        </w:rPr>
        <w:t>Weges der weißen Taube</w:t>
      </w:r>
      <w:r>
        <w:rPr>
          <w:rFonts w:ascii="Verdana" w:hAnsi="Verdana"/>
          <w:sz w:val="18"/>
        </w:rPr>
        <w:t xml:space="preserve"> miteinander verbinden, sowie neben der Anerkennung des Symbols der weißen Taube als „Markenzeichen“ aller Friedensprojekte der EU auch die verstärkte Verpflichtung der Friedensprojekte, auf die EU-Förderung hinzuweisen. Dazu </w:t>
      </w:r>
      <w:r>
        <w:rPr>
          <w:rFonts w:ascii="Verdana" w:hAnsi="Verdana"/>
          <w:b/>
          <w:bCs/>
          <w:sz w:val="18"/>
          <w:szCs w:val="18"/>
        </w:rPr>
        <w:t>Jane Morrice</w:t>
      </w:r>
      <w:r>
        <w:rPr>
          <w:rFonts w:ascii="Verdana" w:hAnsi="Verdana"/>
          <w:sz w:val="18"/>
        </w:rPr>
        <w:t xml:space="preserve"> weiter: „Der </w:t>
      </w:r>
      <w:r>
        <w:rPr>
          <w:rFonts w:ascii="Verdana" w:hAnsi="Verdana"/>
          <w:i/>
          <w:iCs/>
          <w:sz w:val="18"/>
        </w:rPr>
        <w:t>Weg der weißen Taube</w:t>
      </w:r>
      <w:r>
        <w:rPr>
          <w:rFonts w:ascii="Verdana" w:hAnsi="Verdana"/>
          <w:sz w:val="18"/>
        </w:rPr>
        <w:t xml:space="preserve"> dient durch eine Marschroute für eine EU-geführte globale Strategie der Friedenskonsolidierung nach dem Vorbild des PEACE-Programms der EU in Nordirland und den Grenzbezirken Irlands neben einem real und virtuell beschreitbaren Wanderweg als ein Signal dafür, wie wir in einer zunehmend globalisierten Welt leben, lernen und einander begegnen können.“</w:t>
      </w:r>
    </w:p>
    <w:p w14:paraId="379C8E00" w14:textId="3B76DBBC" w:rsidR="00177ED4" w:rsidRDefault="00177ED4" w:rsidP="00177ED4">
      <w:pPr>
        <w:pStyle w:val="Body"/>
        <w:spacing w:after="120"/>
        <w:rPr>
          <w:rFonts w:ascii="Verdana" w:eastAsia="Verdana" w:hAnsi="Verdana" w:cs="Verdana"/>
          <w:sz w:val="18"/>
          <w:szCs w:val="18"/>
        </w:rPr>
      </w:pPr>
      <w:r>
        <w:rPr>
          <w:rFonts w:ascii="Verdana" w:hAnsi="Verdana"/>
          <w:sz w:val="18"/>
        </w:rPr>
        <w:t>Zum Erreichen dieser Ziele weist der EWSA darauf hin, dass jeder Euro, der in den Frieden investiert wird, 7 Euro für die Verteidigung spart, und fordert die EU auf, die Friedenskonsolidierung in ihren Vorschlägen für den neuen EU-Haushalt (MFR 2021–27) vorrangig zu behandeln. Der neue EU-Haushalt sollte nicht nur auf die Konfliktprävention, sowie auf mehr Kohärenz und Stimmigkeit zwischen den Bereichen Binnen- und Außenhandel, Entwicklungshilfe, Entwicklungs- und Sicherheitspolitik ausgerichtet sein, sondern auch (mehr) Mittel für die Kulturdiplomatie‚ den Friedensjournalismus und den interkulturellen Dialog vorsehen.</w:t>
      </w:r>
    </w:p>
    <w:p w14:paraId="0C006AAC" w14:textId="59D89C54" w:rsidR="00177ED4" w:rsidRDefault="00177ED4" w:rsidP="00177ED4">
      <w:pPr>
        <w:pStyle w:val="Body"/>
        <w:spacing w:after="120"/>
        <w:rPr>
          <w:rFonts w:ascii="Verdana" w:eastAsia="Verdana" w:hAnsi="Verdana" w:cs="Verdana"/>
          <w:sz w:val="18"/>
          <w:szCs w:val="18"/>
        </w:rPr>
      </w:pPr>
      <w:r>
        <w:rPr>
          <w:rFonts w:ascii="Verdana" w:hAnsi="Verdana"/>
          <w:sz w:val="18"/>
        </w:rPr>
        <w:t>In der Stellungnahme wird auch das Erfordernis einer stärker strukturierten Einbeziehung der Zivilgesellschaft unter besonderer Berücksichtigung von Frauen und jungen Menschen auf allen Ebenen der Beschlussfassung als wesentliches Element für eine erfolgreiche Umsetzung der Strategie hervorgehoben.</w:t>
      </w:r>
    </w:p>
    <w:p w14:paraId="070905B4" w14:textId="65F224F8" w:rsidR="00177ED4" w:rsidRDefault="00177ED4" w:rsidP="00177ED4">
      <w:pPr>
        <w:pStyle w:val="Body"/>
        <w:spacing w:after="120"/>
        <w:rPr>
          <w:rFonts w:ascii="Verdana" w:eastAsia="Verdana" w:hAnsi="Verdana" w:cs="Verdana"/>
          <w:sz w:val="18"/>
          <w:szCs w:val="18"/>
        </w:rPr>
      </w:pPr>
      <w:r>
        <w:rPr>
          <w:rFonts w:ascii="Verdana" w:hAnsi="Verdana"/>
          <w:sz w:val="18"/>
        </w:rPr>
        <w:t>Nach Ansicht des EWSA sollte im neuen Haushalt, ausgehend vom Erfolg des ERASMUS-Programms, stärker auf Informations-, Kommunikations- und Aufklärungsstrategien gesetzt werden, insbesondere auf den Einsatz sowohl der klassischen als auch der sozialen Medien, um die Bürgerinnen und Bürger auf allen Ebenen aktiv an den Bemühungen der EU um Friedenskonsolidierung zu beteiligen.</w:t>
      </w:r>
    </w:p>
    <w:p w14:paraId="002C8D3B" w14:textId="77777777" w:rsidR="00177ED4" w:rsidRDefault="00177ED4" w:rsidP="00177ED4">
      <w:pPr>
        <w:pStyle w:val="Body"/>
        <w:spacing w:after="120"/>
        <w:rPr>
          <w:rFonts w:ascii="Verdana" w:eastAsia="Verdana" w:hAnsi="Verdana" w:cs="Verdana"/>
          <w:sz w:val="18"/>
          <w:szCs w:val="18"/>
        </w:rPr>
      </w:pPr>
      <w:r>
        <w:rPr>
          <w:rFonts w:ascii="Verdana" w:hAnsi="Verdana"/>
          <w:sz w:val="18"/>
        </w:rPr>
        <w:t xml:space="preserve">In den Worten von </w:t>
      </w:r>
      <w:r>
        <w:rPr>
          <w:rFonts w:ascii="Verdana" w:hAnsi="Verdana"/>
          <w:b/>
          <w:sz w:val="18"/>
        </w:rPr>
        <w:t>Jane Morrice</w:t>
      </w:r>
      <w:r>
        <w:rPr>
          <w:rFonts w:ascii="Verdana" w:hAnsi="Verdana"/>
          <w:sz w:val="18"/>
        </w:rPr>
        <w:t>: „Mit dem Symbol der weißen Taube als Wegweiser wäre der WhiteDoveWay nicht nur ein Symbol der Friedenskonsolidierung der EU überall auf der Welt, sondern auch eine neue Vision für die EU und ein Zeichen der Hoffnung in immer schwieriger werdenden Zeiten.“</w:t>
      </w:r>
    </w:p>
    <w:p w14:paraId="4832C4CF" w14:textId="77777777" w:rsidR="00177ED4" w:rsidRDefault="00177ED4" w:rsidP="00177ED4">
      <w:pPr>
        <w:pStyle w:val="Body"/>
        <w:spacing w:after="120"/>
        <w:rPr>
          <w:rFonts w:ascii="Verdana" w:eastAsia="Verdana" w:hAnsi="Verdana" w:cs="Verdana"/>
          <w:sz w:val="18"/>
          <w:szCs w:val="18"/>
        </w:rPr>
      </w:pPr>
      <w:r>
        <w:rPr>
          <w:rFonts w:ascii="Verdana" w:hAnsi="Verdana"/>
          <w:sz w:val="18"/>
          <w:szCs w:val="18"/>
        </w:rPr>
        <w:t xml:space="preserve"> </w:t>
      </w:r>
    </w:p>
    <w:p w14:paraId="5EB511C4" w14:textId="77777777" w:rsidR="00177ED4" w:rsidRDefault="00177ED4" w:rsidP="00177ED4">
      <w:pPr>
        <w:pStyle w:val="Body"/>
        <w:spacing w:after="120"/>
        <w:rPr>
          <w:rFonts w:ascii="Verdana" w:eastAsia="Verdana" w:hAnsi="Verdana" w:cs="Verdana"/>
          <w:sz w:val="18"/>
          <w:szCs w:val="18"/>
        </w:rPr>
      </w:pPr>
    </w:p>
    <w:p w14:paraId="637768E3" w14:textId="77777777" w:rsidR="00177ED4" w:rsidRDefault="00177ED4" w:rsidP="00177ED4">
      <w:pPr>
        <w:pStyle w:val="Body"/>
        <w:spacing w:line="276" w:lineRule="auto"/>
        <w:jc w:val="center"/>
        <w:rPr>
          <w:rFonts w:ascii="Verdana" w:eastAsia="Verdana" w:hAnsi="Verdana" w:cs="Verdana"/>
          <w:b/>
          <w:bCs/>
          <w:sz w:val="18"/>
          <w:szCs w:val="18"/>
        </w:rPr>
      </w:pPr>
      <w:r>
        <w:rPr>
          <w:rFonts w:ascii="Verdana" w:hAnsi="Verdana"/>
          <w:b/>
          <w:sz w:val="18"/>
        </w:rPr>
        <w:t>Für weitere Informationen wenden Sie sich bitte an:</w:t>
      </w:r>
    </w:p>
    <w:p w14:paraId="76FFC0C0" w14:textId="77777777" w:rsidR="00177ED4" w:rsidRPr="00177ED4" w:rsidRDefault="00177ED4" w:rsidP="00177ED4">
      <w:pPr>
        <w:pStyle w:val="Heading"/>
        <w:spacing w:line="240" w:lineRule="auto"/>
        <w:ind w:left="360"/>
        <w:jc w:val="center"/>
        <w:rPr>
          <w:rFonts w:ascii="Verdana" w:hAnsi="Verdana"/>
          <w:sz w:val="18"/>
        </w:rPr>
      </w:pPr>
      <w:r>
        <w:rPr>
          <w:rFonts w:ascii="Verdana" w:hAnsi="Verdana"/>
          <w:sz w:val="18"/>
        </w:rPr>
        <w:t>EWSA-Pressereferat – David Gippini Fournier</w:t>
      </w:r>
      <w:r>
        <w:rPr>
          <w:rFonts w:ascii="Arial Unicode MS" w:hAnsi="Arial Unicode MS"/>
          <w:sz w:val="18"/>
        </w:rPr>
        <w:br/>
      </w:r>
      <w:r>
        <w:rPr>
          <w:rFonts w:ascii="Verdana" w:hAnsi="Verdana"/>
          <w:sz w:val="18"/>
        </w:rPr>
        <w:t>+32 (0)2 546 92 76</w:t>
      </w:r>
    </w:p>
    <w:p w14:paraId="4C92825B" w14:textId="77777777" w:rsidR="00177ED4" w:rsidRDefault="006248F3" w:rsidP="00177ED4">
      <w:pPr>
        <w:pStyle w:val="Body"/>
        <w:jc w:val="center"/>
        <w:rPr>
          <w:rFonts w:ascii="Verdana" w:eastAsia="Verdana" w:hAnsi="Verdana" w:cs="Verdana"/>
          <w:sz w:val="18"/>
          <w:szCs w:val="18"/>
        </w:rPr>
      </w:pPr>
      <w:hyperlink r:id="rId16" w:history="1">
        <w:r>
          <w:rPr>
            <w:rStyle w:val="Hyperlink2"/>
            <w:u w:val="none"/>
          </w:rPr>
          <w:t>david.gippinifournier@eesc.europa.eu</w:t>
        </w:r>
      </w:hyperlink>
    </w:p>
    <w:p w14:paraId="2B9FB999" w14:textId="77777777" w:rsidR="00177ED4" w:rsidRPr="00177ED4" w:rsidRDefault="00177ED4" w:rsidP="00177ED4">
      <w:pPr>
        <w:pStyle w:val="Heading"/>
        <w:spacing w:line="240" w:lineRule="auto"/>
        <w:jc w:val="center"/>
        <w:rPr>
          <w:rFonts w:ascii="Verdana" w:hAnsi="Verdana"/>
          <w:b/>
          <w:sz w:val="18"/>
        </w:rPr>
      </w:pPr>
      <w:r>
        <w:rPr>
          <w:rFonts w:ascii="Verdana" w:hAnsi="Verdana"/>
          <w:b/>
          <w:sz w:val="18"/>
        </w:rPr>
        <w:t>@EESC_PRESS</w:t>
      </w:r>
    </w:p>
    <w:p w14:paraId="299FE293" w14:textId="77777777" w:rsidR="00177ED4" w:rsidRPr="00177ED4" w:rsidRDefault="006248F3" w:rsidP="00177ED4">
      <w:pPr>
        <w:pStyle w:val="Body"/>
        <w:jc w:val="center"/>
        <w:rPr>
          <w:color w:val="1F497D"/>
          <w:u w:color="1F497D"/>
        </w:rPr>
      </w:pPr>
      <w:hyperlink r:id="rId17" w:history="1">
        <w:r>
          <w:rPr>
            <w:rStyle w:val="Hyperlink2"/>
            <w:u w:val="none"/>
          </w:rPr>
          <w:t>VIDEO: Europe at work</w:t>
        </w:r>
      </w:hyperlink>
    </w:p>
    <w:p w14:paraId="75C3D985" w14:textId="77777777" w:rsidR="00177ED4" w:rsidRDefault="00177ED4" w:rsidP="00177ED4">
      <w:pPr>
        <w:pStyle w:val="Body"/>
        <w:rPr>
          <w:rFonts w:ascii="Verdana" w:eastAsia="Verdana" w:hAnsi="Verdana" w:cs="Verdana"/>
          <w:sz w:val="16"/>
          <w:szCs w:val="16"/>
        </w:rPr>
      </w:pPr>
    </w:p>
    <w:p w14:paraId="757CC564" w14:textId="77777777" w:rsidR="00177ED4" w:rsidRDefault="00177ED4" w:rsidP="00177ED4">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14:paraId="4EAD73C1" w14:textId="77777777" w:rsidR="00177ED4" w:rsidRDefault="00177ED4" w:rsidP="00177ED4">
      <w:pPr>
        <w:pStyle w:val="Body"/>
        <w:rPr>
          <w:rFonts w:ascii="Verdana" w:eastAsia="Verdana" w:hAnsi="Verdana" w:cs="Verdana"/>
          <w:sz w:val="16"/>
          <w:szCs w:val="16"/>
        </w:rPr>
      </w:pPr>
    </w:p>
    <w:p w14:paraId="6F3E98A3" w14:textId="77777777" w:rsidR="00177ED4" w:rsidRPr="00177ED4" w:rsidRDefault="00177ED4" w:rsidP="00177ED4">
      <w:pPr>
        <w:pStyle w:val="Body"/>
      </w:pPr>
      <w:r>
        <w:rPr>
          <w:rFonts w:ascii="Verdana" w:hAnsi="Verdana"/>
          <w:sz w:val="16"/>
        </w:rPr>
        <w:t>Wenn Sie diese Benachrichtigungen nicht mehr erhalten möchten, senden Sie bitte eine E-Mail an:</w:t>
      </w:r>
      <w:r>
        <w:t xml:space="preserve"> </w:t>
      </w:r>
      <w:hyperlink r:id="rId18" w:history="1">
        <w:r>
          <w:rPr>
            <w:rStyle w:val="Hyperlink3"/>
            <w:u w:val="none"/>
          </w:rPr>
          <w:t>press@eesc.europa.eu</w:t>
        </w:r>
      </w:hyperlink>
      <w:r>
        <w:t>.</w:t>
      </w:r>
    </w:p>
    <w:p w14:paraId="249F5723" w14:textId="76B7D0D8" w:rsidR="00474E33" w:rsidRPr="00D810F8" w:rsidRDefault="00474E33" w:rsidP="00C97491">
      <w:pPr>
        <w:rPr>
          <w:rFonts w:ascii="Verdana" w:hAnsi="Verdana"/>
          <w:color w:val="0000FF"/>
          <w:sz w:val="16"/>
          <w:szCs w:val="16"/>
          <w:lang w:eastAsia="fr-BE"/>
        </w:rPr>
      </w:pPr>
    </w:p>
    <w:sectPr w:rsidR="00474E33" w:rsidRPr="00D810F8" w:rsidSect="00D810F8">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993" w:right="1134" w:bottom="1560" w:left="1276" w:header="497" w:footer="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CC13" w14:textId="77777777" w:rsidR="00BC4256" w:rsidRDefault="00BC4256">
      <w:r>
        <w:separator/>
      </w:r>
    </w:p>
  </w:endnote>
  <w:endnote w:type="continuationSeparator" w:id="0">
    <w:p w14:paraId="6812AAB6" w14:textId="77777777" w:rsidR="00BC4256" w:rsidRDefault="00BC4256">
      <w:r>
        <w:continuationSeparator/>
      </w:r>
    </w:p>
  </w:endnote>
  <w:endnote w:type="continuationNotice" w:id="1">
    <w:p w14:paraId="431213F5" w14:textId="77777777" w:rsidR="00BC4256" w:rsidRDefault="00BC42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FE54" w14:textId="31C09777" w:rsidR="00D15561" w:rsidRPr="00D810F8" w:rsidRDefault="00D810F8" w:rsidP="00D810F8">
    <w:pPr>
      <w:pStyle w:val="Footer"/>
    </w:pPr>
    <w:r>
      <w:t xml:space="preserve">EESC-2019-01328-00-00-CP-TRA (EN) </w:t>
    </w:r>
    <w:r>
      <w:fldChar w:fldCharType="begin"/>
    </w:r>
    <w:r>
      <w:instrText xml:space="preserve"> PAGE  \* Arabic  \* MERGEFORMAT </w:instrText>
    </w:r>
    <w:r>
      <w:fldChar w:fldCharType="separate"/>
    </w:r>
    <w:r w:rsidR="006248F3">
      <w:rPr>
        <w:noProof/>
      </w:rPr>
      <w:t>1</w:t>
    </w:r>
    <w:r>
      <w:fldChar w:fldCharType="end"/>
    </w:r>
    <w:r>
      <w:t>/</w:t>
    </w:r>
    <w:fldSimple w:instr=" NUMPAGES ">
      <w:r w:rsidR="006248F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BC56" w14:textId="77777777" w:rsidR="00D810F8" w:rsidRPr="00D810F8" w:rsidRDefault="00D810F8" w:rsidP="00D81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5B17" w14:textId="475894EF" w:rsidR="00D810F8" w:rsidRPr="00D810F8" w:rsidRDefault="00D810F8" w:rsidP="00D810F8">
    <w:pPr>
      <w:pStyle w:val="Footer"/>
    </w:pPr>
    <w:r>
      <w:t xml:space="preserve">EESC-2019-01328-00-00-CP-TRA (EN) </w:t>
    </w:r>
    <w:r>
      <w:fldChar w:fldCharType="begin"/>
    </w:r>
    <w:r>
      <w:instrText xml:space="preserve"> PAGE  \* Arabic  \* MERGEFORMAT </w:instrText>
    </w:r>
    <w:r>
      <w:fldChar w:fldCharType="separate"/>
    </w:r>
    <w:r w:rsidR="006248F3">
      <w:rPr>
        <w:noProof/>
      </w:rPr>
      <w:t>2</w:t>
    </w:r>
    <w:r>
      <w:fldChar w:fldCharType="end"/>
    </w:r>
    <w:r>
      <w:t>/</w:t>
    </w:r>
    <w:fldSimple w:instr=" NUMPAGES ">
      <w:r w:rsidR="006248F3">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44A3" w14:textId="77777777" w:rsidR="00D810F8" w:rsidRPr="00D810F8" w:rsidRDefault="00D810F8" w:rsidP="00D81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EFAE9" w14:textId="77777777" w:rsidR="00BC4256" w:rsidRDefault="00BC4256">
      <w:r>
        <w:separator/>
      </w:r>
    </w:p>
  </w:footnote>
  <w:footnote w:type="continuationSeparator" w:id="0">
    <w:p w14:paraId="082B57FF" w14:textId="77777777" w:rsidR="00BC4256" w:rsidRDefault="00BC4256">
      <w:r>
        <w:continuationSeparator/>
      </w:r>
    </w:p>
  </w:footnote>
  <w:footnote w:type="continuationNotice" w:id="1">
    <w:p w14:paraId="5DFE9629" w14:textId="77777777" w:rsidR="00BC4256" w:rsidRDefault="00BC42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F096" w14:textId="77777777" w:rsidR="00D810F8" w:rsidRPr="00D810F8" w:rsidRDefault="00D810F8" w:rsidP="00D8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ACCA" w14:textId="313E7F13" w:rsidR="00D810F8" w:rsidRPr="00D810F8" w:rsidRDefault="00D810F8" w:rsidP="00D81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6E11" w14:textId="77777777" w:rsidR="00D810F8" w:rsidRPr="00D810F8" w:rsidRDefault="00D810F8" w:rsidP="00D81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4CDB"/>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3949"/>
    <w:rsid w:val="00063112"/>
    <w:rsid w:val="000646D7"/>
    <w:rsid w:val="00066E42"/>
    <w:rsid w:val="000723EC"/>
    <w:rsid w:val="000729E3"/>
    <w:rsid w:val="000757AB"/>
    <w:rsid w:val="000758D3"/>
    <w:rsid w:val="00076507"/>
    <w:rsid w:val="0008346A"/>
    <w:rsid w:val="00083BD0"/>
    <w:rsid w:val="00085E2B"/>
    <w:rsid w:val="000872FC"/>
    <w:rsid w:val="00096784"/>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471B"/>
    <w:rsid w:val="000F64DB"/>
    <w:rsid w:val="0010124F"/>
    <w:rsid w:val="00103C50"/>
    <w:rsid w:val="00106CB5"/>
    <w:rsid w:val="00107959"/>
    <w:rsid w:val="00110004"/>
    <w:rsid w:val="00110828"/>
    <w:rsid w:val="0011091D"/>
    <w:rsid w:val="00112D4F"/>
    <w:rsid w:val="0011541D"/>
    <w:rsid w:val="00122CF2"/>
    <w:rsid w:val="00124AC7"/>
    <w:rsid w:val="00131ED0"/>
    <w:rsid w:val="001361D2"/>
    <w:rsid w:val="00136FB1"/>
    <w:rsid w:val="001376DA"/>
    <w:rsid w:val="0014587D"/>
    <w:rsid w:val="001477B3"/>
    <w:rsid w:val="00153599"/>
    <w:rsid w:val="00154CD8"/>
    <w:rsid w:val="001568B6"/>
    <w:rsid w:val="0015752F"/>
    <w:rsid w:val="00163C39"/>
    <w:rsid w:val="00171C0A"/>
    <w:rsid w:val="00172BE9"/>
    <w:rsid w:val="00174FF6"/>
    <w:rsid w:val="0017578E"/>
    <w:rsid w:val="00176E23"/>
    <w:rsid w:val="00177E02"/>
    <w:rsid w:val="00177ED4"/>
    <w:rsid w:val="001821BC"/>
    <w:rsid w:val="0018320E"/>
    <w:rsid w:val="001847A3"/>
    <w:rsid w:val="00184B69"/>
    <w:rsid w:val="0019031C"/>
    <w:rsid w:val="0019276B"/>
    <w:rsid w:val="001974DC"/>
    <w:rsid w:val="001A2673"/>
    <w:rsid w:val="001A3020"/>
    <w:rsid w:val="001A5C37"/>
    <w:rsid w:val="001A7776"/>
    <w:rsid w:val="001A7BFC"/>
    <w:rsid w:val="001B5A35"/>
    <w:rsid w:val="001B5C6B"/>
    <w:rsid w:val="001B7F8A"/>
    <w:rsid w:val="001C06AE"/>
    <w:rsid w:val="001C33DE"/>
    <w:rsid w:val="001C5F09"/>
    <w:rsid w:val="001C67C4"/>
    <w:rsid w:val="001C7A37"/>
    <w:rsid w:val="001D0035"/>
    <w:rsid w:val="001D0F52"/>
    <w:rsid w:val="001D5F0D"/>
    <w:rsid w:val="001D7F63"/>
    <w:rsid w:val="001E1D5D"/>
    <w:rsid w:val="001E4A43"/>
    <w:rsid w:val="001E6221"/>
    <w:rsid w:val="001E62B2"/>
    <w:rsid w:val="001E722D"/>
    <w:rsid w:val="001F2CB3"/>
    <w:rsid w:val="001F4D96"/>
    <w:rsid w:val="001F761E"/>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0A7B"/>
    <w:rsid w:val="00231B31"/>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7619F"/>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7DD"/>
    <w:rsid w:val="002B4BBC"/>
    <w:rsid w:val="002B5671"/>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7020"/>
    <w:rsid w:val="003308C2"/>
    <w:rsid w:val="003309F2"/>
    <w:rsid w:val="00331C71"/>
    <w:rsid w:val="00332429"/>
    <w:rsid w:val="00334DCC"/>
    <w:rsid w:val="0033715B"/>
    <w:rsid w:val="00337721"/>
    <w:rsid w:val="00344CBB"/>
    <w:rsid w:val="00345B8D"/>
    <w:rsid w:val="00345E57"/>
    <w:rsid w:val="00347274"/>
    <w:rsid w:val="00347565"/>
    <w:rsid w:val="00351778"/>
    <w:rsid w:val="00352101"/>
    <w:rsid w:val="00353B90"/>
    <w:rsid w:val="00355238"/>
    <w:rsid w:val="003627C6"/>
    <w:rsid w:val="00364441"/>
    <w:rsid w:val="00367056"/>
    <w:rsid w:val="003706C6"/>
    <w:rsid w:val="0037635F"/>
    <w:rsid w:val="00381873"/>
    <w:rsid w:val="003819C6"/>
    <w:rsid w:val="003819E4"/>
    <w:rsid w:val="0038229B"/>
    <w:rsid w:val="00383721"/>
    <w:rsid w:val="00384E43"/>
    <w:rsid w:val="00385DDB"/>
    <w:rsid w:val="0038751A"/>
    <w:rsid w:val="0039000B"/>
    <w:rsid w:val="003900BD"/>
    <w:rsid w:val="0039071F"/>
    <w:rsid w:val="00394EB3"/>
    <w:rsid w:val="0039754C"/>
    <w:rsid w:val="003A3500"/>
    <w:rsid w:val="003A451A"/>
    <w:rsid w:val="003A6EDB"/>
    <w:rsid w:val="003B0EB8"/>
    <w:rsid w:val="003B26B8"/>
    <w:rsid w:val="003B4A40"/>
    <w:rsid w:val="003B543C"/>
    <w:rsid w:val="003B6912"/>
    <w:rsid w:val="003B6B77"/>
    <w:rsid w:val="003C064E"/>
    <w:rsid w:val="003C0CA6"/>
    <w:rsid w:val="003C0FB2"/>
    <w:rsid w:val="003C33A5"/>
    <w:rsid w:val="003C3C33"/>
    <w:rsid w:val="003C5451"/>
    <w:rsid w:val="003C67BB"/>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E29"/>
    <w:rsid w:val="00410DB5"/>
    <w:rsid w:val="00412B09"/>
    <w:rsid w:val="004137B8"/>
    <w:rsid w:val="004161BD"/>
    <w:rsid w:val="00416D30"/>
    <w:rsid w:val="0042133C"/>
    <w:rsid w:val="00421DC4"/>
    <w:rsid w:val="00422387"/>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2388"/>
    <w:rsid w:val="004D2A85"/>
    <w:rsid w:val="004D37AE"/>
    <w:rsid w:val="004D3983"/>
    <w:rsid w:val="004D4755"/>
    <w:rsid w:val="004D496C"/>
    <w:rsid w:val="004D6AA4"/>
    <w:rsid w:val="004D73D5"/>
    <w:rsid w:val="004D79AF"/>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40770"/>
    <w:rsid w:val="0054183A"/>
    <w:rsid w:val="00541F3D"/>
    <w:rsid w:val="00542F5B"/>
    <w:rsid w:val="005450F7"/>
    <w:rsid w:val="00547DF6"/>
    <w:rsid w:val="00550A9F"/>
    <w:rsid w:val="005526FF"/>
    <w:rsid w:val="0055620F"/>
    <w:rsid w:val="00557427"/>
    <w:rsid w:val="00561A01"/>
    <w:rsid w:val="00562C25"/>
    <w:rsid w:val="005633F0"/>
    <w:rsid w:val="0056376E"/>
    <w:rsid w:val="0056698D"/>
    <w:rsid w:val="005675F6"/>
    <w:rsid w:val="00567BF1"/>
    <w:rsid w:val="00570E8F"/>
    <w:rsid w:val="005712FF"/>
    <w:rsid w:val="00574FF7"/>
    <w:rsid w:val="00581617"/>
    <w:rsid w:val="00582628"/>
    <w:rsid w:val="00583014"/>
    <w:rsid w:val="005831A1"/>
    <w:rsid w:val="005865BD"/>
    <w:rsid w:val="0058718E"/>
    <w:rsid w:val="0059271E"/>
    <w:rsid w:val="005929F9"/>
    <w:rsid w:val="00592DB2"/>
    <w:rsid w:val="00595144"/>
    <w:rsid w:val="005956B9"/>
    <w:rsid w:val="005A6561"/>
    <w:rsid w:val="005B04DF"/>
    <w:rsid w:val="005B1566"/>
    <w:rsid w:val="005B15EF"/>
    <w:rsid w:val="005B4338"/>
    <w:rsid w:val="005B689D"/>
    <w:rsid w:val="005B77EE"/>
    <w:rsid w:val="005C164D"/>
    <w:rsid w:val="005C42B7"/>
    <w:rsid w:val="005C4FDC"/>
    <w:rsid w:val="005C7502"/>
    <w:rsid w:val="005D14F8"/>
    <w:rsid w:val="005D2ACF"/>
    <w:rsid w:val="005D2CF0"/>
    <w:rsid w:val="005D54B0"/>
    <w:rsid w:val="005D77BC"/>
    <w:rsid w:val="005E0FE2"/>
    <w:rsid w:val="005E14AA"/>
    <w:rsid w:val="005E2475"/>
    <w:rsid w:val="005E4D94"/>
    <w:rsid w:val="005E6729"/>
    <w:rsid w:val="005E6B40"/>
    <w:rsid w:val="005E6F87"/>
    <w:rsid w:val="005F4C0D"/>
    <w:rsid w:val="005F7884"/>
    <w:rsid w:val="005F7B7F"/>
    <w:rsid w:val="006023F8"/>
    <w:rsid w:val="0060240F"/>
    <w:rsid w:val="00603008"/>
    <w:rsid w:val="0060387F"/>
    <w:rsid w:val="00603916"/>
    <w:rsid w:val="00607466"/>
    <w:rsid w:val="00610051"/>
    <w:rsid w:val="00611129"/>
    <w:rsid w:val="00613737"/>
    <w:rsid w:val="00613F7D"/>
    <w:rsid w:val="00617079"/>
    <w:rsid w:val="0062197B"/>
    <w:rsid w:val="006248F3"/>
    <w:rsid w:val="00626D7F"/>
    <w:rsid w:val="00636774"/>
    <w:rsid w:val="00644480"/>
    <w:rsid w:val="00644F29"/>
    <w:rsid w:val="00645C77"/>
    <w:rsid w:val="00646545"/>
    <w:rsid w:val="00647A78"/>
    <w:rsid w:val="00650D12"/>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5ED4"/>
    <w:rsid w:val="006966E9"/>
    <w:rsid w:val="006A086F"/>
    <w:rsid w:val="006A0890"/>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6F4E45"/>
    <w:rsid w:val="00702F9A"/>
    <w:rsid w:val="00704473"/>
    <w:rsid w:val="00705E91"/>
    <w:rsid w:val="007060F6"/>
    <w:rsid w:val="007108F1"/>
    <w:rsid w:val="00711E0F"/>
    <w:rsid w:val="00715473"/>
    <w:rsid w:val="00717447"/>
    <w:rsid w:val="00721723"/>
    <w:rsid w:val="00724291"/>
    <w:rsid w:val="00724654"/>
    <w:rsid w:val="00724C64"/>
    <w:rsid w:val="00724FC1"/>
    <w:rsid w:val="00726B29"/>
    <w:rsid w:val="00730C35"/>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6FA"/>
    <w:rsid w:val="00770E48"/>
    <w:rsid w:val="00771F09"/>
    <w:rsid w:val="00775050"/>
    <w:rsid w:val="007750C2"/>
    <w:rsid w:val="00776265"/>
    <w:rsid w:val="007778C5"/>
    <w:rsid w:val="007800B8"/>
    <w:rsid w:val="0078148E"/>
    <w:rsid w:val="007814B8"/>
    <w:rsid w:val="00783886"/>
    <w:rsid w:val="0078682C"/>
    <w:rsid w:val="00786F93"/>
    <w:rsid w:val="0079593D"/>
    <w:rsid w:val="007A0917"/>
    <w:rsid w:val="007A48C3"/>
    <w:rsid w:val="007A645D"/>
    <w:rsid w:val="007A6910"/>
    <w:rsid w:val="007A76E7"/>
    <w:rsid w:val="007B01F7"/>
    <w:rsid w:val="007B120B"/>
    <w:rsid w:val="007B2EDE"/>
    <w:rsid w:val="007B6D57"/>
    <w:rsid w:val="007B6E84"/>
    <w:rsid w:val="007C05C9"/>
    <w:rsid w:val="007C1EA7"/>
    <w:rsid w:val="007C355B"/>
    <w:rsid w:val="007C4858"/>
    <w:rsid w:val="007C7AEE"/>
    <w:rsid w:val="007D2F21"/>
    <w:rsid w:val="007D49EF"/>
    <w:rsid w:val="007E0606"/>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5C3"/>
    <w:rsid w:val="00811E10"/>
    <w:rsid w:val="00812AEF"/>
    <w:rsid w:val="008142A2"/>
    <w:rsid w:val="008151FE"/>
    <w:rsid w:val="00815995"/>
    <w:rsid w:val="00815CCE"/>
    <w:rsid w:val="00820EDA"/>
    <w:rsid w:val="00822179"/>
    <w:rsid w:val="00827629"/>
    <w:rsid w:val="008277EC"/>
    <w:rsid w:val="00831AF8"/>
    <w:rsid w:val="00835406"/>
    <w:rsid w:val="008369F6"/>
    <w:rsid w:val="00837C9C"/>
    <w:rsid w:val="008471BB"/>
    <w:rsid w:val="008472EE"/>
    <w:rsid w:val="0085439E"/>
    <w:rsid w:val="00855176"/>
    <w:rsid w:val="008556BE"/>
    <w:rsid w:val="00855EA7"/>
    <w:rsid w:val="00855FB1"/>
    <w:rsid w:val="00856940"/>
    <w:rsid w:val="0086298B"/>
    <w:rsid w:val="0086564C"/>
    <w:rsid w:val="00867F5B"/>
    <w:rsid w:val="008710F9"/>
    <w:rsid w:val="00872B09"/>
    <w:rsid w:val="00876605"/>
    <w:rsid w:val="008816EF"/>
    <w:rsid w:val="00882AFD"/>
    <w:rsid w:val="00884FD2"/>
    <w:rsid w:val="00885EBF"/>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B7BCE"/>
    <w:rsid w:val="008C0AAF"/>
    <w:rsid w:val="008C6786"/>
    <w:rsid w:val="008D00A5"/>
    <w:rsid w:val="008D2F9F"/>
    <w:rsid w:val="008D66D5"/>
    <w:rsid w:val="008E0F34"/>
    <w:rsid w:val="008F03D3"/>
    <w:rsid w:val="008F1DD9"/>
    <w:rsid w:val="008F2A4F"/>
    <w:rsid w:val="008F33DD"/>
    <w:rsid w:val="008F5A0A"/>
    <w:rsid w:val="008F5D71"/>
    <w:rsid w:val="008F6452"/>
    <w:rsid w:val="008F6E0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D71"/>
    <w:rsid w:val="00942203"/>
    <w:rsid w:val="009441C7"/>
    <w:rsid w:val="00946B47"/>
    <w:rsid w:val="00954319"/>
    <w:rsid w:val="009551D6"/>
    <w:rsid w:val="0095681D"/>
    <w:rsid w:val="009576E3"/>
    <w:rsid w:val="0095773D"/>
    <w:rsid w:val="009577F1"/>
    <w:rsid w:val="00957BFB"/>
    <w:rsid w:val="00961527"/>
    <w:rsid w:val="00961ADC"/>
    <w:rsid w:val="0096222A"/>
    <w:rsid w:val="0096676D"/>
    <w:rsid w:val="00967FA1"/>
    <w:rsid w:val="00972375"/>
    <w:rsid w:val="00973BB6"/>
    <w:rsid w:val="00973E0E"/>
    <w:rsid w:val="00974F1A"/>
    <w:rsid w:val="00975F2C"/>
    <w:rsid w:val="009775E0"/>
    <w:rsid w:val="00981502"/>
    <w:rsid w:val="0098357C"/>
    <w:rsid w:val="0098576E"/>
    <w:rsid w:val="00990362"/>
    <w:rsid w:val="0099038B"/>
    <w:rsid w:val="00991035"/>
    <w:rsid w:val="00994ACA"/>
    <w:rsid w:val="00996B36"/>
    <w:rsid w:val="009972F3"/>
    <w:rsid w:val="009A2733"/>
    <w:rsid w:val="009A4878"/>
    <w:rsid w:val="009A5341"/>
    <w:rsid w:val="009A630B"/>
    <w:rsid w:val="009A6695"/>
    <w:rsid w:val="009B2CF5"/>
    <w:rsid w:val="009B3226"/>
    <w:rsid w:val="009B4631"/>
    <w:rsid w:val="009B586A"/>
    <w:rsid w:val="009C0513"/>
    <w:rsid w:val="009C120F"/>
    <w:rsid w:val="009C3050"/>
    <w:rsid w:val="009C5E6F"/>
    <w:rsid w:val="009C5E8D"/>
    <w:rsid w:val="009C6746"/>
    <w:rsid w:val="009D13B4"/>
    <w:rsid w:val="009D2DDF"/>
    <w:rsid w:val="009D6FDB"/>
    <w:rsid w:val="009D7600"/>
    <w:rsid w:val="009D7DA7"/>
    <w:rsid w:val="009E1E82"/>
    <w:rsid w:val="009E2D20"/>
    <w:rsid w:val="009E465D"/>
    <w:rsid w:val="009E5BC8"/>
    <w:rsid w:val="009E62AF"/>
    <w:rsid w:val="009E7202"/>
    <w:rsid w:val="009E7419"/>
    <w:rsid w:val="009E7BA1"/>
    <w:rsid w:val="009F0DFE"/>
    <w:rsid w:val="009F1D68"/>
    <w:rsid w:val="009F3D1A"/>
    <w:rsid w:val="009F3F11"/>
    <w:rsid w:val="00A00A95"/>
    <w:rsid w:val="00A00B25"/>
    <w:rsid w:val="00A13BB6"/>
    <w:rsid w:val="00A1408A"/>
    <w:rsid w:val="00A14F04"/>
    <w:rsid w:val="00A233A4"/>
    <w:rsid w:val="00A25879"/>
    <w:rsid w:val="00A26072"/>
    <w:rsid w:val="00A26843"/>
    <w:rsid w:val="00A271CA"/>
    <w:rsid w:val="00A3451B"/>
    <w:rsid w:val="00A35547"/>
    <w:rsid w:val="00A3581F"/>
    <w:rsid w:val="00A35962"/>
    <w:rsid w:val="00A37F49"/>
    <w:rsid w:val="00A41AC7"/>
    <w:rsid w:val="00A428BA"/>
    <w:rsid w:val="00A436AA"/>
    <w:rsid w:val="00A50421"/>
    <w:rsid w:val="00A50479"/>
    <w:rsid w:val="00A52B57"/>
    <w:rsid w:val="00A5585C"/>
    <w:rsid w:val="00A6250E"/>
    <w:rsid w:val="00A6427B"/>
    <w:rsid w:val="00A64725"/>
    <w:rsid w:val="00A6698C"/>
    <w:rsid w:val="00A6741D"/>
    <w:rsid w:val="00A67756"/>
    <w:rsid w:val="00A709FB"/>
    <w:rsid w:val="00A7205C"/>
    <w:rsid w:val="00A726C7"/>
    <w:rsid w:val="00A767BD"/>
    <w:rsid w:val="00A80F33"/>
    <w:rsid w:val="00A81C52"/>
    <w:rsid w:val="00A824A5"/>
    <w:rsid w:val="00A83101"/>
    <w:rsid w:val="00A90DB7"/>
    <w:rsid w:val="00A9124B"/>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63AF"/>
    <w:rsid w:val="00AD65F6"/>
    <w:rsid w:val="00AE02B2"/>
    <w:rsid w:val="00AE1DD6"/>
    <w:rsid w:val="00AE29B4"/>
    <w:rsid w:val="00AE2B91"/>
    <w:rsid w:val="00AE2EC5"/>
    <w:rsid w:val="00AE48C9"/>
    <w:rsid w:val="00AE681F"/>
    <w:rsid w:val="00AE6D54"/>
    <w:rsid w:val="00AE710C"/>
    <w:rsid w:val="00AF0350"/>
    <w:rsid w:val="00AF05C3"/>
    <w:rsid w:val="00AF3F4D"/>
    <w:rsid w:val="00B06908"/>
    <w:rsid w:val="00B0761C"/>
    <w:rsid w:val="00B0771F"/>
    <w:rsid w:val="00B10C4D"/>
    <w:rsid w:val="00B13BA9"/>
    <w:rsid w:val="00B13E9C"/>
    <w:rsid w:val="00B162F9"/>
    <w:rsid w:val="00B16D80"/>
    <w:rsid w:val="00B2172F"/>
    <w:rsid w:val="00B21E30"/>
    <w:rsid w:val="00B2414C"/>
    <w:rsid w:val="00B2492C"/>
    <w:rsid w:val="00B25BFF"/>
    <w:rsid w:val="00B27410"/>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A43"/>
    <w:rsid w:val="00B77D5E"/>
    <w:rsid w:val="00B77E94"/>
    <w:rsid w:val="00B83FE1"/>
    <w:rsid w:val="00B84E69"/>
    <w:rsid w:val="00B8535D"/>
    <w:rsid w:val="00B86622"/>
    <w:rsid w:val="00B86FAC"/>
    <w:rsid w:val="00B90B61"/>
    <w:rsid w:val="00B93325"/>
    <w:rsid w:val="00B96068"/>
    <w:rsid w:val="00BA22D0"/>
    <w:rsid w:val="00BB3B52"/>
    <w:rsid w:val="00BB6ED4"/>
    <w:rsid w:val="00BC358D"/>
    <w:rsid w:val="00BC4256"/>
    <w:rsid w:val="00BC4BB5"/>
    <w:rsid w:val="00BC7B23"/>
    <w:rsid w:val="00BD56F0"/>
    <w:rsid w:val="00BE032D"/>
    <w:rsid w:val="00BE093E"/>
    <w:rsid w:val="00BE1C81"/>
    <w:rsid w:val="00BE1E52"/>
    <w:rsid w:val="00BE3074"/>
    <w:rsid w:val="00BE33B4"/>
    <w:rsid w:val="00BE469C"/>
    <w:rsid w:val="00BF0C50"/>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5412"/>
    <w:rsid w:val="00C57E3D"/>
    <w:rsid w:val="00C6052C"/>
    <w:rsid w:val="00C60565"/>
    <w:rsid w:val="00C620F2"/>
    <w:rsid w:val="00C628C5"/>
    <w:rsid w:val="00C62A62"/>
    <w:rsid w:val="00C6443F"/>
    <w:rsid w:val="00C65475"/>
    <w:rsid w:val="00C6584D"/>
    <w:rsid w:val="00C7089D"/>
    <w:rsid w:val="00C7166A"/>
    <w:rsid w:val="00C803D2"/>
    <w:rsid w:val="00C805EA"/>
    <w:rsid w:val="00C90EF2"/>
    <w:rsid w:val="00C97491"/>
    <w:rsid w:val="00CA1BE9"/>
    <w:rsid w:val="00CA4896"/>
    <w:rsid w:val="00CA4CB5"/>
    <w:rsid w:val="00CA5181"/>
    <w:rsid w:val="00CA5985"/>
    <w:rsid w:val="00CA76AC"/>
    <w:rsid w:val="00CA79DA"/>
    <w:rsid w:val="00CA7D27"/>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54"/>
    <w:rsid w:val="00D2509C"/>
    <w:rsid w:val="00D25786"/>
    <w:rsid w:val="00D26835"/>
    <w:rsid w:val="00D26E10"/>
    <w:rsid w:val="00D27474"/>
    <w:rsid w:val="00D30E5D"/>
    <w:rsid w:val="00D318A1"/>
    <w:rsid w:val="00D36367"/>
    <w:rsid w:val="00D3738B"/>
    <w:rsid w:val="00D37E15"/>
    <w:rsid w:val="00D4072C"/>
    <w:rsid w:val="00D44A5E"/>
    <w:rsid w:val="00D45810"/>
    <w:rsid w:val="00D51364"/>
    <w:rsid w:val="00D51FC2"/>
    <w:rsid w:val="00D53250"/>
    <w:rsid w:val="00D53CFE"/>
    <w:rsid w:val="00D5413C"/>
    <w:rsid w:val="00D5772A"/>
    <w:rsid w:val="00D61B99"/>
    <w:rsid w:val="00D63BF0"/>
    <w:rsid w:val="00D7254D"/>
    <w:rsid w:val="00D74E72"/>
    <w:rsid w:val="00D77E90"/>
    <w:rsid w:val="00D810F8"/>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D20E0"/>
    <w:rsid w:val="00DD2F4B"/>
    <w:rsid w:val="00DD7489"/>
    <w:rsid w:val="00DE0DCC"/>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5CA0"/>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ACB"/>
    <w:rsid w:val="00E64F52"/>
    <w:rsid w:val="00E6598C"/>
    <w:rsid w:val="00E67257"/>
    <w:rsid w:val="00E770AF"/>
    <w:rsid w:val="00E80736"/>
    <w:rsid w:val="00E82908"/>
    <w:rsid w:val="00E86438"/>
    <w:rsid w:val="00E87485"/>
    <w:rsid w:val="00E902B3"/>
    <w:rsid w:val="00E91CDE"/>
    <w:rsid w:val="00E921B8"/>
    <w:rsid w:val="00E92AAE"/>
    <w:rsid w:val="00E94ED6"/>
    <w:rsid w:val="00E96E8E"/>
    <w:rsid w:val="00EA1C9B"/>
    <w:rsid w:val="00EA3A34"/>
    <w:rsid w:val="00EA4262"/>
    <w:rsid w:val="00EA4A6B"/>
    <w:rsid w:val="00EA5EE2"/>
    <w:rsid w:val="00EA6691"/>
    <w:rsid w:val="00EA7141"/>
    <w:rsid w:val="00EB0910"/>
    <w:rsid w:val="00EB214C"/>
    <w:rsid w:val="00EB5F8B"/>
    <w:rsid w:val="00EC050C"/>
    <w:rsid w:val="00EC2ACF"/>
    <w:rsid w:val="00EC6A5B"/>
    <w:rsid w:val="00EC7BB3"/>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509"/>
    <w:rsid w:val="00F06C66"/>
    <w:rsid w:val="00F11CFC"/>
    <w:rsid w:val="00F121F7"/>
    <w:rsid w:val="00F12F47"/>
    <w:rsid w:val="00F13585"/>
    <w:rsid w:val="00F17883"/>
    <w:rsid w:val="00F20A0F"/>
    <w:rsid w:val="00F2318C"/>
    <w:rsid w:val="00F273B4"/>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157E"/>
    <w:rsid w:val="00F730E9"/>
    <w:rsid w:val="00F734F8"/>
    <w:rsid w:val="00F73F98"/>
    <w:rsid w:val="00F7479E"/>
    <w:rsid w:val="00F81678"/>
    <w:rsid w:val="00F81886"/>
    <w:rsid w:val="00F84EA0"/>
    <w:rsid w:val="00F878DB"/>
    <w:rsid w:val="00F94BA4"/>
    <w:rsid w:val="00F9536D"/>
    <w:rsid w:val="00FA2EF7"/>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48C"/>
    <w:rsid w:val="00FC77BA"/>
    <w:rsid w:val="00FD172B"/>
    <w:rsid w:val="00FD1E6C"/>
    <w:rsid w:val="00FD20C1"/>
    <w:rsid w:val="00FD3581"/>
    <w:rsid w:val="00FD36DD"/>
    <w:rsid w:val="00FD3E28"/>
    <w:rsid w:val="00FD5013"/>
    <w:rsid w:val="00FD516B"/>
    <w:rsid w:val="00FD5532"/>
    <w:rsid w:val="00FD5EA4"/>
    <w:rsid w:val="00FD751C"/>
    <w:rsid w:val="00FE0564"/>
    <w:rsid w:val="00FE5968"/>
    <w:rsid w:val="00FE5D52"/>
    <w:rsid w:val="00FF05E7"/>
    <w:rsid w:val="00FF0649"/>
    <w:rsid w:val="00FF25DA"/>
    <w:rsid w:val="00FF35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14391"/>
  <w15:docId w15:val="{844BAC56-59CE-4EF5-81ED-2CAD8BF9B00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paragraph" w:customStyle="1" w:styleId="Body">
    <w:name w:val="Body"/>
    <w:rsid w:val="00177ED4"/>
    <w:pPr>
      <w:pBdr>
        <w:top w:val="nil"/>
        <w:left w:val="nil"/>
        <w:bottom w:val="nil"/>
        <w:right w:val="nil"/>
        <w:between w:val="nil"/>
        <w:bar w:val="nil"/>
      </w:pBdr>
    </w:pPr>
    <w:rPr>
      <w:rFonts w:eastAsia="Arial Unicode MS" w:cs="Arial Unicode MS"/>
      <w:color w:val="000000"/>
      <w:u w:color="000000"/>
      <w:bdr w:val="nil"/>
      <w:lang w:eastAsia="fr-BE"/>
    </w:rPr>
  </w:style>
  <w:style w:type="character" w:customStyle="1" w:styleId="Link">
    <w:name w:val="Link"/>
    <w:rsid w:val="00177ED4"/>
    <w:rPr>
      <w:color w:val="0000FF"/>
      <w:u w:val="single" w:color="0000FF"/>
    </w:rPr>
  </w:style>
  <w:style w:type="character" w:customStyle="1" w:styleId="Hyperlink1">
    <w:name w:val="Hyperlink.1"/>
    <w:basedOn w:val="Link"/>
    <w:rsid w:val="00177ED4"/>
    <w:rPr>
      <w:rFonts w:ascii="Verdana" w:eastAsia="Verdana" w:hAnsi="Verdana" w:cs="Verdana"/>
      <w:i/>
      <w:iCs/>
      <w:color w:val="0000FF"/>
      <w:sz w:val="18"/>
      <w:szCs w:val="18"/>
      <w:u w:val="single" w:color="0000FF"/>
    </w:rPr>
  </w:style>
  <w:style w:type="character" w:customStyle="1" w:styleId="Hyperlink2">
    <w:name w:val="Hyperlink.2"/>
    <w:basedOn w:val="Link"/>
    <w:rsid w:val="00177ED4"/>
    <w:rPr>
      <w:rFonts w:ascii="Verdana" w:eastAsia="Verdana" w:hAnsi="Verdana" w:cs="Verdana"/>
      <w:color w:val="0000FF"/>
      <w:sz w:val="18"/>
      <w:szCs w:val="18"/>
      <w:u w:val="single" w:color="0000FF"/>
    </w:rPr>
  </w:style>
  <w:style w:type="paragraph" w:customStyle="1" w:styleId="Heading">
    <w:name w:val="Heading"/>
    <w:next w:val="Body"/>
    <w:rsid w:val="00177ED4"/>
    <w:pPr>
      <w:pBdr>
        <w:top w:val="nil"/>
        <w:left w:val="nil"/>
        <w:bottom w:val="nil"/>
        <w:right w:val="nil"/>
        <w:between w:val="nil"/>
        <w:bar w:val="nil"/>
      </w:pBdr>
      <w:outlineLvl w:val="0"/>
    </w:pPr>
    <w:rPr>
      <w:rFonts w:eastAsia="Arial Unicode MS" w:cs="Arial Unicode MS"/>
      <w:color w:val="000000"/>
      <w:kern w:val="28"/>
      <w:u w:color="000000"/>
      <w:bdr w:val="nil"/>
      <w:lang w:eastAsia="fr-BE"/>
    </w:rPr>
  </w:style>
  <w:style w:type="character" w:customStyle="1" w:styleId="Hyperlink3">
    <w:name w:val="Hyperlink.3"/>
    <w:basedOn w:val="Link"/>
    <w:rsid w:val="00177ED4"/>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22908209">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79472854">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ess@eesc.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esc.europa.eu/en/news-media/videos/europ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id.gippinifournier@eesc.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thewesternfrontway.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de/node/59535" TargetMode="External"/><Relationship Id="rId22"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CTJJHAUHWN5E-1741767729-835</_dlc_DocId>
    <_dlc_DocIdUrl xmlns="bfc960a6-20da-4c94-8684-71380fca093b">
      <Url>http://dm2016/eesc/2019/_layouts/15/DocIdRedir.aspx?ID=CTJJHAUHWN5E-1741767729-835</Url>
      <Description>CTJJHAUHWN5E-1741767729-835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2019-03-15T12:00:00+00:00</ProductionDate>
    <FicheYear xmlns="bfc960a6-20da-4c94-8684-71380fca093b">2019</FicheYear>
    <DocumentNumber xmlns="6cbcf4cf-e730-47de-961e-b7987213c417">1328</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59</Value>
      <Value>21</Value>
      <Value>56</Value>
      <Value>17</Value>
      <Value>15</Value>
      <Value>14</Value>
      <Value>49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2971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F99444-3A56-44F3-9178-60B1ED571561}"/>
</file>

<file path=customXml/itemProps2.xml><?xml version="1.0" encoding="utf-8"?>
<ds:datastoreItem xmlns:ds="http://schemas.openxmlformats.org/officeDocument/2006/customXml" ds:itemID="{4099A721-981E-4685-A7C4-869314E6A616}"/>
</file>

<file path=customXml/itemProps3.xml><?xml version="1.0" encoding="utf-8"?>
<ds:datastoreItem xmlns:ds="http://schemas.openxmlformats.org/officeDocument/2006/customXml" ds:itemID="{328D6643-40A2-4091-A703-72B7EB5C7EF0}"/>
</file>

<file path=customXml/itemProps4.xml><?xml version="1.0" encoding="utf-8"?>
<ds:datastoreItem xmlns:ds="http://schemas.openxmlformats.org/officeDocument/2006/customXml" ds:itemID="{79F65CA2-4F03-4302-8674-649639C20F72}"/>
</file>

<file path=customXml/itemProps5.xml><?xml version="1.0" encoding="utf-8"?>
<ds:datastoreItem xmlns:ds="http://schemas.openxmlformats.org/officeDocument/2006/customXml" ds:itemID="{71D919DB-8C71-4F16-BD09-3D7A4EB0A6D4}"/>
</file>

<file path=docProps/app.xml><?xml version="1.0" encoding="utf-8"?>
<Properties xmlns="http://schemas.openxmlformats.org/officeDocument/2006/extended-properties" xmlns:vt="http://schemas.openxmlformats.org/officeDocument/2006/docPropsVTypes">
  <Template>Styles</Template>
  <TotalTime>1</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11-2019 Der Weg der weißen Taube, ein Friedensweg durch Europa</dc:title>
  <dc:subject>Pressekommuniqué</dc:subject>
  <dc:creator>Pezzani Marco</dc:creator>
  <cp:keywords>EESC-2019-01328-00-00-CP-TRA-EN</cp:keywords>
  <dc:description>Rapporteur:  - Original language: EN - Date of document: 15/03/2019 - Date of meeting:  - External documents:  - Administrator:  GIPPINI FOURNIER David</dc:description>
  <cp:lastModifiedBy>lbuho</cp:lastModifiedBy>
  <cp:revision>7</cp:revision>
  <cp:lastPrinted>2018-09-19T07:49:00Z</cp:lastPrinted>
  <dcterms:created xsi:type="dcterms:W3CDTF">2019-03-13T16:05:00Z</dcterms:created>
  <dcterms:modified xsi:type="dcterms:W3CDTF">2019-03-15T11:07:00Z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13/03/2019, 18/10/2018, 19/09/2018</vt:lpwstr>
  </property>
  <property fmtid="{D5CDD505-2E9C-101B-9397-08002B2CF9AE}" pid="4" name="Pref_Time">
    <vt:lpwstr>16:57:48, 11:23:38, 12:51:56</vt:lpwstr>
  </property>
  <property fmtid="{D5CDD505-2E9C-101B-9397-08002B2CF9AE}" pid="5" name="Pref_User">
    <vt:lpwstr>LAchi, hnic, enied</vt:lpwstr>
  </property>
  <property fmtid="{D5CDD505-2E9C-101B-9397-08002B2CF9AE}" pid="6" name="Pref_FileName">
    <vt:lpwstr>EESC-2019-01328-00-00-CP-ORI.docx, EESC-2018-04517-01-01-CP-ORI.docx, EESC-2018-04517-01-00-CP-ORI.docx</vt:lpwstr>
  </property>
  <property fmtid="{D5CDD505-2E9C-101B-9397-08002B2CF9AE}" pid="7" name="ContentTypeId">
    <vt:lpwstr>0x010100EA97B91038054C99906057A708A1480A007BD53362FFBC664E91C0C82BDF70E843</vt:lpwstr>
  </property>
  <property fmtid="{D5CDD505-2E9C-101B-9397-08002B2CF9AE}" pid="8" name="_dlc_DocIdItemGuid">
    <vt:lpwstr>2bd0d094-bd49-4c4b-baa4-7366360a979c</vt:lpwstr>
  </property>
  <property fmtid="{D5CDD505-2E9C-101B-9397-08002B2CF9AE}" pid="9" name="AvailableTranslations">
    <vt:lpwstr>56;#SL|98a412ae-eb01-49e9-ae3d-585a81724cfc;#4;#EN|f2175f21-25d7-44a3-96da-d6a61b075e1b;#14;#DE|f6b31e5a-26fa-4935-b661-318e46daf27e;#17;#ES|e7a6b05b-ae16-40c8-add9-68b64b03aeba;#49;#EL|6d4f4d51-af9b-4650-94b4-4276bee85c91;#59;#HR|2f555653-ed1a-4fe6-8362-9082d95989e5;#21;#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1328</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49;#EL|6d4f4d51-af9b-4650-94b4-4276bee85c91;#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2971</vt:i4>
  </property>
  <property fmtid="{D5CDD505-2E9C-101B-9397-08002B2CF9AE}" pid="37" name="DocumentLanguage">
    <vt:lpwstr>14;#DE|f6b31e5a-26fa-4935-b661-318e46daf27e</vt:lpwstr>
  </property>
  <property fmtid="{D5CDD505-2E9C-101B-9397-08002B2CF9AE}" pid="38" name="_docset_NoMedatataSyncRequired">
    <vt:lpwstr>False</vt:lpwstr>
  </property>
</Properties>
</file>