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C04197" w:rsidRDefault="00837B82" w:rsidP="00686EC2">
      <w:pPr>
        <w:spacing w:line="240" w:lineRule="auto"/>
        <w:rPr>
          <w:rFonts w:ascii="Verdana" w:hAnsi="Verdana"/>
          <w:sz w:val="20"/>
        </w:rPr>
      </w:pPr>
      <w:bookmarkStart w:id="0" w:name="_GoBack"/>
      <w:bookmarkEnd w:id="0"/>
      <w:r w:rsidRPr="00C04197">
        <w:rPr>
          <w:rFonts w:ascii="Verdana" w:hAnsi="Verdana"/>
          <w:noProof/>
          <w:sz w:val="20"/>
          <w:lang w:eastAsia="en-GB"/>
        </w:rPr>
        <w:drawing>
          <wp:inline distT="0" distB="0" distL="0" distR="0">
            <wp:extent cx="5760085"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a:extLst>
                        <a:ext uri="{28A0092B-C50C-407E-A947-70E740481C1C}">
                          <a14:useLocalDpi xmlns:a14="http://schemas.microsoft.com/office/drawing/2010/main" val="0"/>
                        </a:ext>
                      </a:extLst>
                    </a:blip>
                    <a:stretch>
                      <a:fillRect/>
                    </a:stretch>
                  </pic:blipFill>
                  <pic:spPr>
                    <a:xfrm>
                      <a:off x="0" y="0"/>
                      <a:ext cx="5760085" cy="1397635"/>
                    </a:xfrm>
                    <a:prstGeom prst="rect">
                      <a:avLst/>
                    </a:prstGeom>
                  </pic:spPr>
                </pic:pic>
              </a:graphicData>
            </a:graphic>
          </wp:inline>
        </w:drawing>
      </w:r>
    </w:p>
    <w:tbl>
      <w:tblPr>
        <w:tblW w:w="0" w:type="auto"/>
        <w:tblLook w:val="0000" w:firstRow="0" w:lastRow="0" w:firstColumn="0" w:lastColumn="0" w:noHBand="0" w:noVBand="0"/>
      </w:tblPr>
      <w:tblGrid>
        <w:gridCol w:w="5039"/>
        <w:gridCol w:w="4032"/>
      </w:tblGrid>
      <w:tr w:rsidR="00C93E55" w:rsidRPr="00C04197" w:rsidTr="00705C0F">
        <w:trPr>
          <w:cantSplit/>
        </w:trPr>
        <w:tc>
          <w:tcPr>
            <w:tcW w:w="5168" w:type="dxa"/>
          </w:tcPr>
          <w:p w:rsidR="00C93E55" w:rsidRPr="00C04197" w:rsidRDefault="00321382" w:rsidP="00ED0C70">
            <w:pPr>
              <w:spacing w:before="120" w:after="120" w:line="240" w:lineRule="auto"/>
              <w:rPr>
                <w:rFonts w:ascii="Verdana" w:hAnsi="Verdana"/>
                <w:b/>
                <w:bCs/>
                <w:sz w:val="20"/>
              </w:rPr>
            </w:pPr>
            <w:r w:rsidRPr="00C04197">
              <w:rPr>
                <w:rFonts w:ascii="Verdana" w:hAnsi="Verdana"/>
                <w:noProof/>
                <w:sz w:val="20"/>
                <w:lang w:eastAsia="en-GB"/>
              </w:rPr>
              <mc:AlternateContent>
                <mc:Choice Requires="wps">
                  <w:drawing>
                    <wp:anchor distT="0" distB="0" distL="114300" distR="114300" simplePos="0" relativeHeight="251659264" behindDoc="1" locked="0" layoutInCell="0" allowOverlap="1" wp14:anchorId="7443A896" wp14:editId="62A779A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A896"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v:textbox>
                      <w10:wrap anchorx="page" anchory="page"/>
                    </v:shape>
                  </w:pict>
                </mc:Fallback>
              </mc:AlternateContent>
            </w:r>
            <w:r w:rsidR="00C93E55" w:rsidRPr="00C04197">
              <w:rPr>
                <w:rFonts w:ascii="Verdana" w:hAnsi="Verdana"/>
                <w:b/>
                <w:bCs/>
                <w:sz w:val="20"/>
              </w:rPr>
              <w:t xml:space="preserve">No </w:t>
            </w:r>
            <w:r w:rsidR="00ED0C70">
              <w:rPr>
                <w:rFonts w:ascii="Verdana" w:hAnsi="Verdana"/>
                <w:b/>
                <w:bCs/>
                <w:sz w:val="20"/>
              </w:rPr>
              <w:t>23</w:t>
            </w:r>
            <w:r w:rsidR="005176E8" w:rsidRPr="00C04197">
              <w:rPr>
                <w:rFonts w:ascii="Verdana" w:hAnsi="Verdana"/>
                <w:b/>
                <w:bCs/>
                <w:sz w:val="20"/>
              </w:rPr>
              <w:t>/2020</w:t>
            </w:r>
          </w:p>
        </w:tc>
        <w:tc>
          <w:tcPr>
            <w:tcW w:w="4119" w:type="dxa"/>
          </w:tcPr>
          <w:p w:rsidR="00C93E55" w:rsidRPr="00C04197" w:rsidRDefault="00ED0C70" w:rsidP="00ED0C70">
            <w:pPr>
              <w:spacing w:before="120" w:after="120" w:line="240" w:lineRule="auto"/>
              <w:jc w:val="right"/>
              <w:rPr>
                <w:rFonts w:ascii="Verdana" w:hAnsi="Verdana"/>
                <w:b/>
                <w:bCs/>
                <w:sz w:val="20"/>
              </w:rPr>
            </w:pPr>
            <w:r>
              <w:rPr>
                <w:rFonts w:ascii="Verdana" w:hAnsi="Verdana"/>
                <w:b/>
                <w:bCs/>
                <w:sz w:val="20"/>
              </w:rPr>
              <w:t>1</w:t>
            </w:r>
            <w:r w:rsidR="00067140">
              <w:rPr>
                <w:rFonts w:ascii="Verdana" w:hAnsi="Verdana"/>
                <w:b/>
                <w:bCs/>
                <w:sz w:val="20"/>
              </w:rPr>
              <w:t>0</w:t>
            </w:r>
            <w:r w:rsidR="00837202">
              <w:rPr>
                <w:rFonts w:ascii="Verdana" w:hAnsi="Verdana"/>
                <w:b/>
                <w:bCs/>
                <w:sz w:val="20"/>
              </w:rPr>
              <w:t xml:space="preserve"> </w:t>
            </w:r>
            <w:r>
              <w:rPr>
                <w:rFonts w:ascii="Verdana" w:hAnsi="Verdana"/>
                <w:b/>
                <w:bCs/>
                <w:sz w:val="20"/>
              </w:rPr>
              <w:t>September</w:t>
            </w:r>
            <w:r w:rsidR="00837202">
              <w:rPr>
                <w:rFonts w:ascii="Verdana" w:hAnsi="Verdana"/>
                <w:b/>
                <w:bCs/>
                <w:sz w:val="20"/>
              </w:rPr>
              <w:t xml:space="preserve"> </w:t>
            </w:r>
            <w:r w:rsidR="005176E8" w:rsidRPr="00C04197">
              <w:rPr>
                <w:rFonts w:ascii="Verdana" w:hAnsi="Verdana"/>
                <w:b/>
                <w:bCs/>
                <w:sz w:val="20"/>
              </w:rPr>
              <w:t>2020</w:t>
            </w:r>
          </w:p>
        </w:tc>
      </w:tr>
    </w:tbl>
    <w:p w:rsidR="00F83179" w:rsidRPr="008F6DD2" w:rsidRDefault="00F83179" w:rsidP="00686EC2">
      <w:pPr>
        <w:spacing w:line="240" w:lineRule="auto"/>
        <w:rPr>
          <w:rFonts w:ascii="Verdana" w:hAnsi="Verdana"/>
          <w:sz w:val="28"/>
          <w:szCs w:val="28"/>
        </w:rPr>
      </w:pPr>
    </w:p>
    <w:p w:rsidR="00F83179" w:rsidRPr="00C04197" w:rsidRDefault="00F83179" w:rsidP="00686EC2">
      <w:pPr>
        <w:spacing w:line="240" w:lineRule="auto"/>
        <w:rPr>
          <w:rFonts w:ascii="Verdana" w:hAnsi="Verdana"/>
          <w:sz w:val="20"/>
        </w:rPr>
        <w:sectPr w:rsidR="00F83179" w:rsidRPr="00C04197" w:rsidSect="00837B82">
          <w:footerReference w:type="default" r:id="rId9"/>
          <w:pgSz w:w="11907" w:h="16839" w:code="9"/>
          <w:pgMar w:top="425" w:right="1418" w:bottom="1418" w:left="1418" w:header="709" w:footer="709" w:gutter="0"/>
          <w:cols w:space="720"/>
          <w:docGrid w:linePitch="299"/>
        </w:sectPr>
      </w:pPr>
    </w:p>
    <w:p w:rsidR="00F83179" w:rsidRPr="008F6DD2" w:rsidRDefault="00F83179" w:rsidP="00DD7FCA">
      <w:pPr>
        <w:spacing w:line="240" w:lineRule="auto"/>
        <w:rPr>
          <w:rFonts w:ascii="Verdana" w:hAnsi="Verdana"/>
          <w:bCs/>
          <w:sz w:val="28"/>
        </w:rPr>
      </w:pPr>
    </w:p>
    <w:p w:rsidR="00987A9D" w:rsidRDefault="00987A9D" w:rsidP="00DD7FCA">
      <w:pPr>
        <w:jc w:val="center"/>
        <w:rPr>
          <w:rFonts w:ascii="Verdana" w:hAnsi="Verdana"/>
          <w:b/>
          <w:bCs/>
          <w:color w:val="0070C0"/>
          <w:sz w:val="28"/>
          <w:szCs w:val="24"/>
        </w:rPr>
      </w:pPr>
      <w:r>
        <w:rPr>
          <w:rFonts w:ascii="Verdana" w:hAnsi="Verdana"/>
          <w:b/>
          <w:bCs/>
          <w:color w:val="0070C0"/>
          <w:sz w:val="28"/>
          <w:szCs w:val="24"/>
        </w:rPr>
        <w:t>Universal access to housing</w:t>
      </w:r>
      <w:r w:rsidR="00384FEF">
        <w:rPr>
          <w:rFonts w:ascii="Verdana" w:hAnsi="Verdana"/>
          <w:b/>
          <w:bCs/>
          <w:color w:val="0070C0"/>
          <w:sz w:val="28"/>
          <w:szCs w:val="24"/>
        </w:rPr>
        <w:t xml:space="preserve"> -</w:t>
      </w:r>
      <w:r>
        <w:rPr>
          <w:rFonts w:ascii="Verdana" w:hAnsi="Verdana"/>
          <w:b/>
          <w:bCs/>
          <w:color w:val="0070C0"/>
          <w:sz w:val="28"/>
          <w:szCs w:val="24"/>
        </w:rPr>
        <w:t xml:space="preserve"> </w:t>
      </w:r>
      <w:r w:rsidRPr="00987A9D">
        <w:rPr>
          <w:rFonts w:ascii="Verdana" w:hAnsi="Verdana"/>
          <w:b/>
          <w:bCs/>
          <w:color w:val="0070C0"/>
          <w:sz w:val="28"/>
          <w:szCs w:val="24"/>
        </w:rPr>
        <w:t xml:space="preserve">EESC president Luca Jahier </w:t>
      </w:r>
      <w:r>
        <w:rPr>
          <w:rFonts w:ascii="Verdana" w:hAnsi="Verdana"/>
          <w:b/>
          <w:bCs/>
          <w:color w:val="0070C0"/>
          <w:sz w:val="28"/>
          <w:szCs w:val="24"/>
        </w:rPr>
        <w:t xml:space="preserve">and </w:t>
      </w:r>
      <w:r w:rsidRPr="00987A9D">
        <w:rPr>
          <w:rFonts w:ascii="Verdana" w:hAnsi="Verdana"/>
          <w:b/>
          <w:bCs/>
          <w:color w:val="0070C0"/>
          <w:sz w:val="28"/>
          <w:szCs w:val="24"/>
        </w:rPr>
        <w:t>European Commissi</w:t>
      </w:r>
      <w:r>
        <w:rPr>
          <w:rFonts w:ascii="Verdana" w:hAnsi="Verdana"/>
          <w:b/>
          <w:bCs/>
          <w:color w:val="0070C0"/>
          <w:sz w:val="28"/>
          <w:szCs w:val="24"/>
        </w:rPr>
        <w:t xml:space="preserve">oner Nicolas </w:t>
      </w:r>
      <w:proofErr w:type="spellStart"/>
      <w:r>
        <w:rPr>
          <w:rFonts w:ascii="Verdana" w:hAnsi="Verdana"/>
          <w:b/>
          <w:bCs/>
          <w:color w:val="0070C0"/>
          <w:sz w:val="28"/>
          <w:szCs w:val="24"/>
        </w:rPr>
        <w:t>Schmit</w:t>
      </w:r>
      <w:proofErr w:type="spellEnd"/>
      <w:r>
        <w:rPr>
          <w:rFonts w:ascii="Verdana" w:hAnsi="Verdana"/>
          <w:b/>
          <w:bCs/>
          <w:color w:val="0070C0"/>
          <w:sz w:val="28"/>
          <w:szCs w:val="24"/>
        </w:rPr>
        <w:t xml:space="preserve"> warn: "We need to act now"</w:t>
      </w:r>
    </w:p>
    <w:p w:rsidR="00F83179" w:rsidRPr="00C04197" w:rsidRDefault="00F83179" w:rsidP="00DD7FCA">
      <w:pPr>
        <w:rPr>
          <w:rFonts w:ascii="Verdana" w:hAnsi="Verdana"/>
          <w:b/>
          <w:bCs/>
          <w:sz w:val="20"/>
        </w:rPr>
      </w:pPr>
    </w:p>
    <w:p w:rsidR="009D23A3" w:rsidRDefault="00597416" w:rsidP="00DD7FCA">
      <w:pPr>
        <w:rPr>
          <w:rFonts w:ascii="Verdana" w:hAnsi="Verdana"/>
          <w:b/>
          <w:bCs/>
          <w:sz w:val="20"/>
        </w:rPr>
      </w:pPr>
      <w:r w:rsidRPr="00C04197">
        <w:rPr>
          <w:rFonts w:ascii="Verdana" w:hAnsi="Verdana"/>
          <w:b/>
          <w:bCs/>
          <w:sz w:val="20"/>
        </w:rPr>
        <w:t xml:space="preserve">The </w:t>
      </w:r>
      <w:r w:rsidR="00AD7989" w:rsidRPr="00C04197">
        <w:rPr>
          <w:rFonts w:ascii="Verdana" w:hAnsi="Verdana"/>
          <w:b/>
          <w:bCs/>
          <w:sz w:val="20"/>
        </w:rPr>
        <w:t>European Economic and Social Committee (EESC</w:t>
      </w:r>
      <w:r w:rsidR="00AD7989">
        <w:rPr>
          <w:rFonts w:ascii="Verdana" w:hAnsi="Verdana"/>
          <w:b/>
          <w:bCs/>
          <w:sz w:val="20"/>
        </w:rPr>
        <w:t xml:space="preserve">) </w:t>
      </w:r>
      <w:r w:rsidR="007D191E">
        <w:rPr>
          <w:rFonts w:ascii="Verdana" w:hAnsi="Verdana"/>
          <w:b/>
          <w:bCs/>
          <w:sz w:val="20"/>
        </w:rPr>
        <w:t>sound</w:t>
      </w:r>
      <w:r w:rsidR="00B641F1" w:rsidRPr="00B641F1">
        <w:rPr>
          <w:rFonts w:ascii="Verdana" w:hAnsi="Verdana"/>
          <w:b/>
          <w:bCs/>
          <w:sz w:val="20"/>
        </w:rPr>
        <w:t xml:space="preserve">s the alarm and </w:t>
      </w:r>
      <w:r w:rsidR="00987A9D" w:rsidRPr="00987A9D">
        <w:rPr>
          <w:rFonts w:ascii="Verdana" w:hAnsi="Verdana"/>
          <w:b/>
          <w:bCs/>
          <w:sz w:val="20"/>
        </w:rPr>
        <w:t xml:space="preserve">calls for </w:t>
      </w:r>
      <w:r w:rsidR="00987A9D">
        <w:rPr>
          <w:rFonts w:ascii="Verdana" w:hAnsi="Verdana"/>
          <w:b/>
          <w:bCs/>
          <w:sz w:val="20"/>
        </w:rPr>
        <w:t xml:space="preserve">an </w:t>
      </w:r>
      <w:r w:rsidR="00987A9D" w:rsidRPr="00987A9D">
        <w:rPr>
          <w:rFonts w:ascii="Verdana" w:hAnsi="Verdana"/>
          <w:b/>
          <w:bCs/>
          <w:sz w:val="20"/>
        </w:rPr>
        <w:t>urgent European housing action plan</w:t>
      </w:r>
      <w:r w:rsidR="00987A9D">
        <w:rPr>
          <w:rFonts w:ascii="Verdana" w:hAnsi="Verdana"/>
          <w:b/>
          <w:bCs/>
          <w:sz w:val="20"/>
        </w:rPr>
        <w:t xml:space="preserve">, </w:t>
      </w:r>
      <w:r w:rsidR="009D23A3">
        <w:rPr>
          <w:rFonts w:ascii="Verdana" w:hAnsi="Verdana"/>
          <w:b/>
          <w:bCs/>
          <w:sz w:val="20"/>
        </w:rPr>
        <w:t>stress</w:t>
      </w:r>
      <w:r w:rsidR="00987A9D">
        <w:rPr>
          <w:rFonts w:ascii="Verdana" w:hAnsi="Verdana"/>
          <w:b/>
          <w:bCs/>
          <w:sz w:val="20"/>
        </w:rPr>
        <w:t>ing</w:t>
      </w:r>
      <w:r w:rsidR="009D23A3">
        <w:rPr>
          <w:rFonts w:ascii="Verdana" w:hAnsi="Verdana"/>
          <w:b/>
          <w:bCs/>
          <w:sz w:val="20"/>
        </w:rPr>
        <w:t xml:space="preserve"> that </w:t>
      </w:r>
      <w:r w:rsidR="00333922">
        <w:rPr>
          <w:rFonts w:ascii="Verdana" w:hAnsi="Verdana"/>
          <w:b/>
          <w:bCs/>
          <w:sz w:val="20"/>
        </w:rPr>
        <w:t>a</w:t>
      </w:r>
      <w:r w:rsidR="00E4730A">
        <w:rPr>
          <w:rFonts w:ascii="Verdana" w:hAnsi="Verdana"/>
          <w:b/>
          <w:bCs/>
          <w:sz w:val="20"/>
        </w:rPr>
        <w:t>n</w:t>
      </w:r>
      <w:r w:rsidR="00333922">
        <w:rPr>
          <w:rFonts w:ascii="Verdana" w:hAnsi="Verdana"/>
          <w:b/>
          <w:bCs/>
          <w:sz w:val="20"/>
        </w:rPr>
        <w:t xml:space="preserve"> EU strategy is essential to ensure </w:t>
      </w:r>
      <w:r w:rsidR="009D23A3" w:rsidRPr="009D23A3">
        <w:rPr>
          <w:rFonts w:ascii="Verdana" w:hAnsi="Verdana"/>
          <w:b/>
          <w:bCs/>
          <w:sz w:val="20"/>
        </w:rPr>
        <w:t>universal access to decent, sustainable and affordable</w:t>
      </w:r>
      <w:r w:rsidR="00AE58E7" w:rsidRPr="00AE58E7">
        <w:rPr>
          <w:rFonts w:ascii="Verdana" w:hAnsi="Verdana"/>
          <w:b/>
          <w:bCs/>
          <w:sz w:val="20"/>
        </w:rPr>
        <w:t xml:space="preserve"> </w:t>
      </w:r>
      <w:r w:rsidR="00AE58E7" w:rsidRPr="009D23A3">
        <w:rPr>
          <w:rFonts w:ascii="Verdana" w:hAnsi="Verdana"/>
          <w:b/>
          <w:bCs/>
          <w:sz w:val="20"/>
        </w:rPr>
        <w:t>housing</w:t>
      </w:r>
      <w:r w:rsidR="00076D75">
        <w:rPr>
          <w:rFonts w:ascii="Verdana" w:hAnsi="Verdana"/>
          <w:b/>
          <w:bCs/>
          <w:sz w:val="20"/>
        </w:rPr>
        <w:t xml:space="preserve"> in the future</w:t>
      </w:r>
      <w:r w:rsidR="00B641F1">
        <w:rPr>
          <w:rFonts w:ascii="Verdana" w:hAnsi="Verdana"/>
          <w:b/>
          <w:bCs/>
          <w:sz w:val="20"/>
        </w:rPr>
        <w:t>.</w:t>
      </w:r>
    </w:p>
    <w:p w:rsidR="009D23A3" w:rsidRPr="00537726" w:rsidRDefault="009D23A3" w:rsidP="009D23A3">
      <w:pPr>
        <w:rPr>
          <w:rFonts w:ascii="Verdana" w:hAnsi="Verdana"/>
          <w:sz w:val="18"/>
        </w:rPr>
      </w:pPr>
    </w:p>
    <w:p w:rsidR="00B641F1" w:rsidRDefault="00B641F1" w:rsidP="009D23A3">
      <w:pPr>
        <w:rPr>
          <w:rFonts w:ascii="Verdana" w:hAnsi="Verdana"/>
          <w:sz w:val="18"/>
        </w:rPr>
      </w:pPr>
      <w:r w:rsidRPr="00537726">
        <w:rPr>
          <w:rFonts w:ascii="Verdana" w:hAnsi="Verdana"/>
          <w:sz w:val="18"/>
        </w:rPr>
        <w:t xml:space="preserve">Decent and affordable housing is running short in the EU and, for this reason, a housing action plan at European level is needed. At the webinar held </w:t>
      </w:r>
      <w:r w:rsidR="00EA5942">
        <w:rPr>
          <w:rFonts w:ascii="Verdana" w:hAnsi="Verdana"/>
          <w:sz w:val="18"/>
        </w:rPr>
        <w:t>in Brussels</w:t>
      </w:r>
      <w:r w:rsidRPr="00537726">
        <w:rPr>
          <w:rFonts w:ascii="Verdana" w:hAnsi="Verdana"/>
          <w:sz w:val="18"/>
        </w:rPr>
        <w:t xml:space="preserve"> on 10 September 2020, </w:t>
      </w:r>
      <w:r w:rsidR="00EA5942">
        <w:rPr>
          <w:rFonts w:ascii="Verdana" w:hAnsi="Verdana"/>
          <w:sz w:val="18"/>
        </w:rPr>
        <w:t>the EESC</w:t>
      </w:r>
      <w:r w:rsidRPr="00537726">
        <w:rPr>
          <w:rFonts w:ascii="Verdana" w:hAnsi="Verdana"/>
          <w:sz w:val="18"/>
        </w:rPr>
        <w:t xml:space="preserve"> urged the EU to adopt a clear and comprehensive set of urgent measures to help Member States, regions and cities to sustainably boost the supply of social and affordable housing where it is lacking and to effectively combat homelessness.</w:t>
      </w:r>
    </w:p>
    <w:p w:rsidR="0067460F" w:rsidRPr="00537726" w:rsidRDefault="0067460F" w:rsidP="009D23A3">
      <w:pPr>
        <w:rPr>
          <w:rFonts w:ascii="Verdana" w:hAnsi="Verdana"/>
          <w:sz w:val="18"/>
        </w:rPr>
      </w:pPr>
    </w:p>
    <w:p w:rsidR="00B641F1" w:rsidRDefault="0067460F" w:rsidP="009D23A3">
      <w:pPr>
        <w:rPr>
          <w:rFonts w:ascii="Verdana" w:hAnsi="Verdana"/>
          <w:sz w:val="18"/>
        </w:rPr>
      </w:pPr>
      <w:r w:rsidRPr="00C04197">
        <w:rPr>
          <w:rFonts w:ascii="Verdana" w:hAnsi="Verdana"/>
          <w:sz w:val="18"/>
        </w:rPr>
        <w:t xml:space="preserve">EESC president </w:t>
      </w:r>
      <w:r w:rsidRPr="00C04197">
        <w:rPr>
          <w:rFonts w:ascii="Verdana" w:hAnsi="Verdana"/>
          <w:b/>
          <w:sz w:val="18"/>
        </w:rPr>
        <w:t>Luca</w:t>
      </w:r>
      <w:r>
        <w:rPr>
          <w:rFonts w:ascii="Verdana" w:hAnsi="Verdana"/>
          <w:b/>
          <w:sz w:val="18"/>
        </w:rPr>
        <w:t xml:space="preserve"> </w:t>
      </w:r>
      <w:r w:rsidRPr="00C04197">
        <w:rPr>
          <w:rFonts w:ascii="Verdana" w:hAnsi="Verdana"/>
          <w:b/>
          <w:sz w:val="18"/>
        </w:rPr>
        <w:t>Jahier</w:t>
      </w:r>
      <w:r>
        <w:rPr>
          <w:rFonts w:ascii="Verdana" w:hAnsi="Verdana"/>
          <w:sz w:val="18"/>
        </w:rPr>
        <w:t xml:space="preserve"> said: "</w:t>
      </w:r>
      <w:r w:rsidRPr="00537726">
        <w:rPr>
          <w:rFonts w:ascii="Verdana" w:hAnsi="Verdana"/>
          <w:sz w:val="18"/>
        </w:rPr>
        <w:t>Since all the countless initiatives, aid and investments for the benefit of the residential housing sector at Community, national, regional and local level fail to resolve this structural crisis, the EESC is p</w:t>
      </w:r>
      <w:r w:rsidR="006C0564">
        <w:rPr>
          <w:rFonts w:ascii="Verdana" w:hAnsi="Verdana"/>
          <w:sz w:val="18"/>
        </w:rPr>
        <w:t>roposing</w:t>
      </w:r>
      <w:r w:rsidRPr="00537726">
        <w:rPr>
          <w:rFonts w:ascii="Verdana" w:hAnsi="Verdana"/>
          <w:sz w:val="18"/>
        </w:rPr>
        <w:t xml:space="preserve"> a European action plan for decent and affordable housing in the framework o</w:t>
      </w:r>
      <w:r>
        <w:rPr>
          <w:rFonts w:ascii="Verdana" w:hAnsi="Verdana"/>
          <w:sz w:val="18"/>
        </w:rPr>
        <w:t>f</w:t>
      </w:r>
      <w:r w:rsidRPr="00537726">
        <w:rPr>
          <w:rFonts w:ascii="Verdana" w:hAnsi="Verdana"/>
          <w:sz w:val="18"/>
        </w:rPr>
        <w:t xml:space="preserve"> the implementation of the 19</w:t>
      </w:r>
      <w:r w:rsidR="00384FEF">
        <w:rPr>
          <w:rFonts w:ascii="Verdana" w:hAnsi="Verdana"/>
          <w:sz w:val="18"/>
        </w:rPr>
        <w:t>th</w:t>
      </w:r>
      <w:r w:rsidRPr="00537726">
        <w:rPr>
          <w:rFonts w:ascii="Verdana" w:hAnsi="Verdana"/>
          <w:sz w:val="18"/>
        </w:rPr>
        <w:t xml:space="preserve"> principle of the European Pillar of Social Rights and the future </w:t>
      </w:r>
      <w:r w:rsidRPr="00C04839">
        <w:rPr>
          <w:rFonts w:ascii="Verdana" w:hAnsi="Verdana"/>
          <w:sz w:val="18"/>
        </w:rPr>
        <w:t>"building" plan</w:t>
      </w:r>
      <w:r w:rsidRPr="00537726">
        <w:rPr>
          <w:rFonts w:ascii="Verdana" w:hAnsi="Verdana"/>
          <w:sz w:val="18"/>
        </w:rPr>
        <w:t xml:space="preserve"> of the Green Deal.</w:t>
      </w:r>
      <w:r>
        <w:rPr>
          <w:rFonts w:ascii="Verdana" w:hAnsi="Verdana"/>
          <w:sz w:val="18"/>
        </w:rPr>
        <w:t xml:space="preserve"> </w:t>
      </w:r>
      <w:r w:rsidRPr="00537726">
        <w:rPr>
          <w:rFonts w:ascii="Verdana" w:hAnsi="Verdana"/>
          <w:sz w:val="18"/>
        </w:rPr>
        <w:t>Th</w:t>
      </w:r>
      <w:r>
        <w:rPr>
          <w:rFonts w:ascii="Verdana" w:hAnsi="Verdana"/>
          <w:sz w:val="18"/>
        </w:rPr>
        <w:t>is</w:t>
      </w:r>
      <w:r w:rsidRPr="00537726">
        <w:rPr>
          <w:rFonts w:ascii="Verdana" w:hAnsi="Verdana"/>
          <w:sz w:val="18"/>
        </w:rPr>
        <w:t xml:space="preserve"> plan should </w:t>
      </w:r>
      <w:r w:rsidR="00447A5C">
        <w:rPr>
          <w:rFonts w:ascii="Verdana" w:hAnsi="Verdana"/>
          <w:sz w:val="18"/>
        </w:rPr>
        <w:t>include a</w:t>
      </w:r>
      <w:r w:rsidRPr="00537726">
        <w:rPr>
          <w:rFonts w:ascii="Verdana" w:hAnsi="Verdana"/>
          <w:sz w:val="18"/>
        </w:rPr>
        <w:t xml:space="preserve"> set of </w:t>
      </w:r>
      <w:r w:rsidR="00447A5C">
        <w:rPr>
          <w:rFonts w:ascii="Verdana" w:hAnsi="Verdana"/>
          <w:sz w:val="18"/>
        </w:rPr>
        <w:t xml:space="preserve">strategic </w:t>
      </w:r>
      <w:r w:rsidRPr="00537726">
        <w:rPr>
          <w:rFonts w:ascii="Verdana" w:hAnsi="Verdana"/>
          <w:sz w:val="18"/>
        </w:rPr>
        <w:t xml:space="preserve">measures helping Member States, regions and European cities to relaunch the supply of decent and affordable housing in a sustainable way, while strengthening their </w:t>
      </w:r>
      <w:r w:rsidRPr="00C04839">
        <w:rPr>
          <w:rFonts w:ascii="Verdana" w:hAnsi="Verdana"/>
          <w:sz w:val="18"/>
        </w:rPr>
        <w:t>health</w:t>
      </w:r>
      <w:r w:rsidRPr="00537726">
        <w:rPr>
          <w:rFonts w:ascii="Verdana" w:hAnsi="Verdana"/>
          <w:sz w:val="18"/>
        </w:rPr>
        <w:t xml:space="preserve"> and energy performance.</w:t>
      </w:r>
      <w:r>
        <w:rPr>
          <w:rFonts w:ascii="Verdana" w:hAnsi="Verdana"/>
          <w:sz w:val="18"/>
        </w:rPr>
        <w:t>"</w:t>
      </w:r>
    </w:p>
    <w:p w:rsidR="0067460F" w:rsidRDefault="0067460F" w:rsidP="009D23A3">
      <w:pPr>
        <w:rPr>
          <w:rFonts w:ascii="Verdana" w:hAnsi="Verdana"/>
          <w:sz w:val="18"/>
        </w:rPr>
      </w:pPr>
    </w:p>
    <w:p w:rsidR="00333922" w:rsidRPr="00447A5C" w:rsidRDefault="0067460F" w:rsidP="009D23A3">
      <w:pPr>
        <w:rPr>
          <w:rFonts w:ascii="Verdana" w:hAnsi="Verdana"/>
          <w:sz w:val="18"/>
        </w:rPr>
      </w:pPr>
      <w:r>
        <w:rPr>
          <w:rFonts w:ascii="Verdana" w:hAnsi="Verdana"/>
          <w:sz w:val="18"/>
        </w:rPr>
        <w:t>Speaking in the debate,</w:t>
      </w:r>
      <w:r w:rsidR="00C04839">
        <w:rPr>
          <w:rFonts w:ascii="Verdana" w:hAnsi="Verdana"/>
          <w:sz w:val="18"/>
        </w:rPr>
        <w:t xml:space="preserve"> </w:t>
      </w:r>
      <w:r w:rsidR="00C04839">
        <w:rPr>
          <w:rFonts w:ascii="Verdana" w:hAnsi="Verdana"/>
          <w:color w:val="000000"/>
          <w:sz w:val="18"/>
          <w:szCs w:val="18"/>
        </w:rPr>
        <w:t xml:space="preserve">European Commissioner for Jobs and Social Rights, </w:t>
      </w:r>
      <w:r w:rsidR="00C04839">
        <w:rPr>
          <w:rFonts w:ascii="Verdana" w:hAnsi="Verdana"/>
          <w:b/>
          <w:bCs/>
          <w:color w:val="000000"/>
          <w:sz w:val="18"/>
          <w:szCs w:val="18"/>
        </w:rPr>
        <w:t xml:space="preserve">Nicolas </w:t>
      </w:r>
      <w:proofErr w:type="spellStart"/>
      <w:r w:rsidR="00C04839">
        <w:rPr>
          <w:rFonts w:ascii="Verdana" w:hAnsi="Verdana"/>
          <w:b/>
          <w:bCs/>
          <w:color w:val="000000"/>
          <w:sz w:val="18"/>
          <w:szCs w:val="18"/>
        </w:rPr>
        <w:t>Schmit</w:t>
      </w:r>
      <w:proofErr w:type="spellEnd"/>
      <w:r w:rsidR="00C04839">
        <w:rPr>
          <w:rFonts w:ascii="Verdana" w:hAnsi="Verdana"/>
          <w:color w:val="000000"/>
          <w:sz w:val="18"/>
          <w:szCs w:val="18"/>
        </w:rPr>
        <w:t>,</w:t>
      </w:r>
      <w:r w:rsidR="00C04839">
        <w:rPr>
          <w:rFonts w:ascii="Verdana" w:hAnsi="Verdana"/>
          <w:sz w:val="18"/>
        </w:rPr>
        <w:t xml:space="preserve"> </w:t>
      </w:r>
      <w:r>
        <w:rPr>
          <w:rFonts w:ascii="Verdana" w:hAnsi="Verdana"/>
          <w:sz w:val="18"/>
        </w:rPr>
        <w:t>echoed his words and added</w:t>
      </w:r>
      <w:r w:rsidR="00B641F1">
        <w:rPr>
          <w:rFonts w:ascii="Verdana" w:hAnsi="Verdana"/>
          <w:sz w:val="18"/>
        </w:rPr>
        <w:t>:</w:t>
      </w:r>
      <w:r w:rsidR="00ED7C07">
        <w:rPr>
          <w:rFonts w:ascii="Verdana" w:hAnsi="Verdana"/>
          <w:sz w:val="18"/>
        </w:rPr>
        <w:t xml:space="preserve"> </w:t>
      </w:r>
      <w:r w:rsidR="00C04839">
        <w:rPr>
          <w:rFonts w:ascii="Verdana" w:hAnsi="Verdana"/>
          <w:sz w:val="18"/>
        </w:rPr>
        <w:t>"</w:t>
      </w:r>
      <w:r w:rsidR="00C04839" w:rsidRPr="00C04839">
        <w:rPr>
          <w:rFonts w:ascii="Verdana" w:hAnsi="Verdana"/>
          <w:sz w:val="18"/>
        </w:rPr>
        <w:t>Access to decent housing remains a major challenge for many people in the EU. It is linked with many social issues such as exclusion, poverty and precarious forms of work. In the face of the current crisis, things will become much worse if we do not act. If we can provide affordable, decent housing in the EU, we will ease the suffering of many.</w:t>
      </w:r>
      <w:r w:rsidR="00C04839">
        <w:rPr>
          <w:rFonts w:ascii="Verdana" w:hAnsi="Verdana"/>
          <w:sz w:val="18"/>
        </w:rPr>
        <w:t>"</w:t>
      </w:r>
    </w:p>
    <w:p w:rsidR="00537726" w:rsidRDefault="00537726" w:rsidP="009D23A3">
      <w:pPr>
        <w:rPr>
          <w:rFonts w:ascii="Verdana" w:hAnsi="Verdana"/>
          <w:sz w:val="18"/>
        </w:rPr>
      </w:pPr>
    </w:p>
    <w:p w:rsidR="00C14817" w:rsidRPr="00447A5C" w:rsidRDefault="00C14817" w:rsidP="00C14817">
      <w:pPr>
        <w:rPr>
          <w:rFonts w:ascii="Verdana" w:hAnsi="Verdana"/>
          <w:sz w:val="18"/>
        </w:rPr>
      </w:pPr>
      <w:r w:rsidRPr="00447A5C">
        <w:rPr>
          <w:rFonts w:ascii="Verdana" w:hAnsi="Verdana"/>
          <w:sz w:val="18"/>
        </w:rPr>
        <w:t>Housing shortages and rising housing costs in metropolitan and</w:t>
      </w:r>
      <w:r w:rsidR="00447A5C">
        <w:rPr>
          <w:rFonts w:ascii="Verdana" w:hAnsi="Verdana"/>
          <w:sz w:val="18"/>
        </w:rPr>
        <w:t xml:space="preserve"> </w:t>
      </w:r>
      <w:proofErr w:type="spellStart"/>
      <w:r w:rsidRPr="00447A5C">
        <w:rPr>
          <w:rFonts w:ascii="Verdana" w:hAnsi="Verdana"/>
          <w:sz w:val="18"/>
        </w:rPr>
        <w:t>peri</w:t>
      </w:r>
      <w:proofErr w:type="spellEnd"/>
      <w:r w:rsidRPr="00447A5C">
        <w:rPr>
          <w:rFonts w:ascii="Verdana" w:hAnsi="Verdana"/>
          <w:sz w:val="18"/>
        </w:rPr>
        <w:t>-urban</w:t>
      </w:r>
      <w:r w:rsidR="00447A5C">
        <w:rPr>
          <w:rFonts w:ascii="Verdana" w:hAnsi="Verdana"/>
          <w:sz w:val="18"/>
        </w:rPr>
        <w:t xml:space="preserve"> </w:t>
      </w:r>
      <w:r w:rsidRPr="00447A5C">
        <w:rPr>
          <w:rFonts w:ascii="Verdana" w:hAnsi="Verdana"/>
          <w:sz w:val="18"/>
        </w:rPr>
        <w:t>areas have led to a rise in housing exclusion, homelessness, and poor-quality housing that is now affecting young people, single-parent and large families, workers and the middle classes more broadly, who are being driven out of major European cities by excessive housing costs and forced to relocate to rural areas. This in turn is leading to an increase in the cost of housing in rural areas, and to social segregation, the emergence of exclusively residential areas (dormitory towns), increased mobility, changes in the landscape, land</w:t>
      </w:r>
      <w:r w:rsidR="00384FEF">
        <w:rPr>
          <w:rFonts w:ascii="Verdana" w:hAnsi="Verdana"/>
          <w:sz w:val="18"/>
        </w:rPr>
        <w:t>-</w:t>
      </w:r>
      <w:r w:rsidRPr="00447A5C">
        <w:rPr>
          <w:rFonts w:ascii="Verdana" w:hAnsi="Verdana"/>
          <w:sz w:val="18"/>
        </w:rPr>
        <w:t xml:space="preserve">take, and an increase in infrastructure and costs for the community. </w:t>
      </w:r>
    </w:p>
    <w:p w:rsidR="00C14817" w:rsidRPr="00447A5C" w:rsidRDefault="00C14817" w:rsidP="00C14817">
      <w:pPr>
        <w:rPr>
          <w:rFonts w:ascii="Verdana" w:hAnsi="Verdana"/>
          <w:sz w:val="18"/>
        </w:rPr>
      </w:pPr>
    </w:p>
    <w:p w:rsidR="00C14817" w:rsidRPr="00537726" w:rsidRDefault="00C14817" w:rsidP="00C14817">
      <w:pPr>
        <w:rPr>
          <w:rFonts w:ascii="Verdana" w:hAnsi="Verdana"/>
          <w:sz w:val="18"/>
        </w:rPr>
      </w:pPr>
      <w:r w:rsidRPr="00447A5C">
        <w:rPr>
          <w:rFonts w:ascii="Verdana" w:hAnsi="Verdana"/>
          <w:sz w:val="18"/>
        </w:rPr>
        <w:t xml:space="preserve">There is a risk of serious new consequences in the residential housing sector in the wake of the health crisis. Support for households and investment in social or low-cost housing by public authorities and bodies may be subject to substantial reductions as a result of the economic and social costs involved in fighting the consequences of the pandemic. The number of households that will no longer have </w:t>
      </w:r>
      <w:r w:rsidRPr="00447A5C">
        <w:rPr>
          <w:rFonts w:ascii="Verdana" w:hAnsi="Verdana"/>
          <w:sz w:val="18"/>
        </w:rPr>
        <w:lastRenderedPageBreak/>
        <w:t xml:space="preserve">the income needed to obtain decent housing on the property market will increase in proportion with </w:t>
      </w:r>
      <w:r w:rsidR="009649BC">
        <w:rPr>
          <w:rFonts w:ascii="Verdana" w:hAnsi="Verdana"/>
          <w:sz w:val="18"/>
        </w:rPr>
        <w:t>rising</w:t>
      </w:r>
      <w:r w:rsidRPr="00447A5C">
        <w:rPr>
          <w:rFonts w:ascii="Verdana" w:hAnsi="Verdana"/>
          <w:sz w:val="18"/>
        </w:rPr>
        <w:t xml:space="preserve"> unemployment and precarious employment.</w:t>
      </w:r>
    </w:p>
    <w:p w:rsidR="00C14817" w:rsidRDefault="00C14817" w:rsidP="009D23A3">
      <w:pPr>
        <w:rPr>
          <w:rFonts w:ascii="Verdana" w:hAnsi="Verdana"/>
          <w:sz w:val="18"/>
        </w:rPr>
      </w:pPr>
    </w:p>
    <w:p w:rsidR="00537726" w:rsidRDefault="0067460F" w:rsidP="00537726">
      <w:pPr>
        <w:rPr>
          <w:rFonts w:ascii="Verdana" w:hAnsi="Verdana"/>
          <w:sz w:val="18"/>
        </w:rPr>
      </w:pPr>
      <w:r>
        <w:rPr>
          <w:rFonts w:ascii="Verdana" w:hAnsi="Verdana"/>
          <w:sz w:val="18"/>
        </w:rPr>
        <w:t>Against this backdrop</w:t>
      </w:r>
      <w:r w:rsidR="00C14817">
        <w:rPr>
          <w:rFonts w:ascii="Verdana" w:hAnsi="Verdana"/>
          <w:sz w:val="18"/>
        </w:rPr>
        <w:t xml:space="preserve">, </w:t>
      </w:r>
      <w:r w:rsidR="00537726" w:rsidRPr="0059766F">
        <w:rPr>
          <w:rFonts w:ascii="Verdana" w:hAnsi="Verdana" w:cs="Arial"/>
          <w:b/>
          <w:bCs/>
          <w:color w:val="000000" w:themeColor="text1"/>
          <w:sz w:val="18"/>
          <w:szCs w:val="18"/>
          <w:lang w:eastAsia="fr-FR"/>
        </w:rPr>
        <w:t>Pierre Jean Coulon</w:t>
      </w:r>
      <w:r w:rsidR="00537726" w:rsidRPr="0059766F">
        <w:rPr>
          <w:rFonts w:ascii="Verdana" w:hAnsi="Verdana" w:cs="Arial"/>
          <w:bCs/>
          <w:color w:val="000000" w:themeColor="text1"/>
          <w:sz w:val="18"/>
          <w:szCs w:val="18"/>
          <w:lang w:eastAsia="fr-FR"/>
        </w:rPr>
        <w:t xml:space="preserve">, </w:t>
      </w:r>
      <w:r w:rsidR="00537726">
        <w:rPr>
          <w:rFonts w:ascii="Verdana" w:hAnsi="Verdana" w:cs="Arial"/>
          <w:bCs/>
          <w:color w:val="000000" w:themeColor="text1"/>
          <w:sz w:val="18"/>
          <w:szCs w:val="18"/>
          <w:lang w:eastAsia="fr-FR"/>
        </w:rPr>
        <w:t>p</w:t>
      </w:r>
      <w:r w:rsidR="00537726" w:rsidRPr="0059766F">
        <w:rPr>
          <w:rFonts w:ascii="Verdana" w:hAnsi="Verdana" w:cs="Arial"/>
          <w:bCs/>
          <w:color w:val="000000" w:themeColor="text1"/>
          <w:sz w:val="18"/>
          <w:szCs w:val="18"/>
          <w:lang w:eastAsia="fr-FR"/>
        </w:rPr>
        <w:t xml:space="preserve">resident of the </w:t>
      </w:r>
      <w:r w:rsidR="00537726">
        <w:rPr>
          <w:rFonts w:ascii="Verdana" w:hAnsi="Verdana" w:cs="Arial"/>
          <w:bCs/>
          <w:color w:val="000000" w:themeColor="text1"/>
          <w:sz w:val="18"/>
          <w:szCs w:val="18"/>
          <w:lang w:eastAsia="fr-FR"/>
        </w:rPr>
        <w:t>EESC S</w:t>
      </w:r>
      <w:r w:rsidR="00537726" w:rsidRPr="0059766F">
        <w:rPr>
          <w:rFonts w:ascii="Verdana" w:hAnsi="Verdana" w:cs="Arial"/>
          <w:bCs/>
          <w:color w:val="000000" w:themeColor="text1"/>
          <w:sz w:val="18"/>
          <w:szCs w:val="18"/>
          <w:lang w:eastAsia="fr-FR"/>
        </w:rPr>
        <w:t>ection for Transport, Energy, Infrastructure and the Informat</w:t>
      </w:r>
      <w:r w:rsidR="00537726">
        <w:rPr>
          <w:rFonts w:ascii="Verdana" w:hAnsi="Verdana" w:cs="Arial"/>
          <w:bCs/>
          <w:color w:val="000000" w:themeColor="text1"/>
          <w:sz w:val="18"/>
          <w:szCs w:val="18"/>
          <w:lang w:eastAsia="fr-FR"/>
        </w:rPr>
        <w:t>ion Society (TEN), underlined that "</w:t>
      </w:r>
      <w:r w:rsidR="00537726" w:rsidRPr="00537726">
        <w:rPr>
          <w:rFonts w:ascii="Verdana" w:hAnsi="Verdana"/>
          <w:sz w:val="18"/>
        </w:rPr>
        <w:t xml:space="preserve">Although housing policy remains the competence of the Member States, </w:t>
      </w:r>
      <w:r w:rsidR="00D60D08">
        <w:rPr>
          <w:rFonts w:ascii="Verdana" w:hAnsi="Verdana"/>
          <w:sz w:val="18"/>
        </w:rPr>
        <w:t>w</w:t>
      </w:r>
      <w:r w:rsidR="00537726">
        <w:rPr>
          <w:rFonts w:ascii="Verdana" w:hAnsi="Verdana"/>
          <w:sz w:val="18"/>
        </w:rPr>
        <w:t>e need to join forces and</w:t>
      </w:r>
      <w:r w:rsidR="00537726" w:rsidRPr="00537726">
        <w:rPr>
          <w:rFonts w:ascii="Verdana" w:hAnsi="Verdana"/>
          <w:sz w:val="18"/>
        </w:rPr>
        <w:t xml:space="preserve"> to sustainably boost the supply of social and affordable housing where it is lacking, in terms of either quantity or quality, and to effectively combat homelessness"</w:t>
      </w:r>
      <w:r w:rsidR="00537726">
        <w:rPr>
          <w:rFonts w:ascii="Verdana" w:hAnsi="Verdana"/>
          <w:sz w:val="18"/>
        </w:rPr>
        <w:t>.</w:t>
      </w:r>
    </w:p>
    <w:p w:rsidR="00C14817" w:rsidRDefault="00C14817" w:rsidP="00537726">
      <w:pPr>
        <w:rPr>
          <w:rFonts w:ascii="Verdana" w:hAnsi="Verdana"/>
          <w:sz w:val="18"/>
        </w:rPr>
      </w:pPr>
    </w:p>
    <w:p w:rsidR="00537726" w:rsidRDefault="00C14817" w:rsidP="00537726">
      <w:pPr>
        <w:rPr>
          <w:rFonts w:ascii="Verdana" w:hAnsi="Verdana"/>
          <w:sz w:val="18"/>
        </w:rPr>
      </w:pPr>
      <w:r>
        <w:rPr>
          <w:rFonts w:ascii="Verdana" w:hAnsi="Verdana"/>
          <w:sz w:val="18"/>
        </w:rPr>
        <w:t>On the same wavelength was</w:t>
      </w:r>
      <w:r w:rsidR="0067460F" w:rsidRPr="0067460F">
        <w:rPr>
          <w:rFonts w:ascii="Verdana" w:hAnsi="Verdana" w:cs="Arial"/>
          <w:b/>
          <w:bCs/>
          <w:color w:val="000000" w:themeColor="text1"/>
          <w:sz w:val="18"/>
          <w:szCs w:val="18"/>
          <w:lang w:eastAsia="fr-FR"/>
        </w:rPr>
        <w:t xml:space="preserve"> </w:t>
      </w:r>
      <w:r w:rsidR="0067460F" w:rsidRPr="001D6508">
        <w:rPr>
          <w:rFonts w:ascii="Verdana" w:hAnsi="Verdana" w:cs="Arial"/>
          <w:b/>
          <w:bCs/>
          <w:color w:val="000000" w:themeColor="text1"/>
          <w:sz w:val="18"/>
          <w:szCs w:val="18"/>
          <w:lang w:eastAsia="fr-FR"/>
        </w:rPr>
        <w:t xml:space="preserve">Raymond </w:t>
      </w:r>
      <w:proofErr w:type="spellStart"/>
      <w:r w:rsidR="0067460F" w:rsidRPr="001D6508">
        <w:rPr>
          <w:rFonts w:ascii="Verdana" w:hAnsi="Verdana" w:cs="Arial"/>
          <w:b/>
          <w:bCs/>
          <w:color w:val="000000" w:themeColor="text1"/>
          <w:sz w:val="18"/>
          <w:szCs w:val="18"/>
          <w:lang w:eastAsia="fr-FR"/>
        </w:rPr>
        <w:t>Hencks</w:t>
      </w:r>
      <w:proofErr w:type="spellEnd"/>
      <w:r w:rsidR="0067460F" w:rsidRPr="001D6508">
        <w:rPr>
          <w:rFonts w:ascii="Verdana" w:hAnsi="Verdana" w:cs="Arial"/>
          <w:bCs/>
          <w:color w:val="000000" w:themeColor="text1"/>
          <w:sz w:val="18"/>
          <w:szCs w:val="18"/>
          <w:lang w:eastAsia="fr-FR"/>
        </w:rPr>
        <w:t xml:space="preserve">, </w:t>
      </w:r>
      <w:r w:rsidR="0067460F">
        <w:rPr>
          <w:rFonts w:ascii="Verdana" w:hAnsi="Verdana" w:cs="Arial"/>
          <w:bCs/>
          <w:color w:val="000000" w:themeColor="text1"/>
          <w:sz w:val="18"/>
          <w:szCs w:val="18"/>
          <w:lang w:eastAsia="fr-FR"/>
        </w:rPr>
        <w:t>p</w:t>
      </w:r>
      <w:r w:rsidR="0067460F" w:rsidRPr="001D6508">
        <w:rPr>
          <w:rFonts w:ascii="Verdana" w:hAnsi="Verdana" w:cs="Arial"/>
          <w:bCs/>
          <w:color w:val="000000" w:themeColor="text1"/>
          <w:sz w:val="18"/>
          <w:szCs w:val="18"/>
          <w:lang w:eastAsia="fr-FR"/>
        </w:rPr>
        <w:t xml:space="preserve">resident of the </w:t>
      </w:r>
      <w:r w:rsidR="0067460F">
        <w:rPr>
          <w:rFonts w:ascii="Verdana" w:hAnsi="Verdana" w:cs="Arial"/>
          <w:bCs/>
          <w:color w:val="000000" w:themeColor="text1"/>
          <w:sz w:val="18"/>
          <w:szCs w:val="18"/>
          <w:lang w:eastAsia="fr-FR"/>
        </w:rPr>
        <w:t xml:space="preserve">EESC </w:t>
      </w:r>
      <w:r w:rsidR="0067460F" w:rsidRPr="001D6508">
        <w:rPr>
          <w:rFonts w:ascii="Verdana" w:hAnsi="Verdana" w:cs="Arial"/>
          <w:bCs/>
          <w:color w:val="000000" w:themeColor="text1"/>
          <w:sz w:val="18"/>
          <w:szCs w:val="18"/>
          <w:lang w:eastAsia="fr-FR"/>
        </w:rPr>
        <w:t>Temporary Study Group on Services of General Interest</w:t>
      </w:r>
      <w:r w:rsidR="0067460F">
        <w:rPr>
          <w:rFonts w:ascii="Verdana" w:hAnsi="Verdana" w:cs="Arial"/>
          <w:bCs/>
          <w:color w:val="000000" w:themeColor="text1"/>
          <w:sz w:val="18"/>
          <w:szCs w:val="18"/>
          <w:lang w:eastAsia="fr-FR"/>
        </w:rPr>
        <w:t>, who present</w:t>
      </w:r>
      <w:r w:rsidR="00543FB3">
        <w:rPr>
          <w:rFonts w:ascii="Verdana" w:hAnsi="Verdana" w:cs="Arial"/>
          <w:bCs/>
          <w:color w:val="000000" w:themeColor="text1"/>
          <w:sz w:val="18"/>
          <w:szCs w:val="18"/>
          <w:lang w:eastAsia="fr-FR"/>
        </w:rPr>
        <w:t>ed</w:t>
      </w:r>
      <w:r w:rsidR="005C64A3">
        <w:rPr>
          <w:rFonts w:ascii="Verdana" w:hAnsi="Verdana" w:cs="Arial"/>
          <w:bCs/>
          <w:color w:val="000000" w:themeColor="text1"/>
          <w:sz w:val="18"/>
          <w:szCs w:val="18"/>
          <w:lang w:eastAsia="fr-FR"/>
        </w:rPr>
        <w:t xml:space="preserve"> </w:t>
      </w:r>
      <w:r w:rsidR="005C64A3" w:rsidRPr="006E5346">
        <w:rPr>
          <w:rFonts w:ascii="Verdana" w:hAnsi="Verdana"/>
          <w:sz w:val="18"/>
        </w:rPr>
        <w:t xml:space="preserve">the EESC opinion </w:t>
      </w:r>
      <w:r w:rsidR="0067460F">
        <w:rPr>
          <w:rFonts w:ascii="Verdana" w:hAnsi="Verdana"/>
          <w:sz w:val="18"/>
        </w:rPr>
        <w:t xml:space="preserve">that is currently </w:t>
      </w:r>
      <w:r w:rsidR="00543FB3">
        <w:rPr>
          <w:rFonts w:ascii="Verdana" w:hAnsi="Verdana"/>
          <w:sz w:val="18"/>
        </w:rPr>
        <w:t xml:space="preserve">being </w:t>
      </w:r>
      <w:r w:rsidR="0067460F">
        <w:rPr>
          <w:rFonts w:ascii="Verdana" w:hAnsi="Verdana"/>
          <w:sz w:val="18"/>
        </w:rPr>
        <w:t>draft</w:t>
      </w:r>
      <w:r w:rsidR="00543FB3">
        <w:rPr>
          <w:rFonts w:ascii="Verdana" w:hAnsi="Verdana"/>
          <w:sz w:val="18"/>
        </w:rPr>
        <w:t>ed</w:t>
      </w:r>
      <w:r w:rsidR="00537726">
        <w:rPr>
          <w:rFonts w:ascii="Verdana" w:hAnsi="Verdana" w:cs="Arial"/>
          <w:bCs/>
          <w:color w:val="000000" w:themeColor="text1"/>
          <w:sz w:val="18"/>
          <w:szCs w:val="18"/>
          <w:lang w:eastAsia="fr-FR"/>
        </w:rPr>
        <w:t xml:space="preserve"> </w:t>
      </w:r>
      <w:r w:rsidR="00543FB3">
        <w:rPr>
          <w:rFonts w:ascii="Verdana" w:hAnsi="Verdana"/>
          <w:sz w:val="18"/>
          <w:szCs w:val="18"/>
        </w:rPr>
        <w:t xml:space="preserve">on </w:t>
      </w:r>
      <w:r w:rsidR="00543FB3" w:rsidRPr="00BE43F4">
        <w:rPr>
          <w:rFonts w:ascii="Verdana" w:hAnsi="Verdana"/>
          <w:i/>
          <w:sz w:val="18"/>
          <w:szCs w:val="18"/>
        </w:rPr>
        <w:t>Universal access to housing that is decent, sustainable and affordable over the long term</w:t>
      </w:r>
      <w:r w:rsidR="00543FB3">
        <w:rPr>
          <w:rFonts w:ascii="Verdana" w:hAnsi="Verdana"/>
          <w:sz w:val="18"/>
          <w:szCs w:val="18"/>
        </w:rPr>
        <w:t xml:space="preserve"> and is due to be adopted at next week's EESC plenary session. Mentioning the important role of civil society, h</w:t>
      </w:r>
      <w:r w:rsidR="00543FB3">
        <w:rPr>
          <w:rFonts w:ascii="Verdana" w:hAnsi="Verdana" w:cs="Arial"/>
          <w:bCs/>
          <w:color w:val="000000" w:themeColor="text1"/>
          <w:sz w:val="18"/>
          <w:szCs w:val="18"/>
          <w:lang w:eastAsia="fr-FR"/>
        </w:rPr>
        <w:t xml:space="preserve">e </w:t>
      </w:r>
      <w:r w:rsidR="00537726">
        <w:rPr>
          <w:rFonts w:ascii="Verdana" w:hAnsi="Verdana"/>
          <w:sz w:val="18"/>
        </w:rPr>
        <w:t>said: "</w:t>
      </w:r>
      <w:r w:rsidR="00537726" w:rsidRPr="00537726">
        <w:rPr>
          <w:rFonts w:ascii="Verdana" w:hAnsi="Verdana"/>
          <w:sz w:val="18"/>
        </w:rPr>
        <w:t xml:space="preserve">All civil society </w:t>
      </w:r>
      <w:r w:rsidR="00543FB3">
        <w:rPr>
          <w:rFonts w:ascii="Verdana" w:hAnsi="Verdana"/>
          <w:sz w:val="18"/>
        </w:rPr>
        <w:t xml:space="preserve">organisations </w:t>
      </w:r>
      <w:r w:rsidR="0067460F">
        <w:rPr>
          <w:rFonts w:ascii="Verdana" w:hAnsi="Verdana"/>
          <w:sz w:val="18"/>
        </w:rPr>
        <w:t>agree that there is</w:t>
      </w:r>
      <w:r w:rsidR="00537726" w:rsidRPr="00537726">
        <w:rPr>
          <w:rFonts w:ascii="Verdana" w:hAnsi="Verdana"/>
          <w:sz w:val="18"/>
        </w:rPr>
        <w:t xml:space="preserve"> a structural crisis in affordable housing in the European Union </w:t>
      </w:r>
      <w:r w:rsidR="0067460F">
        <w:rPr>
          <w:rFonts w:ascii="Verdana" w:hAnsi="Verdana"/>
          <w:sz w:val="18"/>
        </w:rPr>
        <w:t xml:space="preserve">from </w:t>
      </w:r>
      <w:r w:rsidR="00543FB3">
        <w:rPr>
          <w:rFonts w:ascii="Verdana" w:hAnsi="Verdana"/>
          <w:sz w:val="18"/>
        </w:rPr>
        <w:t>a</w:t>
      </w:r>
      <w:r w:rsidR="00537726" w:rsidRPr="00537726">
        <w:rPr>
          <w:rFonts w:ascii="Verdana" w:hAnsi="Verdana"/>
          <w:sz w:val="18"/>
        </w:rPr>
        <w:t xml:space="preserve"> social, economic, </w:t>
      </w:r>
      <w:r w:rsidR="0067460F">
        <w:rPr>
          <w:rFonts w:ascii="Verdana" w:hAnsi="Verdana"/>
          <w:sz w:val="18"/>
        </w:rPr>
        <w:t>sanitary</w:t>
      </w:r>
      <w:r w:rsidR="00537726" w:rsidRPr="00537726">
        <w:rPr>
          <w:rFonts w:ascii="Verdana" w:hAnsi="Verdana"/>
          <w:sz w:val="18"/>
        </w:rPr>
        <w:t xml:space="preserve">, territorial and ecological </w:t>
      </w:r>
      <w:r w:rsidR="0067460F">
        <w:rPr>
          <w:rFonts w:ascii="Verdana" w:hAnsi="Verdana"/>
          <w:sz w:val="18"/>
        </w:rPr>
        <w:t>point of view</w:t>
      </w:r>
      <w:r w:rsidR="00537726" w:rsidRPr="00537726">
        <w:rPr>
          <w:rFonts w:ascii="Verdana" w:hAnsi="Verdana"/>
          <w:sz w:val="18"/>
        </w:rPr>
        <w:t>.</w:t>
      </w:r>
      <w:r w:rsidR="00537726">
        <w:rPr>
          <w:rFonts w:ascii="Verdana" w:hAnsi="Verdana"/>
          <w:sz w:val="18"/>
        </w:rPr>
        <w:t xml:space="preserve"> </w:t>
      </w:r>
      <w:r w:rsidR="00537726" w:rsidRPr="00537726">
        <w:rPr>
          <w:rFonts w:ascii="Verdana" w:hAnsi="Verdana"/>
          <w:sz w:val="18"/>
        </w:rPr>
        <w:t>The blatant disconnect between</w:t>
      </w:r>
      <w:r w:rsidR="00543FB3">
        <w:rPr>
          <w:rFonts w:ascii="Verdana" w:hAnsi="Verdana"/>
          <w:sz w:val="18"/>
        </w:rPr>
        <w:t>,</w:t>
      </w:r>
      <w:r w:rsidR="00537726" w:rsidRPr="00537726">
        <w:rPr>
          <w:rFonts w:ascii="Verdana" w:hAnsi="Verdana"/>
          <w:sz w:val="18"/>
        </w:rPr>
        <w:t xml:space="preserve"> </w:t>
      </w:r>
      <w:r w:rsidR="00543FB3" w:rsidRPr="00537726">
        <w:rPr>
          <w:rFonts w:ascii="Verdana" w:hAnsi="Verdana"/>
          <w:sz w:val="18"/>
        </w:rPr>
        <w:t>on the one hand</w:t>
      </w:r>
      <w:r w:rsidR="00543FB3">
        <w:rPr>
          <w:rFonts w:ascii="Verdana" w:hAnsi="Verdana"/>
          <w:sz w:val="18"/>
        </w:rPr>
        <w:t>,</w:t>
      </w:r>
      <w:r w:rsidR="00543FB3" w:rsidRPr="00537726">
        <w:rPr>
          <w:rFonts w:ascii="Verdana" w:hAnsi="Verdana"/>
          <w:sz w:val="18"/>
        </w:rPr>
        <w:t xml:space="preserve"> </w:t>
      </w:r>
      <w:r w:rsidR="00537726" w:rsidRPr="00537726">
        <w:rPr>
          <w:rFonts w:ascii="Verdana" w:hAnsi="Verdana"/>
          <w:sz w:val="18"/>
        </w:rPr>
        <w:t>real estate market prices and</w:t>
      </w:r>
      <w:r w:rsidR="00543FB3">
        <w:rPr>
          <w:rFonts w:ascii="Verdana" w:hAnsi="Verdana"/>
          <w:sz w:val="18"/>
        </w:rPr>
        <w:t>,</w:t>
      </w:r>
      <w:r w:rsidR="00537726" w:rsidRPr="00537726">
        <w:rPr>
          <w:rFonts w:ascii="Verdana" w:hAnsi="Verdana"/>
          <w:sz w:val="18"/>
        </w:rPr>
        <w:t xml:space="preserve"> </w:t>
      </w:r>
      <w:r w:rsidR="00543FB3" w:rsidRPr="00537726">
        <w:rPr>
          <w:rFonts w:ascii="Verdana" w:hAnsi="Verdana"/>
          <w:sz w:val="18"/>
        </w:rPr>
        <w:t>on the other</w:t>
      </w:r>
      <w:r w:rsidR="00543FB3">
        <w:rPr>
          <w:rFonts w:ascii="Verdana" w:hAnsi="Verdana"/>
          <w:sz w:val="18"/>
        </w:rPr>
        <w:t>,</w:t>
      </w:r>
      <w:r w:rsidR="00543FB3" w:rsidRPr="00537726">
        <w:rPr>
          <w:rFonts w:ascii="Verdana" w:hAnsi="Verdana"/>
          <w:sz w:val="18"/>
        </w:rPr>
        <w:t xml:space="preserve"> </w:t>
      </w:r>
      <w:r w:rsidR="00537726" w:rsidRPr="00537726">
        <w:rPr>
          <w:rFonts w:ascii="Verdana" w:hAnsi="Verdana"/>
          <w:sz w:val="18"/>
        </w:rPr>
        <w:t>wage levels or disposable income of many households has become a daily concern.</w:t>
      </w:r>
      <w:r w:rsidR="00537726">
        <w:rPr>
          <w:rFonts w:ascii="Verdana" w:hAnsi="Verdana"/>
          <w:sz w:val="18"/>
        </w:rPr>
        <w:t>"</w:t>
      </w:r>
    </w:p>
    <w:p w:rsidR="00537726" w:rsidRDefault="00537726" w:rsidP="00537726">
      <w:pPr>
        <w:rPr>
          <w:rFonts w:ascii="Verdana" w:hAnsi="Verdana"/>
          <w:sz w:val="18"/>
        </w:rPr>
      </w:pPr>
    </w:p>
    <w:p w:rsidR="00537726" w:rsidRDefault="00543FB3" w:rsidP="00DD7FCA">
      <w:pPr>
        <w:rPr>
          <w:rFonts w:ascii="Verdana" w:hAnsi="Verdana"/>
          <w:sz w:val="18"/>
        </w:rPr>
      </w:pPr>
      <w:r>
        <w:rPr>
          <w:rFonts w:ascii="Verdana" w:hAnsi="Verdana"/>
          <w:sz w:val="18"/>
        </w:rPr>
        <w:t xml:space="preserve">In this respect, </w:t>
      </w:r>
      <w:proofErr w:type="spellStart"/>
      <w:r w:rsidR="00537726" w:rsidRPr="008C3B93">
        <w:rPr>
          <w:rFonts w:ascii="Verdana" w:hAnsi="Verdana"/>
          <w:b/>
          <w:sz w:val="18"/>
        </w:rPr>
        <w:t>András</w:t>
      </w:r>
      <w:proofErr w:type="spellEnd"/>
      <w:r w:rsidR="00537726" w:rsidRPr="006E5346">
        <w:rPr>
          <w:rFonts w:ascii="Verdana" w:hAnsi="Verdana"/>
          <w:sz w:val="18"/>
        </w:rPr>
        <w:t xml:space="preserve"> </w:t>
      </w:r>
      <w:proofErr w:type="spellStart"/>
      <w:r w:rsidR="00537726" w:rsidRPr="006E5346">
        <w:rPr>
          <w:rFonts w:ascii="Verdana" w:hAnsi="Verdana"/>
          <w:b/>
          <w:sz w:val="18"/>
        </w:rPr>
        <w:t>Edelényi</w:t>
      </w:r>
      <w:proofErr w:type="spellEnd"/>
      <w:r w:rsidR="00537726">
        <w:rPr>
          <w:rFonts w:ascii="Verdana" w:hAnsi="Verdana"/>
          <w:sz w:val="18"/>
        </w:rPr>
        <w:t>, c</w:t>
      </w:r>
      <w:r w:rsidR="00537726" w:rsidRPr="006E5346">
        <w:rPr>
          <w:rFonts w:ascii="Verdana" w:hAnsi="Verdana"/>
          <w:sz w:val="18"/>
        </w:rPr>
        <w:t>o</w:t>
      </w:r>
      <w:r w:rsidR="00537726">
        <w:rPr>
          <w:rFonts w:ascii="Verdana" w:hAnsi="Verdana"/>
          <w:sz w:val="18"/>
        </w:rPr>
        <w:t>-</w:t>
      </w:r>
      <w:r w:rsidR="00537726" w:rsidRPr="006E5346">
        <w:rPr>
          <w:rFonts w:ascii="Verdana" w:hAnsi="Verdana"/>
          <w:sz w:val="18"/>
        </w:rPr>
        <w:t>rapporteur</w:t>
      </w:r>
      <w:r w:rsidR="00537726">
        <w:rPr>
          <w:rFonts w:ascii="Verdana" w:hAnsi="Verdana"/>
          <w:sz w:val="18"/>
        </w:rPr>
        <w:t xml:space="preserve"> of the EESC opinion, </w:t>
      </w:r>
      <w:r w:rsidR="006E08D8">
        <w:rPr>
          <w:rFonts w:ascii="Verdana" w:hAnsi="Verdana"/>
          <w:sz w:val="18"/>
        </w:rPr>
        <w:t>pointed to the wide range of people concerned by th</w:t>
      </w:r>
      <w:r>
        <w:rPr>
          <w:rFonts w:ascii="Verdana" w:hAnsi="Verdana"/>
          <w:sz w:val="18"/>
        </w:rPr>
        <w:t>e</w:t>
      </w:r>
      <w:r w:rsidR="006E08D8">
        <w:rPr>
          <w:rFonts w:ascii="Verdana" w:hAnsi="Verdana"/>
          <w:sz w:val="18"/>
        </w:rPr>
        <w:t xml:space="preserve"> emergency</w:t>
      </w:r>
      <w:r w:rsidR="00537726">
        <w:rPr>
          <w:rFonts w:ascii="Verdana" w:hAnsi="Verdana"/>
          <w:sz w:val="18"/>
        </w:rPr>
        <w:t>: "</w:t>
      </w:r>
      <w:r w:rsidR="00537726" w:rsidRPr="00537726">
        <w:rPr>
          <w:rFonts w:ascii="Verdana" w:hAnsi="Verdana"/>
          <w:sz w:val="18"/>
        </w:rPr>
        <w:t>It is no longer only people who are homeless, destitute or who gravitate towards the risk of poverty who have fallen victim to this crisis. The shortage of affordable and decent housing als</w:t>
      </w:r>
      <w:r>
        <w:rPr>
          <w:rFonts w:ascii="Verdana" w:hAnsi="Verdana"/>
          <w:sz w:val="18"/>
        </w:rPr>
        <w:t xml:space="preserve">o affects young couples, single-parent </w:t>
      </w:r>
      <w:r w:rsidR="00537726" w:rsidRPr="00537726">
        <w:rPr>
          <w:rFonts w:ascii="Verdana" w:hAnsi="Verdana"/>
          <w:sz w:val="18"/>
        </w:rPr>
        <w:t>or large families, employees, seasonal workers, students, disabled or unemployed people and more generally the middle classes who cannot benefit from</w:t>
      </w:r>
      <w:r w:rsidR="00A82EED">
        <w:rPr>
          <w:rFonts w:ascii="Verdana" w:hAnsi="Verdana"/>
          <w:sz w:val="18"/>
        </w:rPr>
        <w:t xml:space="preserve"> social</w:t>
      </w:r>
      <w:r w:rsidR="00537726" w:rsidRPr="00537726">
        <w:rPr>
          <w:rFonts w:ascii="Verdana" w:hAnsi="Verdana"/>
          <w:sz w:val="18"/>
        </w:rPr>
        <w:t xml:space="preserve"> housing, because on the one hand their income is too high to be</w:t>
      </w:r>
      <w:r w:rsidR="00A82EED">
        <w:rPr>
          <w:rFonts w:ascii="Verdana" w:hAnsi="Verdana"/>
          <w:sz w:val="18"/>
        </w:rPr>
        <w:t xml:space="preserve"> </w:t>
      </w:r>
      <w:r w:rsidR="00537726" w:rsidRPr="00537726">
        <w:rPr>
          <w:rFonts w:ascii="Verdana" w:hAnsi="Verdana"/>
          <w:sz w:val="18"/>
        </w:rPr>
        <w:t>a priority for one of the rare social housing units, while on the other hand their income is too low to be able to rent or acquire housing on the private market.</w:t>
      </w:r>
      <w:r w:rsidR="00537726">
        <w:rPr>
          <w:rFonts w:ascii="Verdana" w:hAnsi="Verdana"/>
          <w:sz w:val="18"/>
        </w:rPr>
        <w:t>"</w:t>
      </w:r>
    </w:p>
    <w:p w:rsidR="00537726" w:rsidRDefault="00537726" w:rsidP="00DD7FCA">
      <w:pPr>
        <w:rPr>
          <w:rFonts w:ascii="Verdana" w:hAnsi="Verdana"/>
          <w:sz w:val="18"/>
        </w:rPr>
      </w:pPr>
    </w:p>
    <w:p w:rsidR="008C3B93" w:rsidRDefault="00A82EED" w:rsidP="008C3B93">
      <w:pPr>
        <w:rPr>
          <w:rFonts w:ascii="Verdana" w:hAnsi="Verdana"/>
          <w:sz w:val="18"/>
        </w:rPr>
      </w:pPr>
      <w:r w:rsidRPr="00A82EED">
        <w:rPr>
          <w:rFonts w:ascii="Verdana" w:hAnsi="Verdana"/>
          <w:sz w:val="18"/>
        </w:rPr>
        <w:t>The webinar also included</w:t>
      </w:r>
      <w:r>
        <w:rPr>
          <w:rFonts w:ascii="Verdana" w:hAnsi="Verdana"/>
          <w:sz w:val="18"/>
        </w:rPr>
        <w:t xml:space="preserve"> the presentation of the</w:t>
      </w:r>
      <w:r w:rsidRPr="00A82EED">
        <w:rPr>
          <w:rFonts w:ascii="Verdana" w:hAnsi="Verdana"/>
          <w:sz w:val="18"/>
        </w:rPr>
        <w:t xml:space="preserve"> European Parliament</w:t>
      </w:r>
      <w:r>
        <w:rPr>
          <w:rFonts w:ascii="Verdana" w:hAnsi="Verdana"/>
          <w:sz w:val="18"/>
        </w:rPr>
        <w:t xml:space="preserve"> </w:t>
      </w:r>
      <w:r w:rsidRPr="00A82EED">
        <w:rPr>
          <w:rFonts w:ascii="Verdana" w:hAnsi="Verdana"/>
          <w:sz w:val="18"/>
        </w:rPr>
        <w:t>draft report</w:t>
      </w:r>
      <w:r>
        <w:rPr>
          <w:rFonts w:ascii="Verdana" w:hAnsi="Verdana"/>
          <w:sz w:val="18"/>
        </w:rPr>
        <w:t xml:space="preserve"> by </w:t>
      </w:r>
      <w:r w:rsidR="008C3B93" w:rsidRPr="00A82EED">
        <w:rPr>
          <w:rFonts w:ascii="Verdana" w:hAnsi="Verdana"/>
          <w:b/>
          <w:sz w:val="18"/>
        </w:rPr>
        <w:t xml:space="preserve">Kim Van </w:t>
      </w:r>
      <w:proofErr w:type="spellStart"/>
      <w:r w:rsidR="008C3B93" w:rsidRPr="00A82EED">
        <w:rPr>
          <w:rFonts w:ascii="Verdana" w:hAnsi="Verdana"/>
          <w:b/>
          <w:sz w:val="18"/>
        </w:rPr>
        <w:t>Sparrentak</w:t>
      </w:r>
      <w:proofErr w:type="spellEnd"/>
      <w:r w:rsidR="008C3B93" w:rsidRPr="00A82EED">
        <w:rPr>
          <w:rFonts w:ascii="Verdana" w:hAnsi="Verdana"/>
          <w:b/>
          <w:sz w:val="18"/>
        </w:rPr>
        <w:t xml:space="preserve"> MEP</w:t>
      </w:r>
      <w:r w:rsidR="008C3B93" w:rsidRPr="00A82EED">
        <w:rPr>
          <w:rFonts w:ascii="Verdana" w:hAnsi="Verdana"/>
          <w:sz w:val="18"/>
        </w:rPr>
        <w:t xml:space="preserve"> </w:t>
      </w:r>
      <w:r>
        <w:rPr>
          <w:rFonts w:ascii="Verdana" w:hAnsi="Verdana"/>
          <w:sz w:val="18"/>
        </w:rPr>
        <w:t xml:space="preserve">and </w:t>
      </w:r>
      <w:r w:rsidR="00384FEF">
        <w:rPr>
          <w:rFonts w:ascii="Verdana" w:hAnsi="Verdana"/>
          <w:sz w:val="18"/>
        </w:rPr>
        <w:t>statements by</w:t>
      </w:r>
      <w:r w:rsidR="008C3B93" w:rsidRPr="00A82EED">
        <w:rPr>
          <w:rFonts w:ascii="Verdana" w:hAnsi="Verdana"/>
          <w:sz w:val="18"/>
        </w:rPr>
        <w:t xml:space="preserve"> the </w:t>
      </w:r>
      <w:r>
        <w:rPr>
          <w:rFonts w:ascii="Verdana" w:hAnsi="Verdana"/>
          <w:sz w:val="18"/>
        </w:rPr>
        <w:t xml:space="preserve">following </w:t>
      </w:r>
      <w:r w:rsidR="008C3B93" w:rsidRPr="00A82EED">
        <w:rPr>
          <w:rFonts w:ascii="Verdana" w:hAnsi="Verdana"/>
          <w:sz w:val="18"/>
        </w:rPr>
        <w:t xml:space="preserve">shadow </w:t>
      </w:r>
      <w:r>
        <w:rPr>
          <w:rFonts w:ascii="Verdana" w:hAnsi="Verdana"/>
          <w:sz w:val="18"/>
        </w:rPr>
        <w:t>rapporteurs</w:t>
      </w:r>
      <w:r w:rsidR="008C3B93" w:rsidRPr="00A82EED">
        <w:rPr>
          <w:rFonts w:ascii="Verdana" w:hAnsi="Verdana"/>
          <w:sz w:val="18"/>
        </w:rPr>
        <w:t xml:space="preserve">: </w:t>
      </w:r>
      <w:r w:rsidR="008C3B93" w:rsidRPr="00410872">
        <w:rPr>
          <w:rFonts w:ascii="Verdana" w:hAnsi="Verdana"/>
          <w:b/>
          <w:sz w:val="18"/>
        </w:rPr>
        <w:t xml:space="preserve">Leila </w:t>
      </w:r>
      <w:proofErr w:type="spellStart"/>
      <w:r w:rsidR="00971657" w:rsidRPr="00410872">
        <w:rPr>
          <w:rFonts w:ascii="Verdana" w:hAnsi="Verdana"/>
          <w:b/>
          <w:sz w:val="18"/>
        </w:rPr>
        <w:t>Chaibi</w:t>
      </w:r>
      <w:proofErr w:type="spellEnd"/>
      <w:r w:rsidR="00971657" w:rsidRPr="00410872">
        <w:rPr>
          <w:rFonts w:ascii="Verdana" w:hAnsi="Verdana"/>
          <w:b/>
          <w:sz w:val="18"/>
        </w:rPr>
        <w:t xml:space="preserve"> </w:t>
      </w:r>
      <w:r w:rsidRPr="00410872">
        <w:rPr>
          <w:rFonts w:ascii="Verdana" w:hAnsi="Verdana"/>
          <w:b/>
          <w:sz w:val="18"/>
        </w:rPr>
        <w:t>MEP</w:t>
      </w:r>
      <w:r w:rsidR="008C3B93" w:rsidRPr="00A82EED">
        <w:rPr>
          <w:rFonts w:ascii="Verdana" w:hAnsi="Verdana"/>
          <w:sz w:val="18"/>
        </w:rPr>
        <w:t xml:space="preserve">, </w:t>
      </w:r>
      <w:r w:rsidR="008C3B93" w:rsidRPr="00410872">
        <w:rPr>
          <w:rFonts w:ascii="Verdana" w:hAnsi="Verdana"/>
          <w:b/>
          <w:sz w:val="18"/>
        </w:rPr>
        <w:t xml:space="preserve">Yana </w:t>
      </w:r>
      <w:r w:rsidR="00971657" w:rsidRPr="00410872">
        <w:rPr>
          <w:rFonts w:ascii="Verdana" w:hAnsi="Verdana"/>
          <w:b/>
          <w:sz w:val="18"/>
        </w:rPr>
        <w:t xml:space="preserve">Toom </w:t>
      </w:r>
      <w:r w:rsidRPr="00410872">
        <w:rPr>
          <w:rFonts w:ascii="Verdana" w:hAnsi="Verdana"/>
          <w:b/>
          <w:sz w:val="18"/>
        </w:rPr>
        <w:t>MEP</w:t>
      </w:r>
      <w:r w:rsidR="008C3B93" w:rsidRPr="00A82EED">
        <w:rPr>
          <w:rFonts w:ascii="Verdana" w:hAnsi="Verdana"/>
          <w:sz w:val="18"/>
        </w:rPr>
        <w:t xml:space="preserve">, </w:t>
      </w:r>
      <w:r w:rsidR="008C3B93" w:rsidRPr="00410872">
        <w:rPr>
          <w:rFonts w:ascii="Verdana" w:hAnsi="Verdana"/>
          <w:b/>
          <w:sz w:val="18"/>
        </w:rPr>
        <w:t xml:space="preserve">Estrella </w:t>
      </w:r>
      <w:proofErr w:type="spellStart"/>
      <w:r w:rsidR="00971657" w:rsidRPr="00410872">
        <w:rPr>
          <w:rFonts w:ascii="Verdana" w:hAnsi="Verdana"/>
          <w:b/>
          <w:sz w:val="18"/>
        </w:rPr>
        <w:t>Durá</w:t>
      </w:r>
      <w:proofErr w:type="spellEnd"/>
      <w:r w:rsidR="00971657" w:rsidRPr="00410872">
        <w:rPr>
          <w:rFonts w:ascii="Verdana" w:hAnsi="Verdana"/>
          <w:b/>
          <w:sz w:val="18"/>
        </w:rPr>
        <w:t xml:space="preserve"> </w:t>
      </w:r>
      <w:proofErr w:type="spellStart"/>
      <w:r w:rsidR="00971657" w:rsidRPr="00410872">
        <w:rPr>
          <w:rFonts w:ascii="Verdana" w:hAnsi="Verdana"/>
          <w:b/>
          <w:sz w:val="18"/>
        </w:rPr>
        <w:t>Ferrandis</w:t>
      </w:r>
      <w:proofErr w:type="spellEnd"/>
      <w:r w:rsidR="00971657" w:rsidRPr="00410872">
        <w:rPr>
          <w:rFonts w:ascii="Verdana" w:hAnsi="Verdana"/>
          <w:b/>
          <w:sz w:val="18"/>
        </w:rPr>
        <w:t xml:space="preserve"> MEP</w:t>
      </w:r>
      <w:r>
        <w:rPr>
          <w:rFonts w:ascii="Verdana" w:hAnsi="Verdana"/>
          <w:sz w:val="18"/>
        </w:rPr>
        <w:t xml:space="preserve">, </w:t>
      </w:r>
      <w:proofErr w:type="spellStart"/>
      <w:r w:rsidRPr="00410872">
        <w:rPr>
          <w:rFonts w:ascii="Verdana" w:hAnsi="Verdana"/>
          <w:b/>
          <w:sz w:val="18"/>
        </w:rPr>
        <w:t>Beata</w:t>
      </w:r>
      <w:proofErr w:type="spellEnd"/>
      <w:r w:rsidRPr="00410872">
        <w:rPr>
          <w:rFonts w:ascii="Verdana" w:hAnsi="Verdana"/>
          <w:b/>
          <w:sz w:val="18"/>
        </w:rPr>
        <w:t xml:space="preserve"> </w:t>
      </w:r>
      <w:proofErr w:type="spellStart"/>
      <w:r w:rsidR="00971657" w:rsidRPr="00410872">
        <w:rPr>
          <w:rFonts w:ascii="Verdana" w:hAnsi="Verdana"/>
          <w:b/>
          <w:sz w:val="18"/>
        </w:rPr>
        <w:t>Szydło</w:t>
      </w:r>
      <w:proofErr w:type="spellEnd"/>
      <w:r w:rsidR="00971657" w:rsidRPr="00410872">
        <w:rPr>
          <w:rFonts w:ascii="Verdana" w:hAnsi="Verdana"/>
          <w:b/>
          <w:sz w:val="18"/>
        </w:rPr>
        <w:t xml:space="preserve"> MEP</w:t>
      </w:r>
      <w:r>
        <w:rPr>
          <w:rFonts w:ascii="Verdana" w:hAnsi="Verdana"/>
          <w:sz w:val="18"/>
        </w:rPr>
        <w:t xml:space="preserve">, </w:t>
      </w:r>
      <w:r w:rsidR="008C3B93" w:rsidRPr="00410872">
        <w:rPr>
          <w:rFonts w:ascii="Verdana" w:hAnsi="Verdana"/>
          <w:b/>
          <w:sz w:val="18"/>
        </w:rPr>
        <w:t xml:space="preserve">Lukas </w:t>
      </w:r>
      <w:proofErr w:type="spellStart"/>
      <w:r w:rsidR="00971657" w:rsidRPr="00410872">
        <w:rPr>
          <w:rFonts w:ascii="Verdana" w:hAnsi="Verdana"/>
          <w:b/>
          <w:sz w:val="18"/>
        </w:rPr>
        <w:t>Mandl</w:t>
      </w:r>
      <w:proofErr w:type="spellEnd"/>
      <w:r w:rsidR="00971657" w:rsidRPr="00410872">
        <w:rPr>
          <w:rFonts w:ascii="Verdana" w:hAnsi="Verdana"/>
          <w:b/>
          <w:sz w:val="18"/>
        </w:rPr>
        <w:t xml:space="preserve"> MEP</w:t>
      </w:r>
      <w:r w:rsidR="008C3B93" w:rsidRPr="00A82EED">
        <w:rPr>
          <w:rFonts w:ascii="Verdana" w:hAnsi="Verdana"/>
          <w:sz w:val="18"/>
        </w:rPr>
        <w:t xml:space="preserve"> </w:t>
      </w:r>
      <w:r w:rsidR="00384FEF">
        <w:rPr>
          <w:rFonts w:ascii="Verdana" w:hAnsi="Verdana"/>
          <w:sz w:val="18"/>
        </w:rPr>
        <w:t xml:space="preserve">and </w:t>
      </w:r>
      <w:r w:rsidR="008C3B93" w:rsidRPr="00410872">
        <w:rPr>
          <w:rFonts w:ascii="Verdana" w:hAnsi="Verdana"/>
          <w:b/>
          <w:sz w:val="18"/>
        </w:rPr>
        <w:t xml:space="preserve">Guido </w:t>
      </w:r>
      <w:proofErr w:type="spellStart"/>
      <w:r w:rsidR="00971657" w:rsidRPr="00410872">
        <w:rPr>
          <w:rFonts w:ascii="Verdana" w:hAnsi="Verdana"/>
          <w:b/>
          <w:sz w:val="18"/>
        </w:rPr>
        <w:t>Reil</w:t>
      </w:r>
      <w:proofErr w:type="spellEnd"/>
      <w:r w:rsidR="00971657" w:rsidRPr="00410872">
        <w:rPr>
          <w:rFonts w:ascii="Verdana" w:hAnsi="Verdana"/>
          <w:b/>
          <w:sz w:val="18"/>
        </w:rPr>
        <w:t xml:space="preserve"> MEP</w:t>
      </w:r>
      <w:r w:rsidR="008C3B93" w:rsidRPr="00A82EED">
        <w:rPr>
          <w:rFonts w:ascii="Verdana" w:hAnsi="Verdana"/>
          <w:sz w:val="18"/>
        </w:rPr>
        <w:t>.</w:t>
      </w:r>
      <w:r w:rsidR="008C3B93">
        <w:rPr>
          <w:rFonts w:ascii="Verdana" w:hAnsi="Verdana"/>
          <w:sz w:val="18"/>
        </w:rPr>
        <w:t xml:space="preserve"> The debate was moderated by</w:t>
      </w:r>
      <w:r w:rsidR="008C3B93" w:rsidRPr="008C3B93">
        <w:rPr>
          <w:rFonts w:ascii="Verdana" w:hAnsi="Verdana"/>
          <w:sz w:val="18"/>
        </w:rPr>
        <w:t xml:space="preserve"> </w:t>
      </w:r>
      <w:r w:rsidR="008C3B93" w:rsidRPr="008C3B93">
        <w:rPr>
          <w:rFonts w:ascii="Verdana" w:hAnsi="Verdana"/>
          <w:b/>
          <w:sz w:val="18"/>
        </w:rPr>
        <w:t xml:space="preserve">Laurent </w:t>
      </w:r>
      <w:proofErr w:type="spellStart"/>
      <w:r w:rsidR="008C3B93" w:rsidRPr="008C3B93">
        <w:rPr>
          <w:rFonts w:ascii="Verdana" w:hAnsi="Verdana"/>
          <w:b/>
          <w:sz w:val="18"/>
        </w:rPr>
        <w:t>Ghekiere</w:t>
      </w:r>
      <w:proofErr w:type="spellEnd"/>
      <w:r w:rsidR="008C3B93">
        <w:rPr>
          <w:rFonts w:ascii="Verdana" w:hAnsi="Verdana"/>
          <w:sz w:val="18"/>
        </w:rPr>
        <w:t xml:space="preserve"> from the</w:t>
      </w:r>
      <w:r w:rsidR="008C3B93" w:rsidRPr="008C3B93">
        <w:rPr>
          <w:rFonts w:ascii="Verdana" w:hAnsi="Verdana"/>
          <w:sz w:val="18"/>
        </w:rPr>
        <w:t xml:space="preserve"> Union </w:t>
      </w:r>
      <w:proofErr w:type="spellStart"/>
      <w:r w:rsidR="008C3B93" w:rsidRPr="008C3B93">
        <w:rPr>
          <w:rFonts w:ascii="Verdana" w:hAnsi="Verdana"/>
          <w:sz w:val="18"/>
        </w:rPr>
        <w:t>sociale</w:t>
      </w:r>
      <w:proofErr w:type="spellEnd"/>
      <w:r w:rsidR="008C3B93" w:rsidRPr="008C3B93">
        <w:rPr>
          <w:rFonts w:ascii="Verdana" w:hAnsi="Verdana"/>
          <w:sz w:val="18"/>
        </w:rPr>
        <w:t xml:space="preserve"> pour </w:t>
      </w:r>
      <w:proofErr w:type="spellStart"/>
      <w:r w:rsidR="008C3B93" w:rsidRPr="008C3B93">
        <w:rPr>
          <w:rFonts w:ascii="Verdana" w:hAnsi="Verdana"/>
          <w:sz w:val="18"/>
        </w:rPr>
        <w:t>l</w:t>
      </w:r>
      <w:r w:rsidR="00C9764B">
        <w:rPr>
          <w:rFonts w:ascii="Verdana" w:hAnsi="Verdana"/>
          <w:sz w:val="18"/>
        </w:rPr>
        <w:t>'</w:t>
      </w:r>
      <w:r w:rsidR="008C3B93" w:rsidRPr="008C3B93">
        <w:rPr>
          <w:rFonts w:ascii="Verdana" w:hAnsi="Verdana"/>
          <w:sz w:val="18"/>
        </w:rPr>
        <w:t>habitat</w:t>
      </w:r>
      <w:proofErr w:type="spellEnd"/>
      <w:r w:rsidR="008C3B93" w:rsidRPr="008C3B93">
        <w:rPr>
          <w:rFonts w:ascii="Verdana" w:hAnsi="Verdana"/>
          <w:sz w:val="18"/>
        </w:rPr>
        <w:t>, pr</w:t>
      </w:r>
      <w:r w:rsidR="008C3B93">
        <w:rPr>
          <w:rFonts w:ascii="Verdana" w:hAnsi="Verdana"/>
          <w:sz w:val="18"/>
        </w:rPr>
        <w:t>e</w:t>
      </w:r>
      <w:r w:rsidR="008C3B93" w:rsidRPr="008C3B93">
        <w:rPr>
          <w:rFonts w:ascii="Verdana" w:hAnsi="Verdana"/>
          <w:sz w:val="18"/>
        </w:rPr>
        <w:t xml:space="preserve">sident </w:t>
      </w:r>
      <w:r w:rsidR="008C3B93">
        <w:rPr>
          <w:rFonts w:ascii="Verdana" w:hAnsi="Verdana"/>
          <w:sz w:val="18"/>
        </w:rPr>
        <w:t xml:space="preserve">of the </w:t>
      </w:r>
      <w:r w:rsidR="00543FB3">
        <w:rPr>
          <w:rFonts w:ascii="Verdana" w:hAnsi="Verdana"/>
          <w:sz w:val="18"/>
        </w:rPr>
        <w:t>European housing observatory of</w:t>
      </w:r>
      <w:r w:rsidR="008C3B93" w:rsidRPr="008C3B93">
        <w:rPr>
          <w:rFonts w:ascii="Verdana" w:hAnsi="Verdana"/>
          <w:sz w:val="18"/>
        </w:rPr>
        <w:t xml:space="preserve"> Housing Europe</w:t>
      </w:r>
      <w:r w:rsidR="008C3B93">
        <w:rPr>
          <w:rFonts w:ascii="Verdana" w:hAnsi="Verdana"/>
          <w:sz w:val="18"/>
        </w:rPr>
        <w:t>.</w:t>
      </w:r>
    </w:p>
    <w:p w:rsidR="006E5346" w:rsidRDefault="006E5346" w:rsidP="00DD7FCA">
      <w:pPr>
        <w:rPr>
          <w:rFonts w:ascii="Verdana" w:hAnsi="Verdana"/>
          <w:sz w:val="18"/>
        </w:rPr>
      </w:pPr>
    </w:p>
    <w:p w:rsidR="00CE25B2" w:rsidRDefault="00CE25B2" w:rsidP="00537726">
      <w:pPr>
        <w:rPr>
          <w:rFonts w:ascii="Verdana" w:hAnsi="Verdana"/>
          <w:sz w:val="18"/>
          <w:szCs w:val="18"/>
        </w:rPr>
      </w:pPr>
    </w:p>
    <w:p w:rsidR="00CE25B2" w:rsidRPr="00C04197" w:rsidRDefault="00CE25B2" w:rsidP="00537726">
      <w:pPr>
        <w:rPr>
          <w:rFonts w:ascii="Verdana" w:hAnsi="Verdana"/>
          <w:sz w:val="18"/>
          <w:szCs w:val="18"/>
        </w:rPr>
      </w:pPr>
    </w:p>
    <w:p w:rsidR="003E18BF" w:rsidRPr="00FC452D" w:rsidRDefault="003E18BF" w:rsidP="003E18BF">
      <w:pPr>
        <w:rPr>
          <w:rFonts w:ascii="Verdana" w:hAnsi="Verdana" w:cs="Arial"/>
          <w:bCs/>
          <w:color w:val="000000" w:themeColor="text1"/>
          <w:sz w:val="18"/>
          <w:szCs w:val="18"/>
          <w:lang w:eastAsia="fr-FR"/>
        </w:rPr>
      </w:pPr>
      <w:r w:rsidRPr="00FC452D">
        <w:rPr>
          <w:rFonts w:ascii="Verdana" w:hAnsi="Verdana" w:cs="Arial"/>
          <w:bCs/>
          <w:color w:val="000000" w:themeColor="text1"/>
          <w:sz w:val="18"/>
          <w:szCs w:val="18"/>
          <w:lang w:eastAsia="fr-FR"/>
        </w:rPr>
        <w:t>For more information</w:t>
      </w:r>
      <w:r w:rsidR="003C6D90">
        <w:rPr>
          <w:rFonts w:ascii="Verdana" w:hAnsi="Verdana" w:cs="Arial"/>
          <w:bCs/>
          <w:color w:val="000000" w:themeColor="text1"/>
          <w:sz w:val="18"/>
          <w:szCs w:val="18"/>
          <w:lang w:eastAsia="fr-FR"/>
        </w:rPr>
        <w:t xml:space="preserve"> on the</w:t>
      </w:r>
      <w:r w:rsidR="006E5346">
        <w:rPr>
          <w:rFonts w:ascii="Verdana" w:hAnsi="Verdana" w:cs="Arial"/>
          <w:bCs/>
          <w:color w:val="000000" w:themeColor="text1"/>
          <w:sz w:val="18"/>
          <w:szCs w:val="18"/>
          <w:lang w:eastAsia="fr-FR"/>
        </w:rPr>
        <w:t xml:space="preserve"> </w:t>
      </w:r>
      <w:hyperlink r:id="rId10" w:history="1">
        <w:r w:rsidR="00543FB3" w:rsidRPr="00543FB3">
          <w:rPr>
            <w:rStyle w:val="Hyperlink"/>
            <w:rFonts w:ascii="Verdana" w:hAnsi="Verdana" w:cs="Arial"/>
            <w:bCs/>
            <w:sz w:val="18"/>
            <w:szCs w:val="18"/>
            <w:lang w:eastAsia="fr-FR"/>
          </w:rPr>
          <w:t>event</w:t>
        </w:r>
      </w:hyperlink>
      <w:r w:rsidR="00543FB3">
        <w:rPr>
          <w:rFonts w:ascii="Verdana" w:hAnsi="Verdana" w:cs="Arial"/>
          <w:bCs/>
          <w:color w:val="000000" w:themeColor="text1"/>
          <w:sz w:val="18"/>
          <w:szCs w:val="18"/>
          <w:lang w:eastAsia="fr-FR"/>
        </w:rPr>
        <w:t xml:space="preserve"> and the </w:t>
      </w:r>
      <w:r w:rsidR="006E5346">
        <w:rPr>
          <w:rFonts w:ascii="Verdana" w:hAnsi="Verdana" w:cs="Arial"/>
          <w:bCs/>
          <w:color w:val="000000" w:themeColor="text1"/>
          <w:sz w:val="18"/>
          <w:szCs w:val="18"/>
          <w:lang w:eastAsia="fr-FR"/>
        </w:rPr>
        <w:t xml:space="preserve">activities of the </w:t>
      </w:r>
      <w:hyperlink r:id="rId11" w:history="1">
        <w:r w:rsidR="006E5346" w:rsidRPr="006E5346">
          <w:rPr>
            <w:rStyle w:val="Hyperlink"/>
            <w:rFonts w:ascii="Verdana" w:hAnsi="Verdana" w:cs="Arial"/>
            <w:bCs/>
            <w:sz w:val="18"/>
            <w:szCs w:val="18"/>
            <w:lang w:eastAsia="fr-FR"/>
          </w:rPr>
          <w:t>TEN</w:t>
        </w:r>
      </w:hyperlink>
      <w:r w:rsidR="006E5346">
        <w:rPr>
          <w:rFonts w:ascii="Verdana" w:hAnsi="Verdana" w:cs="Arial"/>
          <w:bCs/>
          <w:color w:val="000000" w:themeColor="text1"/>
          <w:sz w:val="18"/>
          <w:szCs w:val="18"/>
          <w:lang w:eastAsia="fr-FR"/>
        </w:rPr>
        <w:t xml:space="preserve"> section</w:t>
      </w:r>
      <w:r w:rsidR="003C6D90">
        <w:rPr>
          <w:rFonts w:ascii="Verdana" w:hAnsi="Verdana"/>
          <w:sz w:val="18"/>
          <w:szCs w:val="18"/>
        </w:rPr>
        <w:t>,</w:t>
      </w:r>
      <w:r w:rsidRPr="00FC452D">
        <w:rPr>
          <w:rFonts w:ascii="Verdana" w:hAnsi="Verdana" w:cs="Arial"/>
          <w:bCs/>
          <w:color w:val="000000" w:themeColor="text1"/>
          <w:sz w:val="18"/>
          <w:szCs w:val="18"/>
          <w:lang w:eastAsia="fr-FR"/>
        </w:rPr>
        <w:t xml:space="preserve"> please consult our </w:t>
      </w:r>
      <w:r w:rsidRPr="003C6D90">
        <w:rPr>
          <w:rFonts w:ascii="Verdana" w:eastAsiaTheme="majorEastAsia" w:hAnsi="Verdana" w:cs="Arial"/>
          <w:bCs/>
          <w:sz w:val="18"/>
          <w:szCs w:val="18"/>
          <w:lang w:eastAsia="fr-FR"/>
        </w:rPr>
        <w:t>website</w:t>
      </w:r>
      <w:r w:rsidRPr="00FC452D">
        <w:rPr>
          <w:rFonts w:ascii="Verdana" w:hAnsi="Verdana" w:cs="Arial"/>
          <w:bCs/>
          <w:color w:val="000000" w:themeColor="text1"/>
          <w:sz w:val="18"/>
          <w:szCs w:val="18"/>
          <w:lang w:eastAsia="fr-FR"/>
        </w:rPr>
        <w:t>.</w:t>
      </w:r>
    </w:p>
    <w:p w:rsidR="003E18BF" w:rsidRDefault="003E18BF" w:rsidP="003E18BF">
      <w:pPr>
        <w:rPr>
          <w:rFonts w:ascii="Verdana" w:eastAsia="Verdana" w:hAnsi="Verdana" w:cs="Verdana"/>
          <w:sz w:val="18"/>
          <w:szCs w:val="18"/>
        </w:rPr>
      </w:pPr>
    </w:p>
    <w:p w:rsidR="005176E8" w:rsidRPr="00C04197" w:rsidRDefault="005176E8" w:rsidP="006D5D1A">
      <w:pPr>
        <w:rPr>
          <w:rFonts w:ascii="Verdana" w:hAnsi="Verdana"/>
          <w:sz w:val="18"/>
          <w:szCs w:val="18"/>
        </w:rPr>
      </w:pPr>
    </w:p>
    <w:p w:rsidR="005176E8" w:rsidRPr="00C04197" w:rsidRDefault="005176E8" w:rsidP="006D5D1A">
      <w:pPr>
        <w:rPr>
          <w:rFonts w:ascii="Verdana" w:hAnsi="Verdana"/>
          <w:sz w:val="18"/>
          <w:szCs w:val="18"/>
        </w:rPr>
      </w:pPr>
    </w:p>
    <w:p w:rsidR="00F83179" w:rsidRPr="00C04197" w:rsidRDefault="00F83179" w:rsidP="006D5D1A">
      <w:pPr>
        <w:rPr>
          <w:rFonts w:ascii="Verdana" w:hAnsi="Verdana"/>
          <w:sz w:val="18"/>
        </w:rPr>
      </w:pPr>
    </w:p>
    <w:p w:rsidR="00F83179" w:rsidRPr="00C04197" w:rsidRDefault="00F83179" w:rsidP="005176E8">
      <w:pPr>
        <w:rPr>
          <w:rFonts w:ascii="Verdana" w:hAnsi="Verdana"/>
          <w:sz w:val="18"/>
        </w:rPr>
      </w:pPr>
    </w:p>
    <w:p w:rsidR="00F83179" w:rsidRPr="00C04197" w:rsidRDefault="00F92DAC" w:rsidP="005176E8">
      <w:pPr>
        <w:jc w:val="center"/>
        <w:rPr>
          <w:rFonts w:ascii="Verdana" w:hAnsi="Verdana"/>
          <w:sz w:val="18"/>
          <w:szCs w:val="18"/>
        </w:rPr>
      </w:pPr>
      <w:r w:rsidRPr="00C04197">
        <w:rPr>
          <w:rFonts w:ascii="Verdana" w:hAnsi="Verdana"/>
          <w:b/>
          <w:sz w:val="18"/>
          <w:szCs w:val="18"/>
        </w:rPr>
        <w:t>For more information, please contact:</w:t>
      </w:r>
    </w:p>
    <w:p w:rsidR="005176E8" w:rsidRPr="00C04197" w:rsidRDefault="005176E8" w:rsidP="005176E8">
      <w:pPr>
        <w:pStyle w:val="Heading1"/>
        <w:numPr>
          <w:ilvl w:val="0"/>
          <w:numId w:val="0"/>
        </w:numPr>
        <w:ind w:left="360"/>
        <w:jc w:val="center"/>
        <w:rPr>
          <w:rFonts w:ascii="Verdana" w:hAnsi="Verdana"/>
          <w:sz w:val="18"/>
          <w:szCs w:val="18"/>
        </w:rPr>
      </w:pPr>
      <w:r w:rsidRPr="00C04197">
        <w:rPr>
          <w:rFonts w:ascii="Verdana" w:hAnsi="Verdana"/>
          <w:sz w:val="18"/>
          <w:szCs w:val="18"/>
        </w:rPr>
        <w:t>EESC Press Unit – Marco Pezzani</w:t>
      </w:r>
      <w:r w:rsidRPr="00C04197">
        <w:rPr>
          <w:rFonts w:ascii="Verdana" w:hAnsi="Verdana"/>
          <w:sz w:val="18"/>
          <w:szCs w:val="18"/>
        </w:rPr>
        <w:br/>
        <w:t>+32 (0)2 546 97 93 · Mob. +32 (0)470 881 903</w:t>
      </w:r>
    </w:p>
    <w:p w:rsidR="005176E8" w:rsidRPr="00C04197" w:rsidRDefault="00BE43F4" w:rsidP="005176E8">
      <w:pPr>
        <w:jc w:val="center"/>
        <w:rPr>
          <w:rFonts w:ascii="Verdana" w:hAnsi="Verdana"/>
          <w:sz w:val="18"/>
          <w:szCs w:val="18"/>
        </w:rPr>
      </w:pPr>
      <w:hyperlink r:id="rId12" w:history="1">
        <w:r w:rsidR="005176E8" w:rsidRPr="00C04197">
          <w:rPr>
            <w:rStyle w:val="Hyperlink"/>
            <w:rFonts w:ascii="Verdana" w:eastAsiaTheme="majorEastAsia" w:hAnsi="Verdana"/>
            <w:sz w:val="18"/>
            <w:szCs w:val="18"/>
          </w:rPr>
          <w:t>marco.pezzani@eesc.europa.eu</w:t>
        </w:r>
      </w:hyperlink>
    </w:p>
    <w:p w:rsidR="005176E8" w:rsidRPr="00C04197" w:rsidRDefault="005176E8" w:rsidP="005176E8">
      <w:pPr>
        <w:pStyle w:val="Heading1"/>
        <w:numPr>
          <w:ilvl w:val="0"/>
          <w:numId w:val="0"/>
        </w:numPr>
        <w:jc w:val="center"/>
        <w:rPr>
          <w:rFonts w:ascii="Verdana" w:hAnsi="Verdana"/>
          <w:b/>
          <w:bCs/>
          <w:sz w:val="18"/>
          <w:szCs w:val="18"/>
        </w:rPr>
      </w:pPr>
      <w:r w:rsidRPr="00C04197">
        <w:rPr>
          <w:rFonts w:ascii="Verdana" w:hAnsi="Verdana"/>
          <w:b/>
          <w:bCs/>
          <w:sz w:val="18"/>
          <w:szCs w:val="18"/>
        </w:rPr>
        <w:t>@EESC_PRESS</w:t>
      </w:r>
    </w:p>
    <w:p w:rsidR="005176E8" w:rsidRPr="00C04197" w:rsidRDefault="00BE43F4" w:rsidP="005176E8">
      <w:pPr>
        <w:jc w:val="center"/>
        <w:rPr>
          <w:rFonts w:ascii="Verdana" w:hAnsi="Verdana"/>
          <w:sz w:val="18"/>
        </w:rPr>
      </w:pPr>
      <w:hyperlink r:id="rId13" w:history="1">
        <w:r w:rsidR="005176E8" w:rsidRPr="00C04197">
          <w:rPr>
            <w:rStyle w:val="Hyperlink"/>
            <w:rFonts w:ascii="Verdana" w:eastAsiaTheme="majorEastAsia" w:hAnsi="Verdana"/>
            <w:sz w:val="18"/>
            <w:szCs w:val="18"/>
            <w:lang w:eastAsia="fr-BE"/>
          </w:rPr>
          <w:t>VIDEO: Europe at work</w:t>
        </w:r>
      </w:hyperlink>
    </w:p>
    <w:p w:rsidR="005176E8" w:rsidRPr="00C04197" w:rsidRDefault="005176E8" w:rsidP="005176E8">
      <w:pPr>
        <w:rPr>
          <w:rFonts w:ascii="Verdana" w:hAnsi="Verdana"/>
          <w:sz w:val="18"/>
        </w:rPr>
      </w:pPr>
    </w:p>
    <w:p w:rsidR="00F83179" w:rsidRPr="00C04197" w:rsidRDefault="00F83179" w:rsidP="00CE439D">
      <w:pPr>
        <w:rPr>
          <w:rFonts w:ascii="Verdana" w:hAnsi="Verdana"/>
          <w:b/>
          <w:bCs/>
          <w:i/>
          <w:sz w:val="16"/>
          <w:szCs w:val="16"/>
        </w:rPr>
      </w:pPr>
      <w:r w:rsidRPr="00C04197">
        <w:rPr>
          <w:rFonts w:ascii="Verdana" w:hAnsi="Verdana"/>
          <w:b/>
          <w:bCs/>
          <w:i/>
          <w:sz w:val="16"/>
          <w:szCs w:val="16"/>
        </w:rPr>
        <w:t>_______________________________________________________________________________</w:t>
      </w:r>
    </w:p>
    <w:p w:rsidR="00F83179" w:rsidRPr="00C04197" w:rsidRDefault="00F83179" w:rsidP="00CE439D">
      <w:pPr>
        <w:rPr>
          <w:rFonts w:ascii="Verdana" w:hAnsi="Verdana"/>
          <w:i/>
          <w:sz w:val="16"/>
          <w:szCs w:val="16"/>
        </w:rPr>
      </w:pPr>
      <w:r w:rsidRPr="00C04197">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w:t>
      </w:r>
    </w:p>
    <w:p w:rsidR="00F83179" w:rsidRPr="00C04197" w:rsidRDefault="00F83179" w:rsidP="00CE439D">
      <w:pPr>
        <w:rPr>
          <w:rFonts w:ascii="Verdana" w:hAnsi="Verdana"/>
          <w:b/>
          <w:bCs/>
          <w:i/>
          <w:sz w:val="16"/>
          <w:szCs w:val="16"/>
        </w:rPr>
      </w:pPr>
      <w:r w:rsidRPr="00C04197">
        <w:rPr>
          <w:rFonts w:ascii="Verdana" w:hAnsi="Verdana"/>
          <w:b/>
          <w:bCs/>
          <w:i/>
          <w:sz w:val="16"/>
          <w:szCs w:val="16"/>
        </w:rPr>
        <w:t>_______________________________________________________________________________</w:t>
      </w:r>
    </w:p>
    <w:p w:rsidR="00F83179" w:rsidRPr="00C04197" w:rsidRDefault="00F83179" w:rsidP="00686EC2">
      <w:pPr>
        <w:spacing w:line="240" w:lineRule="auto"/>
        <w:rPr>
          <w:rFonts w:ascii="Verdana" w:hAnsi="Verdana"/>
          <w:sz w:val="18"/>
        </w:rPr>
      </w:pPr>
    </w:p>
    <w:sectPr w:rsidR="00F83179" w:rsidRPr="00C04197"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A06" w:rsidRDefault="00E30A06">
      <w:r>
        <w:separator/>
      </w:r>
    </w:p>
  </w:endnote>
  <w:endnote w:type="continuationSeparator" w:id="0">
    <w:p w:rsidR="00E30A06" w:rsidRDefault="00E3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Follow the EESC on   </w:t>
    </w:r>
    <w:r w:rsidR="008133EA">
      <w:rPr>
        <w:noProof/>
        <w:lang w:eastAsia="en-GB"/>
      </w:rPr>
      <w:drawing>
        <wp:inline distT="0" distB="0" distL="0" distR="0" wp14:anchorId="10C42576" wp14:editId="4FDDE9F8">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rPr>
        <w:rFonts w:ascii="Verdana" w:hAnsi="Verdana"/>
        <w:sz w:val="16"/>
      </w:rPr>
      <w:t>  </w:t>
    </w:r>
    <w:r w:rsidR="008133EA">
      <w:rPr>
        <w:noProof/>
        <w:lang w:eastAsia="en-GB"/>
      </w:rPr>
      <w:drawing>
        <wp:inline distT="0" distB="0" distL="0" distR="0" wp14:anchorId="0F65C196" wp14:editId="4DC05FF3">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t>  </w:t>
    </w:r>
    <w:r w:rsidR="008133EA">
      <w:rPr>
        <w:noProof/>
        <w:lang w:eastAsia="en-GB"/>
      </w:rPr>
      <w:drawing>
        <wp:inline distT="0" distB="0" distL="0" distR="0" wp14:anchorId="682DB98D" wp14:editId="3D3452FB">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A06" w:rsidRDefault="00E30A06">
      <w:r>
        <w:separator/>
      </w:r>
    </w:p>
  </w:footnote>
  <w:footnote w:type="continuationSeparator" w:id="0">
    <w:p w:rsidR="00E30A06" w:rsidRDefault="00E3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13A1F"/>
    <w:rsid w:val="0002378E"/>
    <w:rsid w:val="000328E1"/>
    <w:rsid w:val="00033561"/>
    <w:rsid w:val="00033848"/>
    <w:rsid w:val="0004029C"/>
    <w:rsid w:val="0004715C"/>
    <w:rsid w:val="00047729"/>
    <w:rsid w:val="0004781E"/>
    <w:rsid w:val="00067140"/>
    <w:rsid w:val="00067F21"/>
    <w:rsid w:val="00071F79"/>
    <w:rsid w:val="00073C6C"/>
    <w:rsid w:val="00076D75"/>
    <w:rsid w:val="000973DF"/>
    <w:rsid w:val="000A557A"/>
    <w:rsid w:val="000B28CB"/>
    <w:rsid w:val="000D17DD"/>
    <w:rsid w:val="000E66CE"/>
    <w:rsid w:val="0010026A"/>
    <w:rsid w:val="00104DFA"/>
    <w:rsid w:val="00105E49"/>
    <w:rsid w:val="00142677"/>
    <w:rsid w:val="0018610F"/>
    <w:rsid w:val="0018613F"/>
    <w:rsid w:val="00191674"/>
    <w:rsid w:val="001B774C"/>
    <w:rsid w:val="001C71DF"/>
    <w:rsid w:val="001F308E"/>
    <w:rsid w:val="00227A31"/>
    <w:rsid w:val="0023703E"/>
    <w:rsid w:val="00260DF2"/>
    <w:rsid w:val="002734F3"/>
    <w:rsid w:val="0029768D"/>
    <w:rsid w:val="002B4379"/>
    <w:rsid w:val="002B43E1"/>
    <w:rsid w:val="002B7FBD"/>
    <w:rsid w:val="002C4B6E"/>
    <w:rsid w:val="00305F7D"/>
    <w:rsid w:val="0031418D"/>
    <w:rsid w:val="00321382"/>
    <w:rsid w:val="00333922"/>
    <w:rsid w:val="00337F0A"/>
    <w:rsid w:val="00384FEF"/>
    <w:rsid w:val="0038577F"/>
    <w:rsid w:val="00394D81"/>
    <w:rsid w:val="003B714A"/>
    <w:rsid w:val="003C2229"/>
    <w:rsid w:val="003C6D90"/>
    <w:rsid w:val="003E18BF"/>
    <w:rsid w:val="00402755"/>
    <w:rsid w:val="00404303"/>
    <w:rsid w:val="00410872"/>
    <w:rsid w:val="00424928"/>
    <w:rsid w:val="0043261F"/>
    <w:rsid w:val="0043526F"/>
    <w:rsid w:val="0044234E"/>
    <w:rsid w:val="00447A5C"/>
    <w:rsid w:val="004605FD"/>
    <w:rsid w:val="004744F9"/>
    <w:rsid w:val="00474966"/>
    <w:rsid w:val="00494BBC"/>
    <w:rsid w:val="004B573A"/>
    <w:rsid w:val="004C042A"/>
    <w:rsid w:val="004D5298"/>
    <w:rsid w:val="004F2160"/>
    <w:rsid w:val="004F7F25"/>
    <w:rsid w:val="0050143A"/>
    <w:rsid w:val="005176E8"/>
    <w:rsid w:val="005270ED"/>
    <w:rsid w:val="00537726"/>
    <w:rsid w:val="00543896"/>
    <w:rsid w:val="00543FB3"/>
    <w:rsid w:val="00545319"/>
    <w:rsid w:val="00553BC0"/>
    <w:rsid w:val="005549A1"/>
    <w:rsid w:val="00556CD0"/>
    <w:rsid w:val="00570A42"/>
    <w:rsid w:val="005857D9"/>
    <w:rsid w:val="005956FD"/>
    <w:rsid w:val="00597416"/>
    <w:rsid w:val="005A0E46"/>
    <w:rsid w:val="005B3342"/>
    <w:rsid w:val="005B40BF"/>
    <w:rsid w:val="005C08F4"/>
    <w:rsid w:val="005C2258"/>
    <w:rsid w:val="005C46DB"/>
    <w:rsid w:val="005C4A46"/>
    <w:rsid w:val="005C64A3"/>
    <w:rsid w:val="00605602"/>
    <w:rsid w:val="00606A5F"/>
    <w:rsid w:val="00626C38"/>
    <w:rsid w:val="00662336"/>
    <w:rsid w:val="00662EE3"/>
    <w:rsid w:val="0067460F"/>
    <w:rsid w:val="00686EC2"/>
    <w:rsid w:val="006875B2"/>
    <w:rsid w:val="006928C2"/>
    <w:rsid w:val="006A7493"/>
    <w:rsid w:val="006B4D96"/>
    <w:rsid w:val="006B4DBE"/>
    <w:rsid w:val="006C0005"/>
    <w:rsid w:val="006C0564"/>
    <w:rsid w:val="006D5D1A"/>
    <w:rsid w:val="006E08D8"/>
    <w:rsid w:val="006E5346"/>
    <w:rsid w:val="00712EA3"/>
    <w:rsid w:val="0073323C"/>
    <w:rsid w:val="00747231"/>
    <w:rsid w:val="00772B52"/>
    <w:rsid w:val="0078002E"/>
    <w:rsid w:val="007872AB"/>
    <w:rsid w:val="007A5486"/>
    <w:rsid w:val="007B246A"/>
    <w:rsid w:val="007D191E"/>
    <w:rsid w:val="00803DB0"/>
    <w:rsid w:val="008133EA"/>
    <w:rsid w:val="00832E44"/>
    <w:rsid w:val="00832FD5"/>
    <w:rsid w:val="0083368A"/>
    <w:rsid w:val="00837202"/>
    <w:rsid w:val="00837B82"/>
    <w:rsid w:val="008466A3"/>
    <w:rsid w:val="00865124"/>
    <w:rsid w:val="008820BE"/>
    <w:rsid w:val="008B05AB"/>
    <w:rsid w:val="008C3B93"/>
    <w:rsid w:val="008C573E"/>
    <w:rsid w:val="008C5B22"/>
    <w:rsid w:val="008C5DB2"/>
    <w:rsid w:val="008D2BC6"/>
    <w:rsid w:val="008F064D"/>
    <w:rsid w:val="008F4987"/>
    <w:rsid w:val="008F6DD2"/>
    <w:rsid w:val="00915159"/>
    <w:rsid w:val="00915936"/>
    <w:rsid w:val="00917B36"/>
    <w:rsid w:val="009357DE"/>
    <w:rsid w:val="009649BC"/>
    <w:rsid w:val="00971657"/>
    <w:rsid w:val="00982DC3"/>
    <w:rsid w:val="00987A9D"/>
    <w:rsid w:val="00994958"/>
    <w:rsid w:val="009C2FCF"/>
    <w:rsid w:val="009D23A3"/>
    <w:rsid w:val="009D3245"/>
    <w:rsid w:val="009D7B87"/>
    <w:rsid w:val="009E796B"/>
    <w:rsid w:val="00A356E0"/>
    <w:rsid w:val="00A50FDE"/>
    <w:rsid w:val="00A60F58"/>
    <w:rsid w:val="00A64AA9"/>
    <w:rsid w:val="00A74687"/>
    <w:rsid w:val="00A82EED"/>
    <w:rsid w:val="00A84F0B"/>
    <w:rsid w:val="00A85254"/>
    <w:rsid w:val="00A96CE7"/>
    <w:rsid w:val="00AA61D9"/>
    <w:rsid w:val="00AC0BB5"/>
    <w:rsid w:val="00AD6AF1"/>
    <w:rsid w:val="00AD7989"/>
    <w:rsid w:val="00AE58E7"/>
    <w:rsid w:val="00AF2692"/>
    <w:rsid w:val="00AF7A9C"/>
    <w:rsid w:val="00B10C4C"/>
    <w:rsid w:val="00B21E13"/>
    <w:rsid w:val="00B239E2"/>
    <w:rsid w:val="00B33A9B"/>
    <w:rsid w:val="00B641F1"/>
    <w:rsid w:val="00B662C7"/>
    <w:rsid w:val="00B710AF"/>
    <w:rsid w:val="00B7576B"/>
    <w:rsid w:val="00B9349D"/>
    <w:rsid w:val="00B96D77"/>
    <w:rsid w:val="00BA6205"/>
    <w:rsid w:val="00BB36F5"/>
    <w:rsid w:val="00BB43EE"/>
    <w:rsid w:val="00BD7E3A"/>
    <w:rsid w:val="00BE43F4"/>
    <w:rsid w:val="00C04197"/>
    <w:rsid w:val="00C04839"/>
    <w:rsid w:val="00C14817"/>
    <w:rsid w:val="00C3696E"/>
    <w:rsid w:val="00C7329E"/>
    <w:rsid w:val="00C93E55"/>
    <w:rsid w:val="00C9764B"/>
    <w:rsid w:val="00C97D1B"/>
    <w:rsid w:val="00CA224B"/>
    <w:rsid w:val="00CB5993"/>
    <w:rsid w:val="00CC711C"/>
    <w:rsid w:val="00CD5C7C"/>
    <w:rsid w:val="00CE25B2"/>
    <w:rsid w:val="00CE439D"/>
    <w:rsid w:val="00D23911"/>
    <w:rsid w:val="00D34BFE"/>
    <w:rsid w:val="00D44F59"/>
    <w:rsid w:val="00D60D08"/>
    <w:rsid w:val="00D7463D"/>
    <w:rsid w:val="00D845A7"/>
    <w:rsid w:val="00D84A16"/>
    <w:rsid w:val="00D9016E"/>
    <w:rsid w:val="00DA7F87"/>
    <w:rsid w:val="00DC3449"/>
    <w:rsid w:val="00DC66B3"/>
    <w:rsid w:val="00DD79F3"/>
    <w:rsid w:val="00DD7FCA"/>
    <w:rsid w:val="00DE705E"/>
    <w:rsid w:val="00E13D74"/>
    <w:rsid w:val="00E21B7A"/>
    <w:rsid w:val="00E30A06"/>
    <w:rsid w:val="00E41AEE"/>
    <w:rsid w:val="00E42E84"/>
    <w:rsid w:val="00E4730A"/>
    <w:rsid w:val="00E739BB"/>
    <w:rsid w:val="00E968B0"/>
    <w:rsid w:val="00EA5942"/>
    <w:rsid w:val="00EC55A1"/>
    <w:rsid w:val="00ED0C70"/>
    <w:rsid w:val="00ED7C07"/>
    <w:rsid w:val="00EF2AAB"/>
    <w:rsid w:val="00EF4AE0"/>
    <w:rsid w:val="00F2683F"/>
    <w:rsid w:val="00F37276"/>
    <w:rsid w:val="00F4415A"/>
    <w:rsid w:val="00F44BAB"/>
    <w:rsid w:val="00F466DA"/>
    <w:rsid w:val="00F5359B"/>
    <w:rsid w:val="00F61167"/>
    <w:rsid w:val="00F75CA5"/>
    <w:rsid w:val="00F83179"/>
    <w:rsid w:val="00F92DAC"/>
    <w:rsid w:val="00F94639"/>
    <w:rsid w:val="00FA152C"/>
    <w:rsid w:val="00FB23F9"/>
    <w:rsid w:val="00FC35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F206071-C15C-4DCE-8005-662878E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paragraph" w:styleId="ListParagraph">
    <w:name w:val="List Paragraph"/>
    <w:basedOn w:val="Normal"/>
    <w:uiPriority w:val="34"/>
    <w:qFormat/>
    <w:rsid w:val="005176E8"/>
    <w:pPr>
      <w:overflowPunct/>
      <w:autoSpaceDE/>
      <w:autoSpaceDN/>
      <w:adjustRightInd/>
      <w:spacing w:line="240" w:lineRule="auto"/>
      <w:ind w:left="720"/>
      <w:jc w:val="left"/>
      <w:textAlignment w:val="auto"/>
    </w:pPr>
    <w:rPr>
      <w:rFonts w:ascii="Calibri" w:eastAsia="Calibri" w:hAnsi="Calibri"/>
      <w:szCs w:val="22"/>
      <w:lang w:val="fr-BE" w:eastAsia="fr-BE"/>
    </w:rPr>
  </w:style>
  <w:style w:type="character" w:customStyle="1" w:styleId="scayt-misspell-word">
    <w:name w:val="scayt-misspell-word"/>
    <w:basedOn w:val="DefaultParagraphFont"/>
    <w:rsid w:val="006E5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esc.europa.eu/en/news-media/videos/europ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o.pezzani@eesc.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en/sections-other-bodies/sections-commission/transport-energy-infrastructure-and-information-society-t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esc.europa.eu/en/agenda/our-events/events/universal-access-housing-decent-sustainable-and-affordabl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CD09-D50F-415D-91D5-49AD871E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238</TotalTime>
  <Pages>2</Pages>
  <Words>995</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press release template</dc:title>
  <dc:subject>Press Release</dc:subject>
  <dc:creator>Emma Nieddu</dc:creator>
  <cp:keywords>CES1848-2013_00_00_TRA_CP_EN</cp:keywords>
  <dc:description>Rapporteur: -_x000d_
Original language: EN_x000d_
Date of document: 08/03/2013_x000d_
Date of meeting: _x000d_
External documents: -_x000d_
Administrator responsible: Berdys Agata, telephone: + 2 546 9476_x000d_
_x000d_
Abstract:</dc:description>
  <cp:lastModifiedBy>Marco Pezzani</cp:lastModifiedBy>
  <cp:revision>36</cp:revision>
  <cp:lastPrinted>2020-01-23T13:37:00Z</cp:lastPrinted>
  <dcterms:created xsi:type="dcterms:W3CDTF">2020-02-20T16:06:00Z</dcterms:created>
  <dcterms:modified xsi:type="dcterms:W3CDTF">2020-09-10T09:42:00Z</dcterms:modified>
</cp:coreProperties>
</file>