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2149" w:rsidR="003C2229" w:rsidP="00686EC2" w:rsidRDefault="00837B82" w14:paraId="4338D983" w14:textId="77777777">
      <w:pPr>
        <w:spacing w:line="240" w:lineRule="auto"/>
        <w:rPr>
          <w:rFonts w:ascii="Verdana" w:hAnsi="Verdana"/>
          <w:sz w:val="20"/>
        </w:rPr>
      </w:pPr>
      <w:r w:rsidRPr="006D2149">
        <w:rPr>
          <w:rFonts w:ascii="Verdana" w:hAnsi="Verdana"/>
          <w:sz w:val="20"/>
          <w:lang w:eastAsia="fr-FR"/>
        </w:rPr>
        <w:drawing>
          <wp:inline distT="0" distB="0" distL="0" distR="0" wp14:anchorId="7E2C9341" wp14:editId="0F1A1708">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Pr="006D2149" w:rsidR="00C93E55" w:rsidTr="00705C0F" w14:paraId="06F78304" w14:textId="77777777">
        <w:trPr>
          <w:cantSplit/>
        </w:trPr>
        <w:tc>
          <w:tcPr>
            <w:tcW w:w="5168" w:type="dxa"/>
          </w:tcPr>
          <w:p w:rsidRPr="006D2149" w:rsidR="00C93E55" w:rsidP="001C54D3" w:rsidRDefault="00321382" w14:paraId="76FD49D5" w14:textId="77777777">
            <w:pPr>
              <w:spacing w:before="120" w:after="120" w:line="240" w:lineRule="auto"/>
              <w:rPr>
                <w:rFonts w:ascii="Verdana" w:hAnsi="Verdana"/>
                <w:b/>
                <w:bCs/>
                <w:sz w:val="20"/>
              </w:rPr>
            </w:pPr>
            <w:r w:rsidRPr="006D2149">
              <w:rPr>
                <w:rFonts w:ascii="Verdana" w:hAnsi="Verdana"/>
                <w:sz w:val="20"/>
                <w:lang w:eastAsia="fr-FR"/>
              </w:rPr>
              <mc:AlternateContent>
                <mc:Choice Requires="wps">
                  <w:drawing>
                    <wp:anchor distT="0" distB="0" distL="114300" distR="114300" simplePos="0" relativeHeight="251658240" behindDoc="1" locked="0" layoutInCell="0" allowOverlap="1" wp14:editId="48DF85F6" wp14:anchorId="76F24F7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53A3FA3D" w14:textId="7777777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F24F77">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14:paraId="53A3FA3D"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r w:rsidRPr="006D2149">
              <w:rPr>
                <w:rFonts w:ascii="Verdana" w:hAnsi="Verdana"/>
                <w:b/>
                <w:sz w:val="20"/>
              </w:rPr>
              <w:t>Nº 21/2022</w:t>
            </w:r>
          </w:p>
        </w:tc>
        <w:tc>
          <w:tcPr>
            <w:tcW w:w="4119" w:type="dxa"/>
          </w:tcPr>
          <w:p w:rsidRPr="006D2149" w:rsidR="00C93E55" w:rsidP="001C54D3" w:rsidRDefault="001C54D3" w14:paraId="6E066903" w14:textId="77777777">
            <w:pPr>
              <w:spacing w:before="120" w:after="120" w:line="240" w:lineRule="auto"/>
              <w:jc w:val="right"/>
              <w:rPr>
                <w:rFonts w:ascii="Verdana" w:hAnsi="Verdana"/>
                <w:b/>
                <w:bCs/>
                <w:sz w:val="20"/>
              </w:rPr>
            </w:pPr>
            <w:r w:rsidRPr="006D2149">
              <w:rPr>
                <w:rFonts w:ascii="Verdana" w:hAnsi="Verdana"/>
                <w:b/>
                <w:sz w:val="20"/>
              </w:rPr>
              <w:t>18 mai 2022</w:t>
            </w:r>
          </w:p>
        </w:tc>
      </w:tr>
    </w:tbl>
    <w:p w:rsidRPr="006D2149" w:rsidR="00F83179" w:rsidP="00686EC2" w:rsidRDefault="00F83179" w14:paraId="6069EBB8" w14:textId="713BE247">
      <w:pPr>
        <w:spacing w:line="240" w:lineRule="auto"/>
        <w:rPr>
          <w:rFonts w:ascii="Verdana" w:hAnsi="Verdana"/>
          <w:sz w:val="20"/>
        </w:rPr>
      </w:pPr>
    </w:p>
    <w:p w:rsidRPr="006D2149" w:rsidR="00F83179" w:rsidP="00686EC2" w:rsidRDefault="00F83179" w14:paraId="5A84E5AE" w14:textId="77777777">
      <w:pPr>
        <w:spacing w:line="240" w:lineRule="auto"/>
        <w:rPr>
          <w:rFonts w:ascii="Verdana" w:hAnsi="Verdana"/>
          <w:sz w:val="20"/>
        </w:rPr>
        <w:sectPr w:rsidRPr="006D2149" w:rsidR="00F83179" w:rsidSect="00837B82">
          <w:headerReference w:type="even" r:id="rId13"/>
          <w:headerReference w:type="default" r:id="rId14"/>
          <w:footerReference w:type="even" r:id="rId15"/>
          <w:footerReference w:type="default" r:id="rId16"/>
          <w:headerReference w:type="first" r:id="rId17"/>
          <w:footerReference w:type="first" r:id="rId18"/>
          <w:pgSz w:w="11907" w:h="16839" w:code="9"/>
          <w:pgMar w:top="425" w:right="1418" w:bottom="1418" w:left="1418" w:header="709" w:footer="709" w:gutter="0"/>
          <w:cols w:space="720"/>
          <w:docGrid w:linePitch="299"/>
        </w:sectPr>
      </w:pPr>
    </w:p>
    <w:p w:rsidRPr="006D2149" w:rsidR="001C54D3" w:rsidP="001C54D3" w:rsidRDefault="0003254A" w14:paraId="376C3D5F" w14:textId="7D067C91">
      <w:pPr>
        <w:jc w:val="center"/>
        <w:rPr>
          <w:b/>
          <w:sz w:val="28"/>
          <w:szCs w:val="28"/>
        </w:rPr>
      </w:pPr>
      <w:r w:rsidRPr="006D2149">
        <w:rPr>
          <w:rFonts w:ascii="Verdana" w:hAnsi="Verdana"/>
          <w:b/>
          <w:color w:val="0070C0"/>
          <w:sz w:val="28"/>
        </w:rPr>
        <w:t>Pour le CESE, un appro</w:t>
      </w:r>
      <w:r w:rsidRPr="006D2149" w:rsidR="006D2149">
        <w:rPr>
          <w:rFonts w:ascii="Verdana" w:hAnsi="Verdana"/>
          <w:b/>
          <w:color w:val="0070C0"/>
          <w:sz w:val="28"/>
        </w:rPr>
        <w:t>visionnement énergétique sûr et </w:t>
      </w:r>
      <w:r w:rsidRPr="006D2149">
        <w:rPr>
          <w:rFonts w:ascii="Verdana" w:hAnsi="Verdana"/>
          <w:b/>
          <w:color w:val="0070C0"/>
          <w:sz w:val="28"/>
        </w:rPr>
        <w:t>abordable est une priorité</w:t>
      </w:r>
    </w:p>
    <w:p w:rsidRPr="006D2149" w:rsidR="001C54D3" w:rsidP="001C54D3" w:rsidRDefault="001C54D3" w14:paraId="4E7B3456" w14:textId="77777777">
      <w:pPr>
        <w:rPr>
          <w:rFonts w:ascii="Verdana" w:hAnsi="Verdana"/>
          <w:sz w:val="18"/>
          <w:szCs w:val="18"/>
        </w:rPr>
      </w:pPr>
    </w:p>
    <w:p w:rsidRPr="006D2149" w:rsidR="00ED68E4" w:rsidP="001C54D3" w:rsidRDefault="00ED68E4" w14:paraId="6793A460" w14:textId="50A90364">
      <w:pPr>
        <w:rPr>
          <w:rFonts w:ascii="Verdana" w:hAnsi="Verdana"/>
          <w:b/>
          <w:sz w:val="18"/>
          <w:szCs w:val="18"/>
        </w:rPr>
      </w:pPr>
      <w:r w:rsidRPr="006D2149">
        <w:rPr>
          <w:rFonts w:ascii="Verdana" w:hAnsi="Verdana"/>
          <w:b/>
          <w:sz w:val="18"/>
        </w:rPr>
        <w:t>Le Comité économique et social européen (CESE) soutient l</w:t>
      </w:r>
      <w:r w:rsidRPr="006D2149" w:rsidR="006D2149">
        <w:rPr>
          <w:rFonts w:ascii="Verdana" w:hAnsi="Verdana"/>
          <w:b/>
          <w:sz w:val="18"/>
        </w:rPr>
        <w:t>’</w:t>
      </w:r>
      <w:r w:rsidRPr="006D2149">
        <w:rPr>
          <w:rFonts w:ascii="Verdana" w:hAnsi="Verdana"/>
          <w:b/>
          <w:sz w:val="18"/>
        </w:rPr>
        <w:t>initiative «</w:t>
      </w:r>
      <w:proofErr w:type="spellStart"/>
      <w:r w:rsidRPr="006D2149">
        <w:rPr>
          <w:rFonts w:ascii="Verdana" w:hAnsi="Verdana"/>
          <w:b/>
          <w:sz w:val="18"/>
        </w:rPr>
        <w:t>REPowerEU</w:t>
      </w:r>
      <w:proofErr w:type="spellEnd"/>
      <w:r w:rsidRPr="006D2149">
        <w:rPr>
          <w:rFonts w:ascii="Verdana" w:hAnsi="Verdana"/>
          <w:b/>
          <w:sz w:val="18"/>
        </w:rPr>
        <w:t>» de la Commission européenne et souligne que la sécurité énergétique doit s</w:t>
      </w:r>
      <w:r w:rsidRPr="006D2149" w:rsidR="006D2149">
        <w:rPr>
          <w:rFonts w:ascii="Verdana" w:hAnsi="Verdana"/>
          <w:b/>
          <w:sz w:val="18"/>
        </w:rPr>
        <w:t>’</w:t>
      </w:r>
      <w:r w:rsidRPr="006D2149">
        <w:rPr>
          <w:rFonts w:ascii="Verdana" w:hAnsi="Verdana"/>
          <w:b/>
          <w:sz w:val="18"/>
        </w:rPr>
        <w:t xml:space="preserve">accompagner de mesures urgentes visant à protéger les utilisateurs vulnérables, à accélérer la </w:t>
      </w:r>
      <w:proofErr w:type="spellStart"/>
      <w:r w:rsidRPr="006D2149">
        <w:rPr>
          <w:rFonts w:ascii="Verdana" w:hAnsi="Verdana"/>
          <w:b/>
          <w:sz w:val="18"/>
        </w:rPr>
        <w:t>décarbonation</w:t>
      </w:r>
      <w:proofErr w:type="spellEnd"/>
      <w:r w:rsidRPr="006D2149">
        <w:rPr>
          <w:rFonts w:ascii="Verdana" w:hAnsi="Verdana"/>
          <w:b/>
          <w:sz w:val="18"/>
        </w:rPr>
        <w:t xml:space="preserve"> et à diversifier les sources d</w:t>
      </w:r>
      <w:r w:rsidRPr="006D2149" w:rsidR="006D2149">
        <w:rPr>
          <w:rFonts w:ascii="Verdana" w:hAnsi="Verdana"/>
          <w:b/>
          <w:sz w:val="18"/>
        </w:rPr>
        <w:t>’</w:t>
      </w:r>
      <w:r w:rsidRPr="006D2149">
        <w:rPr>
          <w:rFonts w:ascii="Verdana" w:hAnsi="Verdana"/>
          <w:b/>
          <w:sz w:val="18"/>
        </w:rPr>
        <w:t>énergie. Il conviendrait également de veiller à réduire la demande de gaz russe, laquelle a entraîné une hausse significative des prix de l</w:t>
      </w:r>
      <w:r w:rsidRPr="006D2149" w:rsidR="006D2149">
        <w:rPr>
          <w:rFonts w:ascii="Verdana" w:hAnsi="Verdana"/>
          <w:b/>
          <w:sz w:val="18"/>
        </w:rPr>
        <w:t>’</w:t>
      </w:r>
      <w:r w:rsidRPr="006D2149">
        <w:rPr>
          <w:rFonts w:ascii="Verdana" w:hAnsi="Verdana"/>
          <w:b/>
          <w:sz w:val="18"/>
        </w:rPr>
        <w:t>énergie.</w:t>
      </w:r>
    </w:p>
    <w:p w:rsidRPr="006D2149" w:rsidR="00ED68E4" w:rsidP="001C54D3" w:rsidRDefault="00ED68E4" w14:paraId="2615EE9D" w14:textId="77777777">
      <w:pPr>
        <w:rPr>
          <w:rFonts w:ascii="Verdana" w:hAnsi="Verdana"/>
          <w:sz w:val="18"/>
          <w:szCs w:val="18"/>
        </w:rPr>
      </w:pPr>
    </w:p>
    <w:p w:rsidRPr="006D2149" w:rsidR="00D111A3" w:rsidP="001C54D3" w:rsidRDefault="001C54D3" w14:paraId="326FBA8D" w14:textId="1BC79D57">
      <w:pPr>
        <w:rPr>
          <w:rFonts w:ascii="Verdana" w:hAnsi="Verdana"/>
          <w:sz w:val="18"/>
          <w:szCs w:val="18"/>
        </w:rPr>
      </w:pPr>
      <w:r w:rsidRPr="006D2149">
        <w:rPr>
          <w:rFonts w:ascii="Verdana" w:hAnsi="Verdana"/>
          <w:sz w:val="18"/>
        </w:rPr>
        <w:t>L</w:t>
      </w:r>
      <w:r w:rsidRPr="006D2149" w:rsidR="006D2149">
        <w:rPr>
          <w:rFonts w:ascii="Verdana" w:hAnsi="Verdana"/>
          <w:sz w:val="18"/>
        </w:rPr>
        <w:t>’</w:t>
      </w:r>
      <w:r w:rsidRPr="006D2149">
        <w:rPr>
          <w:rFonts w:ascii="Verdana" w:hAnsi="Verdana"/>
          <w:sz w:val="18"/>
        </w:rPr>
        <w:t>indépendance énergétique est essentielle à l</w:t>
      </w:r>
      <w:r w:rsidRPr="006D2149" w:rsidR="006D2149">
        <w:rPr>
          <w:rFonts w:ascii="Verdana" w:hAnsi="Verdana"/>
          <w:sz w:val="18"/>
        </w:rPr>
        <w:t>’</w:t>
      </w:r>
      <w:r w:rsidRPr="006D2149">
        <w:rPr>
          <w:rFonts w:ascii="Verdana" w:hAnsi="Verdana"/>
          <w:sz w:val="18"/>
        </w:rPr>
        <w:t>avenir de l</w:t>
      </w:r>
      <w:r w:rsidRPr="006D2149" w:rsidR="006D2149">
        <w:rPr>
          <w:rFonts w:ascii="Verdana" w:hAnsi="Verdana"/>
          <w:sz w:val="18"/>
        </w:rPr>
        <w:t>’</w:t>
      </w:r>
      <w:r w:rsidRPr="006D2149">
        <w:rPr>
          <w:rFonts w:ascii="Verdana" w:hAnsi="Verdana"/>
          <w:sz w:val="18"/>
        </w:rPr>
        <w:t>Europe. C</w:t>
      </w:r>
      <w:r w:rsidRPr="006D2149" w:rsidR="006D2149">
        <w:rPr>
          <w:rFonts w:ascii="Verdana" w:hAnsi="Verdana"/>
          <w:sz w:val="18"/>
        </w:rPr>
        <w:t>’</w:t>
      </w:r>
      <w:r w:rsidRPr="006D2149">
        <w:rPr>
          <w:rFonts w:ascii="Verdana" w:hAnsi="Verdana"/>
          <w:sz w:val="18"/>
        </w:rPr>
        <w:t>est pourquoi l</w:t>
      </w:r>
      <w:r w:rsidRPr="006D2149" w:rsidR="006D2149">
        <w:rPr>
          <w:rFonts w:ascii="Verdana" w:hAnsi="Verdana"/>
          <w:sz w:val="18"/>
        </w:rPr>
        <w:t>’</w:t>
      </w:r>
      <w:r w:rsidRPr="006D2149">
        <w:rPr>
          <w:rFonts w:ascii="Verdana" w:hAnsi="Verdana"/>
          <w:sz w:val="18"/>
        </w:rPr>
        <w:t>Union européenne doit garantir sans délai son approvisionnement énergétique en se libérant de la dépendance à l</w:t>
      </w:r>
      <w:r w:rsidRPr="006D2149" w:rsidR="006D2149">
        <w:rPr>
          <w:rFonts w:ascii="Verdana" w:hAnsi="Verdana"/>
          <w:sz w:val="18"/>
        </w:rPr>
        <w:t>’</w:t>
      </w:r>
      <w:r w:rsidRPr="006D2149">
        <w:rPr>
          <w:rFonts w:ascii="Verdana" w:hAnsi="Verdana"/>
          <w:sz w:val="18"/>
        </w:rPr>
        <w:t>égard du gaz en provenance de Russie et en accélérant radicalement la transition vers une énergie propre. Telles sont les principales conclusions de l</w:t>
      </w:r>
      <w:r w:rsidRPr="006D2149" w:rsidR="006D2149">
        <w:rPr>
          <w:rFonts w:ascii="Verdana" w:hAnsi="Verdana"/>
          <w:sz w:val="18"/>
        </w:rPr>
        <w:t>’</w:t>
      </w:r>
      <w:r w:rsidRPr="006D2149">
        <w:rPr>
          <w:rFonts w:ascii="Verdana" w:hAnsi="Verdana"/>
          <w:sz w:val="18"/>
        </w:rPr>
        <w:t>avis du CESE sur le thème «</w:t>
      </w:r>
      <w:proofErr w:type="spellStart"/>
      <w:r w:rsidRPr="006D2149">
        <w:rPr>
          <w:rFonts w:ascii="Verdana" w:hAnsi="Verdana"/>
          <w:sz w:val="18"/>
        </w:rPr>
        <w:t>REPowerEU</w:t>
      </w:r>
      <w:proofErr w:type="spellEnd"/>
      <w:r w:rsidRPr="006D2149">
        <w:rPr>
          <w:rFonts w:ascii="Verdana" w:hAnsi="Verdana"/>
          <w:sz w:val="18"/>
        </w:rPr>
        <w:t xml:space="preserve">: Action européenne conjointe pour une énergie plus abordable, plus sûre et plus durable», élaboré par </w:t>
      </w:r>
      <w:r w:rsidRPr="006D2149">
        <w:rPr>
          <w:rFonts w:ascii="Verdana" w:hAnsi="Verdana"/>
          <w:b/>
          <w:sz w:val="18"/>
        </w:rPr>
        <w:t>Thomas </w:t>
      </w:r>
      <w:proofErr w:type="spellStart"/>
      <w:r w:rsidRPr="006D2149">
        <w:rPr>
          <w:rFonts w:ascii="Verdana" w:hAnsi="Verdana"/>
          <w:b/>
          <w:sz w:val="18"/>
        </w:rPr>
        <w:t>Kattnig</w:t>
      </w:r>
      <w:proofErr w:type="spellEnd"/>
      <w:r w:rsidRPr="006D2149">
        <w:rPr>
          <w:rFonts w:ascii="Verdana" w:hAnsi="Verdana"/>
          <w:sz w:val="18"/>
        </w:rPr>
        <w:t xml:space="preserve">, </w:t>
      </w:r>
      <w:r w:rsidRPr="006D2149">
        <w:rPr>
          <w:rFonts w:ascii="Verdana" w:hAnsi="Verdana"/>
          <w:b/>
          <w:sz w:val="18"/>
        </w:rPr>
        <w:t>Alena </w:t>
      </w:r>
      <w:proofErr w:type="spellStart"/>
      <w:r w:rsidRPr="006D2149">
        <w:rPr>
          <w:rFonts w:ascii="Verdana" w:hAnsi="Verdana"/>
          <w:b/>
          <w:sz w:val="18"/>
        </w:rPr>
        <w:t>Mastantuono</w:t>
      </w:r>
      <w:proofErr w:type="spellEnd"/>
      <w:r w:rsidRPr="006D2149">
        <w:rPr>
          <w:rFonts w:ascii="Verdana" w:hAnsi="Verdana"/>
          <w:sz w:val="18"/>
        </w:rPr>
        <w:t xml:space="preserve"> et </w:t>
      </w:r>
      <w:r w:rsidRPr="006D2149">
        <w:rPr>
          <w:rFonts w:ascii="Verdana" w:hAnsi="Verdana"/>
          <w:b/>
          <w:sz w:val="18"/>
        </w:rPr>
        <w:t>Simo </w:t>
      </w:r>
      <w:proofErr w:type="spellStart"/>
      <w:r w:rsidRPr="006D2149">
        <w:rPr>
          <w:rFonts w:ascii="Verdana" w:hAnsi="Verdana"/>
          <w:b/>
          <w:sz w:val="18"/>
        </w:rPr>
        <w:t>Tiainen</w:t>
      </w:r>
      <w:proofErr w:type="spellEnd"/>
      <w:r w:rsidRPr="006D2149">
        <w:rPr>
          <w:rFonts w:ascii="Verdana" w:hAnsi="Verdana"/>
          <w:sz w:val="18"/>
        </w:rPr>
        <w:t xml:space="preserve"> et adopté lors de la session plénière de mai.</w:t>
      </w:r>
    </w:p>
    <w:p w:rsidRPr="006D2149" w:rsidR="00D111A3" w:rsidP="001C54D3" w:rsidRDefault="00D111A3" w14:paraId="035491F0" w14:textId="77777777">
      <w:pPr>
        <w:rPr>
          <w:rFonts w:ascii="Verdana" w:hAnsi="Verdana"/>
          <w:sz w:val="18"/>
          <w:szCs w:val="18"/>
        </w:rPr>
      </w:pPr>
    </w:p>
    <w:p w:rsidRPr="006D2149" w:rsidR="001C54D3" w:rsidP="001C54D3" w:rsidRDefault="000765BA" w14:paraId="5E6F4814" w14:textId="5884F721">
      <w:pPr>
        <w:rPr>
          <w:rFonts w:ascii="Verdana" w:hAnsi="Verdana"/>
          <w:sz w:val="18"/>
          <w:szCs w:val="18"/>
        </w:rPr>
      </w:pPr>
      <w:r w:rsidRPr="006D2149">
        <w:rPr>
          <w:rFonts w:ascii="Verdana" w:hAnsi="Verdana"/>
          <w:sz w:val="18"/>
        </w:rPr>
        <w:t>Dans son avis, le Comité soutient la communication de la Commission européenne relative au programme «</w:t>
      </w:r>
      <w:proofErr w:type="spellStart"/>
      <w:r w:rsidRPr="006D2149">
        <w:rPr>
          <w:rFonts w:ascii="Verdana" w:hAnsi="Verdana"/>
          <w:sz w:val="18"/>
        </w:rPr>
        <w:t>REPowerEU</w:t>
      </w:r>
      <w:proofErr w:type="spellEnd"/>
      <w:r w:rsidRPr="006D2149">
        <w:rPr>
          <w:rFonts w:ascii="Verdana" w:hAnsi="Verdana"/>
          <w:sz w:val="18"/>
        </w:rPr>
        <w:t>», approuvée par le collège le même jour que l</w:t>
      </w:r>
      <w:r w:rsidRPr="006D2149" w:rsidR="006D2149">
        <w:rPr>
          <w:rFonts w:ascii="Verdana" w:hAnsi="Verdana"/>
          <w:sz w:val="18"/>
        </w:rPr>
        <w:t>’</w:t>
      </w:r>
      <w:r w:rsidRPr="006D2149">
        <w:rPr>
          <w:rFonts w:ascii="Verdana" w:hAnsi="Verdana"/>
          <w:sz w:val="18"/>
        </w:rPr>
        <w:t>adoption de l</w:t>
      </w:r>
      <w:r w:rsidRPr="006D2149" w:rsidR="006D2149">
        <w:rPr>
          <w:rFonts w:ascii="Verdana" w:hAnsi="Verdana"/>
          <w:sz w:val="18"/>
        </w:rPr>
        <w:t>’</w:t>
      </w:r>
      <w:r w:rsidRPr="006D2149">
        <w:rPr>
          <w:rFonts w:ascii="Verdana" w:hAnsi="Verdana"/>
          <w:sz w:val="18"/>
        </w:rPr>
        <w:t>avis, et déclare qu</w:t>
      </w:r>
      <w:r w:rsidRPr="006D2149" w:rsidR="006D2149">
        <w:rPr>
          <w:rFonts w:ascii="Verdana" w:hAnsi="Verdana"/>
          <w:sz w:val="18"/>
        </w:rPr>
        <w:t>’</w:t>
      </w:r>
      <w:r w:rsidRPr="006D2149">
        <w:rPr>
          <w:rFonts w:ascii="Verdana" w:hAnsi="Verdana"/>
          <w:sz w:val="18"/>
        </w:rPr>
        <w:t>elle s</w:t>
      </w:r>
      <w:r w:rsidRPr="006D2149" w:rsidR="006D2149">
        <w:rPr>
          <w:rFonts w:ascii="Verdana" w:hAnsi="Verdana"/>
          <w:sz w:val="18"/>
        </w:rPr>
        <w:t>’</w:t>
      </w:r>
      <w:r w:rsidRPr="006D2149">
        <w:rPr>
          <w:rFonts w:ascii="Verdana" w:hAnsi="Verdana"/>
          <w:sz w:val="18"/>
        </w:rPr>
        <w:t>inscrit dans la lignée des objectifs du pacte vert et de l</w:t>
      </w:r>
      <w:r w:rsidRPr="006D2149" w:rsidR="006D2149">
        <w:rPr>
          <w:rFonts w:ascii="Verdana" w:hAnsi="Verdana"/>
          <w:sz w:val="18"/>
        </w:rPr>
        <w:t>’</w:t>
      </w:r>
      <w:r w:rsidRPr="006D2149">
        <w:rPr>
          <w:rFonts w:ascii="Verdana" w:hAnsi="Verdana"/>
          <w:sz w:val="18"/>
        </w:rPr>
        <w:t>union européenne de l</w:t>
      </w:r>
      <w:r w:rsidRPr="006D2149" w:rsidR="006D2149">
        <w:rPr>
          <w:rFonts w:ascii="Verdana" w:hAnsi="Verdana"/>
          <w:sz w:val="18"/>
        </w:rPr>
        <w:t>’</w:t>
      </w:r>
      <w:r w:rsidRPr="006D2149">
        <w:rPr>
          <w:rFonts w:ascii="Verdana" w:hAnsi="Verdana"/>
          <w:sz w:val="18"/>
        </w:rPr>
        <w:t>énergie. La proposition de la Commission définit en outre de nouvelles actions visant à accélérer la production d</w:t>
      </w:r>
      <w:r w:rsidRPr="006D2149" w:rsidR="006D2149">
        <w:rPr>
          <w:rFonts w:ascii="Verdana" w:hAnsi="Verdana"/>
          <w:sz w:val="18"/>
        </w:rPr>
        <w:t>’</w:t>
      </w:r>
      <w:r w:rsidRPr="006D2149">
        <w:rPr>
          <w:rFonts w:ascii="Verdana" w:hAnsi="Verdana"/>
          <w:sz w:val="18"/>
        </w:rPr>
        <w:t>énergie verte, à diversifier l</w:t>
      </w:r>
      <w:r w:rsidRPr="006D2149" w:rsidR="006D2149">
        <w:rPr>
          <w:rFonts w:ascii="Verdana" w:hAnsi="Verdana"/>
          <w:sz w:val="18"/>
        </w:rPr>
        <w:t>’</w:t>
      </w:r>
      <w:r w:rsidRPr="006D2149">
        <w:rPr>
          <w:rFonts w:ascii="Verdana" w:hAnsi="Verdana"/>
          <w:sz w:val="18"/>
        </w:rPr>
        <w:t>approvisionnement et à réduire la demande de gaz russe, qui a conduit à des hausses considérables des prix sur le marché de l</w:t>
      </w:r>
      <w:r w:rsidRPr="006D2149" w:rsidR="006D2149">
        <w:rPr>
          <w:rFonts w:ascii="Verdana" w:hAnsi="Verdana"/>
          <w:sz w:val="18"/>
        </w:rPr>
        <w:t>’</w:t>
      </w:r>
      <w:r w:rsidRPr="006D2149">
        <w:rPr>
          <w:rFonts w:ascii="Verdana" w:hAnsi="Verdana"/>
          <w:sz w:val="18"/>
        </w:rPr>
        <w:t>électricité, en raison de manipulations de marché.</w:t>
      </w:r>
    </w:p>
    <w:p w:rsidRPr="006D2149" w:rsidR="001C54D3" w:rsidP="001C54D3" w:rsidRDefault="001C54D3" w14:paraId="6E2D0154" w14:textId="77777777">
      <w:pPr>
        <w:rPr>
          <w:rFonts w:ascii="Verdana" w:hAnsi="Verdana"/>
          <w:sz w:val="18"/>
          <w:szCs w:val="18"/>
        </w:rPr>
      </w:pPr>
    </w:p>
    <w:p w:rsidRPr="006D2149" w:rsidR="001C54D3" w:rsidP="001C54D3" w:rsidRDefault="001C54D3" w14:paraId="4F98F118" w14:textId="04551119">
      <w:pPr>
        <w:rPr>
          <w:rFonts w:ascii="Verdana" w:hAnsi="Verdana"/>
          <w:sz w:val="18"/>
          <w:szCs w:val="18"/>
        </w:rPr>
      </w:pPr>
      <w:r w:rsidRPr="006D2149">
        <w:rPr>
          <w:rFonts w:ascii="Verdana" w:hAnsi="Verdana"/>
          <w:sz w:val="18"/>
        </w:rPr>
        <w:t>Le Comité met également en garde quant au fait que l</w:t>
      </w:r>
      <w:r w:rsidRPr="006D2149" w:rsidR="006D2149">
        <w:rPr>
          <w:rFonts w:ascii="Verdana" w:hAnsi="Verdana"/>
          <w:sz w:val="18"/>
        </w:rPr>
        <w:t>’</w:t>
      </w:r>
      <w:r w:rsidRPr="006D2149">
        <w:rPr>
          <w:rFonts w:ascii="Verdana" w:hAnsi="Verdana"/>
          <w:sz w:val="18"/>
        </w:rPr>
        <w:t>Union doit être particulièrement prudente s</w:t>
      </w:r>
      <w:r w:rsidRPr="006D2149" w:rsidR="006D2149">
        <w:rPr>
          <w:rFonts w:ascii="Verdana" w:hAnsi="Verdana"/>
          <w:sz w:val="18"/>
        </w:rPr>
        <w:t>’</w:t>
      </w:r>
      <w:r w:rsidRPr="006D2149">
        <w:rPr>
          <w:rFonts w:ascii="Verdana" w:hAnsi="Verdana"/>
          <w:sz w:val="18"/>
        </w:rPr>
        <w:t>agissant du remplacement du gaz russe par d</w:t>
      </w:r>
      <w:r w:rsidRPr="006D2149" w:rsidR="006D2149">
        <w:rPr>
          <w:rFonts w:ascii="Verdana" w:hAnsi="Verdana"/>
          <w:sz w:val="18"/>
        </w:rPr>
        <w:t>’</w:t>
      </w:r>
      <w:r w:rsidRPr="006D2149">
        <w:rPr>
          <w:rFonts w:ascii="Verdana" w:hAnsi="Verdana"/>
          <w:sz w:val="18"/>
        </w:rPr>
        <w:t>autres ressources, en raison de leur impact environnemental et du risque de créer une nouvelle dépendance à l</w:t>
      </w:r>
      <w:r w:rsidRPr="006D2149" w:rsidR="006D2149">
        <w:rPr>
          <w:rFonts w:ascii="Verdana" w:hAnsi="Verdana"/>
          <w:sz w:val="18"/>
        </w:rPr>
        <w:t>’</w:t>
      </w:r>
      <w:r w:rsidRPr="006D2149">
        <w:rPr>
          <w:rFonts w:ascii="Verdana" w:hAnsi="Verdana"/>
          <w:sz w:val="18"/>
        </w:rPr>
        <w:t>égard de pays tiers qui ne partagent pas les valeurs européennes.</w:t>
      </w:r>
    </w:p>
    <w:p w:rsidRPr="006D2149" w:rsidR="001C54D3" w:rsidP="001C54D3" w:rsidRDefault="001C54D3" w14:paraId="3966100B" w14:textId="77777777">
      <w:pPr>
        <w:rPr>
          <w:rFonts w:ascii="Verdana" w:hAnsi="Verdana"/>
          <w:sz w:val="18"/>
          <w:szCs w:val="18"/>
        </w:rPr>
      </w:pPr>
    </w:p>
    <w:p w:rsidRPr="006D2149" w:rsidR="001C54D3" w:rsidP="001C54D3" w:rsidRDefault="001C54D3" w14:paraId="1B82462C" w14:textId="41B5C146">
      <w:pPr>
        <w:rPr>
          <w:rFonts w:ascii="Verdana" w:hAnsi="Verdana"/>
          <w:b/>
          <w:sz w:val="18"/>
          <w:szCs w:val="18"/>
        </w:rPr>
      </w:pPr>
      <w:r w:rsidRPr="006D2149">
        <w:rPr>
          <w:rFonts w:ascii="Verdana" w:hAnsi="Verdana"/>
          <w:b/>
          <w:sz w:val="18"/>
        </w:rPr>
        <w:t>Protéger les consommateurs et les entreprises contre les prix élevés de l</w:t>
      </w:r>
      <w:r w:rsidRPr="006D2149" w:rsidR="006D2149">
        <w:rPr>
          <w:rFonts w:ascii="Verdana" w:hAnsi="Verdana"/>
          <w:b/>
          <w:sz w:val="18"/>
        </w:rPr>
        <w:t>’</w:t>
      </w:r>
      <w:r w:rsidRPr="006D2149">
        <w:rPr>
          <w:rFonts w:ascii="Verdana" w:hAnsi="Verdana"/>
          <w:b/>
          <w:sz w:val="18"/>
        </w:rPr>
        <w:t>énergie</w:t>
      </w:r>
    </w:p>
    <w:p w:rsidRPr="006D2149" w:rsidR="001C54D3" w:rsidP="006D2149" w:rsidRDefault="001C54D3" w14:paraId="6FCAC718" w14:textId="77777777">
      <w:pPr>
        <w:keepLines/>
        <w:rPr>
          <w:rFonts w:ascii="Verdana" w:hAnsi="Verdana"/>
          <w:sz w:val="18"/>
          <w:szCs w:val="18"/>
        </w:rPr>
      </w:pPr>
      <w:bookmarkStart w:name="_GoBack" w:id="0"/>
      <w:bookmarkEnd w:id="0"/>
    </w:p>
    <w:p w:rsidRPr="006D2149" w:rsidR="001C54D3" w:rsidP="001C54D3" w:rsidRDefault="001C54D3" w14:paraId="5144DE00" w14:textId="7E229802">
      <w:pPr>
        <w:rPr>
          <w:rFonts w:ascii="Verdana" w:hAnsi="Verdana"/>
          <w:sz w:val="18"/>
          <w:szCs w:val="18"/>
        </w:rPr>
      </w:pPr>
      <w:r w:rsidRPr="006D2149">
        <w:rPr>
          <w:rFonts w:ascii="Verdana" w:hAnsi="Verdana"/>
          <w:sz w:val="18"/>
        </w:rPr>
        <w:t>La situation géopolitique actuelle causée par l</w:t>
      </w:r>
      <w:r w:rsidRPr="006D2149" w:rsidR="006D2149">
        <w:rPr>
          <w:rFonts w:ascii="Verdana" w:hAnsi="Verdana"/>
          <w:sz w:val="18"/>
        </w:rPr>
        <w:t>’</w:t>
      </w:r>
      <w:r w:rsidRPr="006D2149">
        <w:rPr>
          <w:rFonts w:ascii="Verdana" w:hAnsi="Verdana"/>
          <w:sz w:val="18"/>
        </w:rPr>
        <w:t>invasion russe de l</w:t>
      </w:r>
      <w:r w:rsidRPr="006D2149" w:rsidR="006D2149">
        <w:rPr>
          <w:rFonts w:ascii="Verdana" w:hAnsi="Verdana"/>
          <w:sz w:val="18"/>
        </w:rPr>
        <w:t>’</w:t>
      </w:r>
      <w:r w:rsidRPr="006D2149">
        <w:rPr>
          <w:rFonts w:ascii="Verdana" w:hAnsi="Verdana"/>
          <w:sz w:val="18"/>
        </w:rPr>
        <w:t>Ukraine a encore aggravé la flambée sans précédent des prix de l</w:t>
      </w:r>
      <w:r w:rsidRPr="006D2149" w:rsidR="006D2149">
        <w:rPr>
          <w:rFonts w:ascii="Verdana" w:hAnsi="Verdana"/>
          <w:sz w:val="18"/>
        </w:rPr>
        <w:t>’</w:t>
      </w:r>
      <w:r w:rsidRPr="006D2149">
        <w:rPr>
          <w:rFonts w:ascii="Verdana" w:hAnsi="Verdana"/>
          <w:sz w:val="18"/>
        </w:rPr>
        <w:t>énergie à laquelle l</w:t>
      </w:r>
      <w:r w:rsidRPr="006D2149" w:rsidR="006D2149">
        <w:rPr>
          <w:rFonts w:ascii="Verdana" w:hAnsi="Verdana"/>
          <w:sz w:val="18"/>
        </w:rPr>
        <w:t>’</w:t>
      </w:r>
      <w:r w:rsidRPr="006D2149">
        <w:rPr>
          <w:rFonts w:ascii="Verdana" w:hAnsi="Verdana"/>
          <w:sz w:val="18"/>
        </w:rPr>
        <w:t>UE a été confrontée ces derniers mois. Il est donc capital de prendre des mesures immédiates pour atténuer les effets de cette hausse des prix sur les ménages, les agriculteurs, les entreprises et l</w:t>
      </w:r>
      <w:r w:rsidRPr="006D2149" w:rsidR="006D2149">
        <w:rPr>
          <w:rFonts w:ascii="Verdana" w:hAnsi="Verdana"/>
          <w:sz w:val="18"/>
        </w:rPr>
        <w:t>’</w:t>
      </w:r>
      <w:r w:rsidRPr="006D2149">
        <w:rPr>
          <w:rFonts w:ascii="Verdana" w:hAnsi="Verdana"/>
          <w:sz w:val="18"/>
        </w:rPr>
        <w:t>industrie d</w:t>
      </w:r>
      <w:r w:rsidRPr="006D2149" w:rsidR="006D2149">
        <w:rPr>
          <w:rFonts w:ascii="Verdana" w:hAnsi="Verdana"/>
          <w:sz w:val="18"/>
        </w:rPr>
        <w:t>’</w:t>
      </w:r>
      <w:r w:rsidRPr="006D2149">
        <w:rPr>
          <w:rFonts w:ascii="Verdana" w:hAnsi="Verdana"/>
          <w:sz w:val="18"/>
        </w:rPr>
        <w:t>Europe.</w:t>
      </w:r>
    </w:p>
    <w:p w:rsidRPr="006D2149" w:rsidR="001C54D3" w:rsidP="001C54D3" w:rsidRDefault="001C54D3" w14:paraId="5A05909F" w14:textId="77777777">
      <w:pPr>
        <w:rPr>
          <w:rFonts w:ascii="Verdana" w:hAnsi="Verdana"/>
          <w:sz w:val="18"/>
          <w:szCs w:val="18"/>
        </w:rPr>
      </w:pPr>
    </w:p>
    <w:p w:rsidRPr="006D2149" w:rsidR="00767758" w:rsidP="001C54D3" w:rsidRDefault="001C54D3" w14:paraId="228A0FCF" w14:textId="246F41C7">
      <w:pPr>
        <w:rPr>
          <w:rFonts w:ascii="Verdana" w:hAnsi="Verdana"/>
          <w:sz w:val="18"/>
          <w:szCs w:val="18"/>
        </w:rPr>
      </w:pPr>
      <w:r w:rsidRPr="006D2149">
        <w:rPr>
          <w:rFonts w:ascii="Verdana" w:hAnsi="Verdana"/>
          <w:sz w:val="18"/>
        </w:rPr>
        <w:t>Le CESE fait valoir qu</w:t>
      </w:r>
      <w:r w:rsidRPr="006D2149" w:rsidR="006D2149">
        <w:rPr>
          <w:rFonts w:ascii="Verdana" w:hAnsi="Verdana"/>
          <w:sz w:val="18"/>
        </w:rPr>
        <w:t>’</w:t>
      </w:r>
      <w:r w:rsidRPr="006D2149">
        <w:rPr>
          <w:rFonts w:ascii="Verdana" w:hAnsi="Verdana"/>
          <w:sz w:val="18"/>
        </w:rPr>
        <w:t xml:space="preserve">en vue de compenser les pressions liées aux prix qui pèsent actuellement sur les consommateurs, les États membres devront adopter des mesures fiscales ou réglementaires pour éviter les augmentations soudaines des prix, garantir des prix abordables pour les </w:t>
      </w:r>
      <w:r w:rsidRPr="006D2149">
        <w:rPr>
          <w:rFonts w:ascii="Verdana" w:hAnsi="Verdana"/>
          <w:sz w:val="18"/>
        </w:rPr>
        <w:lastRenderedPageBreak/>
        <w:t>consommateurs finaux et prévenir la précarité énergétique. Le Comité invite instamment la Commission et le Conseil à entreprendre d</w:t>
      </w:r>
      <w:r w:rsidRPr="006D2149" w:rsidR="006D2149">
        <w:rPr>
          <w:rFonts w:ascii="Verdana" w:hAnsi="Verdana"/>
          <w:sz w:val="18"/>
        </w:rPr>
        <w:t>’</w:t>
      </w:r>
      <w:r w:rsidRPr="006D2149">
        <w:rPr>
          <w:rFonts w:ascii="Verdana" w:hAnsi="Verdana"/>
          <w:sz w:val="18"/>
        </w:rPr>
        <w:t>autres actions afin de stabiliser les prix dans le système énergétique de l</w:t>
      </w:r>
      <w:r w:rsidRPr="006D2149" w:rsidR="006D2149">
        <w:rPr>
          <w:rFonts w:ascii="Verdana" w:hAnsi="Verdana"/>
          <w:sz w:val="18"/>
        </w:rPr>
        <w:t>’</w:t>
      </w:r>
      <w:r w:rsidRPr="006D2149">
        <w:rPr>
          <w:rFonts w:ascii="Verdana" w:hAnsi="Verdana"/>
          <w:sz w:val="18"/>
        </w:rPr>
        <w:t>UE.</w:t>
      </w:r>
    </w:p>
    <w:p w:rsidRPr="006D2149" w:rsidR="00767758" w:rsidP="001C54D3" w:rsidRDefault="00767758" w14:paraId="258D4F31" w14:textId="77777777">
      <w:pPr>
        <w:rPr>
          <w:rFonts w:ascii="Verdana" w:hAnsi="Verdana"/>
          <w:sz w:val="18"/>
          <w:szCs w:val="18"/>
        </w:rPr>
      </w:pPr>
    </w:p>
    <w:p w:rsidRPr="006D2149" w:rsidR="00767758" w:rsidP="001C54D3" w:rsidRDefault="00767758" w14:paraId="3923E038" w14:textId="75BEF482">
      <w:pPr>
        <w:rPr>
          <w:rFonts w:ascii="Verdana" w:hAnsi="Verdana"/>
          <w:sz w:val="18"/>
          <w:szCs w:val="18"/>
        </w:rPr>
      </w:pPr>
      <w:r w:rsidRPr="006D2149">
        <w:rPr>
          <w:rFonts w:ascii="Verdana" w:hAnsi="Verdana"/>
          <w:sz w:val="18"/>
        </w:rPr>
        <w:t>Néanmoins, les décideurs politiques de l</w:t>
      </w:r>
      <w:r w:rsidRPr="006D2149" w:rsidR="006D2149">
        <w:rPr>
          <w:rFonts w:ascii="Verdana" w:hAnsi="Verdana"/>
          <w:sz w:val="18"/>
        </w:rPr>
        <w:t>’</w:t>
      </w:r>
      <w:r w:rsidRPr="006D2149">
        <w:rPr>
          <w:rFonts w:ascii="Verdana" w:hAnsi="Verdana"/>
          <w:sz w:val="18"/>
        </w:rPr>
        <w:t>Union et des États membres devraient veiller à ce que de telles mesures n</w:t>
      </w:r>
      <w:r w:rsidRPr="006D2149" w:rsidR="006D2149">
        <w:rPr>
          <w:rFonts w:ascii="Verdana" w:hAnsi="Verdana"/>
          <w:sz w:val="18"/>
        </w:rPr>
        <w:t>’</w:t>
      </w:r>
      <w:r w:rsidRPr="006D2149">
        <w:rPr>
          <w:rFonts w:ascii="Verdana" w:hAnsi="Verdana"/>
          <w:sz w:val="18"/>
        </w:rPr>
        <w:t>entravent pas le fonctionnement du marché intérieur de l</w:t>
      </w:r>
      <w:r w:rsidRPr="006D2149" w:rsidR="006D2149">
        <w:rPr>
          <w:rFonts w:ascii="Verdana" w:hAnsi="Verdana"/>
          <w:sz w:val="18"/>
        </w:rPr>
        <w:t>’</w:t>
      </w:r>
      <w:r w:rsidRPr="006D2149">
        <w:rPr>
          <w:rFonts w:ascii="Verdana" w:hAnsi="Verdana"/>
          <w:sz w:val="18"/>
        </w:rPr>
        <w:t xml:space="preserve">énergie, ne compromettent pas les efforts de </w:t>
      </w:r>
      <w:proofErr w:type="spellStart"/>
      <w:r w:rsidRPr="006D2149">
        <w:rPr>
          <w:rFonts w:ascii="Verdana" w:hAnsi="Verdana"/>
          <w:sz w:val="18"/>
        </w:rPr>
        <w:t>décarbonation</w:t>
      </w:r>
      <w:proofErr w:type="spellEnd"/>
      <w:r w:rsidRPr="006D2149">
        <w:rPr>
          <w:rFonts w:ascii="Verdana" w:hAnsi="Verdana"/>
          <w:sz w:val="18"/>
        </w:rPr>
        <w:t xml:space="preserve"> ni l</w:t>
      </w:r>
      <w:r w:rsidRPr="006D2149" w:rsidR="006D2149">
        <w:rPr>
          <w:rFonts w:ascii="Verdana" w:hAnsi="Verdana"/>
          <w:sz w:val="18"/>
        </w:rPr>
        <w:t>’</w:t>
      </w:r>
      <w:r w:rsidRPr="006D2149">
        <w:rPr>
          <w:rFonts w:ascii="Verdana" w:hAnsi="Verdana"/>
          <w:sz w:val="18"/>
        </w:rPr>
        <w:t>efficacité énergétique et ne créent pas d</w:t>
      </w:r>
      <w:r w:rsidRPr="006D2149" w:rsidR="006D2149">
        <w:rPr>
          <w:rFonts w:ascii="Verdana" w:hAnsi="Verdana"/>
          <w:sz w:val="18"/>
        </w:rPr>
        <w:t>’</w:t>
      </w:r>
      <w:r w:rsidRPr="006D2149">
        <w:rPr>
          <w:rFonts w:ascii="Verdana" w:hAnsi="Verdana"/>
          <w:sz w:val="18"/>
        </w:rPr>
        <w:t>incertitudes en matière d</w:t>
      </w:r>
      <w:r w:rsidRPr="006D2149" w:rsidR="006D2149">
        <w:rPr>
          <w:rFonts w:ascii="Verdana" w:hAnsi="Verdana"/>
          <w:sz w:val="18"/>
        </w:rPr>
        <w:t>’</w:t>
      </w:r>
      <w:r w:rsidRPr="006D2149">
        <w:rPr>
          <w:rFonts w:ascii="Verdana" w:hAnsi="Verdana"/>
          <w:sz w:val="18"/>
        </w:rPr>
        <w:t>investissements dans le secteur de l</w:t>
      </w:r>
      <w:r w:rsidRPr="006D2149" w:rsidR="006D2149">
        <w:rPr>
          <w:rFonts w:ascii="Verdana" w:hAnsi="Verdana"/>
          <w:sz w:val="18"/>
        </w:rPr>
        <w:t>’</w:t>
      </w:r>
      <w:r w:rsidRPr="006D2149">
        <w:rPr>
          <w:rFonts w:ascii="Verdana" w:hAnsi="Verdana"/>
          <w:sz w:val="18"/>
        </w:rPr>
        <w:t>énergie. Par ailleurs, ces mesures devraient être décidées en étroite concertation avec les parties prenantes concernées, notamment les partenaires sociaux.</w:t>
      </w:r>
    </w:p>
    <w:p w:rsidRPr="006D2149" w:rsidR="007234C4" w:rsidP="001C54D3" w:rsidRDefault="007234C4" w14:paraId="305DA0E2" w14:textId="77777777">
      <w:pPr>
        <w:rPr>
          <w:rFonts w:ascii="Verdana" w:hAnsi="Verdana"/>
          <w:sz w:val="18"/>
          <w:szCs w:val="18"/>
        </w:rPr>
      </w:pPr>
    </w:p>
    <w:p w:rsidRPr="006D2149" w:rsidR="001C54D3" w:rsidP="001C54D3" w:rsidRDefault="001C54D3" w14:paraId="12F1BE18" w14:textId="3F8C1835">
      <w:pPr>
        <w:rPr>
          <w:rFonts w:ascii="Verdana" w:hAnsi="Verdana"/>
          <w:sz w:val="18"/>
          <w:szCs w:val="18"/>
        </w:rPr>
      </w:pPr>
      <w:r w:rsidRPr="006D2149">
        <w:rPr>
          <w:rFonts w:ascii="Verdana" w:hAnsi="Verdana"/>
          <w:sz w:val="18"/>
        </w:rPr>
        <w:t>«Nous demandons des solutions à court terme, conformes aux objectifs du pacte vert et de l</w:t>
      </w:r>
      <w:r w:rsidRPr="006D2149" w:rsidR="006D2149">
        <w:rPr>
          <w:rFonts w:ascii="Verdana" w:hAnsi="Verdana"/>
          <w:sz w:val="18"/>
        </w:rPr>
        <w:t>’</w:t>
      </w:r>
      <w:r w:rsidRPr="006D2149">
        <w:rPr>
          <w:rFonts w:ascii="Verdana" w:hAnsi="Verdana"/>
          <w:sz w:val="18"/>
        </w:rPr>
        <w:t>union de l</w:t>
      </w:r>
      <w:r w:rsidRPr="006D2149" w:rsidR="006D2149">
        <w:rPr>
          <w:rFonts w:ascii="Verdana" w:hAnsi="Verdana"/>
          <w:sz w:val="18"/>
        </w:rPr>
        <w:t>’</w:t>
      </w:r>
      <w:r w:rsidRPr="006D2149">
        <w:rPr>
          <w:rFonts w:ascii="Verdana" w:hAnsi="Verdana"/>
          <w:sz w:val="18"/>
        </w:rPr>
        <w:t>énergie, afin de garantir une énergie plus abordable, plus sûre et plus durable, et des efforts considérables pour accroître la production d</w:t>
      </w:r>
      <w:r w:rsidRPr="006D2149" w:rsidR="006D2149">
        <w:rPr>
          <w:rFonts w:ascii="Verdana" w:hAnsi="Verdana"/>
          <w:sz w:val="18"/>
        </w:rPr>
        <w:t>’</w:t>
      </w:r>
      <w:r w:rsidRPr="006D2149">
        <w:rPr>
          <w:rFonts w:ascii="Verdana" w:hAnsi="Verdana"/>
          <w:sz w:val="18"/>
        </w:rPr>
        <w:t>énergie verte, diversifier l</w:t>
      </w:r>
      <w:r w:rsidRPr="006D2149" w:rsidR="006D2149">
        <w:rPr>
          <w:rFonts w:ascii="Verdana" w:hAnsi="Verdana"/>
          <w:sz w:val="18"/>
        </w:rPr>
        <w:t>’</w:t>
      </w:r>
      <w:r w:rsidRPr="006D2149">
        <w:rPr>
          <w:rFonts w:ascii="Verdana" w:hAnsi="Verdana"/>
          <w:sz w:val="18"/>
        </w:rPr>
        <w:t>approvisionnement et réduire la demande pour accroître l</w:t>
      </w:r>
      <w:r w:rsidRPr="006D2149" w:rsidR="006D2149">
        <w:rPr>
          <w:rFonts w:ascii="Verdana" w:hAnsi="Verdana"/>
          <w:sz w:val="18"/>
        </w:rPr>
        <w:t>’</w:t>
      </w:r>
      <w:r w:rsidRPr="006D2149">
        <w:rPr>
          <w:rFonts w:ascii="Verdana" w:hAnsi="Verdana"/>
          <w:sz w:val="18"/>
        </w:rPr>
        <w:t xml:space="preserve">indépendance énergétique vis-à-vis de la Russie», a déclaré </w:t>
      </w:r>
      <w:r w:rsidRPr="006D2149">
        <w:rPr>
          <w:rFonts w:ascii="Verdana" w:hAnsi="Verdana"/>
          <w:b/>
          <w:sz w:val="18"/>
        </w:rPr>
        <w:t>M. </w:t>
      </w:r>
      <w:proofErr w:type="spellStart"/>
      <w:r w:rsidRPr="006D2149">
        <w:rPr>
          <w:rFonts w:ascii="Verdana" w:hAnsi="Verdana"/>
          <w:b/>
          <w:sz w:val="18"/>
        </w:rPr>
        <w:t>Kattnig</w:t>
      </w:r>
      <w:proofErr w:type="spellEnd"/>
      <w:r w:rsidRPr="006D2149">
        <w:rPr>
          <w:rFonts w:ascii="Verdana" w:hAnsi="Verdana"/>
          <w:sz w:val="18"/>
        </w:rPr>
        <w:t>.</w:t>
      </w:r>
    </w:p>
    <w:p w:rsidRPr="006D2149" w:rsidR="001C54D3" w:rsidP="001C54D3" w:rsidRDefault="001C54D3" w14:paraId="5F1656D7" w14:textId="77777777">
      <w:pPr>
        <w:rPr>
          <w:rFonts w:ascii="Verdana" w:hAnsi="Verdana"/>
          <w:sz w:val="18"/>
          <w:szCs w:val="18"/>
        </w:rPr>
      </w:pPr>
    </w:p>
    <w:p w:rsidRPr="006D2149" w:rsidR="001C54D3" w:rsidP="001C54D3" w:rsidRDefault="001C54D3" w14:paraId="770E51D1" w14:textId="77777777">
      <w:pPr>
        <w:rPr>
          <w:rFonts w:ascii="Verdana" w:hAnsi="Verdana"/>
          <w:b/>
          <w:sz w:val="18"/>
          <w:szCs w:val="18"/>
        </w:rPr>
      </w:pPr>
      <w:r w:rsidRPr="006D2149">
        <w:rPr>
          <w:rFonts w:ascii="Verdana" w:hAnsi="Verdana"/>
          <w:b/>
          <w:sz w:val="18"/>
        </w:rPr>
        <w:t>Faciliter les investissements dans des solutions à faible intensité de carbone</w:t>
      </w:r>
    </w:p>
    <w:p w:rsidRPr="006D2149" w:rsidR="001C54D3" w:rsidP="006D2149" w:rsidRDefault="001C54D3" w14:paraId="7B65A559" w14:textId="77777777">
      <w:pPr>
        <w:keepLines/>
        <w:rPr>
          <w:rFonts w:ascii="Verdana" w:hAnsi="Verdana"/>
          <w:sz w:val="18"/>
          <w:szCs w:val="18"/>
        </w:rPr>
      </w:pPr>
    </w:p>
    <w:p w:rsidRPr="006D2149" w:rsidR="007234C4" w:rsidP="001C54D3" w:rsidRDefault="007234C4" w14:paraId="0585533A" w14:textId="06058261">
      <w:pPr>
        <w:rPr>
          <w:rFonts w:ascii="Verdana" w:hAnsi="Verdana"/>
          <w:sz w:val="18"/>
          <w:szCs w:val="18"/>
        </w:rPr>
      </w:pPr>
      <w:r w:rsidRPr="006D2149">
        <w:rPr>
          <w:rFonts w:ascii="Verdana" w:hAnsi="Verdana"/>
          <w:sz w:val="18"/>
        </w:rPr>
        <w:t>Les prix élevés de l</w:t>
      </w:r>
      <w:r w:rsidRPr="006D2149" w:rsidR="006D2149">
        <w:rPr>
          <w:rFonts w:ascii="Verdana" w:hAnsi="Verdana"/>
          <w:sz w:val="18"/>
        </w:rPr>
        <w:t>’</w:t>
      </w:r>
      <w:r w:rsidRPr="006D2149">
        <w:rPr>
          <w:rFonts w:ascii="Verdana" w:hAnsi="Verdana"/>
          <w:sz w:val="18"/>
        </w:rPr>
        <w:t>énergie génèrent des bénéfices importants pour de nombreuses compagnies pétrolières, ainsi que pour certains fournisseurs et négociants en énergie. L</w:t>
      </w:r>
      <w:r w:rsidRPr="006D2149" w:rsidR="006D2149">
        <w:rPr>
          <w:rFonts w:ascii="Verdana" w:hAnsi="Verdana"/>
          <w:sz w:val="18"/>
        </w:rPr>
        <w:t>’</w:t>
      </w:r>
      <w:r w:rsidRPr="006D2149">
        <w:rPr>
          <w:rFonts w:ascii="Verdana" w:hAnsi="Verdana"/>
          <w:sz w:val="18"/>
        </w:rPr>
        <w:t>Agence internationale de l</w:t>
      </w:r>
      <w:r w:rsidRPr="006D2149" w:rsidR="006D2149">
        <w:rPr>
          <w:rFonts w:ascii="Verdana" w:hAnsi="Verdana"/>
          <w:sz w:val="18"/>
        </w:rPr>
        <w:t>’</w:t>
      </w:r>
      <w:r w:rsidRPr="006D2149">
        <w:rPr>
          <w:rFonts w:ascii="Verdana" w:hAnsi="Verdana"/>
          <w:sz w:val="18"/>
        </w:rPr>
        <w:t>énergie (AIE) estime ces «bénéfices exceptionnels» à environ 200 milliards d</w:t>
      </w:r>
      <w:r w:rsidRPr="006D2149" w:rsidR="006D2149">
        <w:rPr>
          <w:rFonts w:ascii="Verdana" w:hAnsi="Verdana"/>
          <w:sz w:val="18"/>
        </w:rPr>
        <w:t>’</w:t>
      </w:r>
      <w:proofErr w:type="spellStart"/>
      <w:r w:rsidRPr="006D2149">
        <w:rPr>
          <w:rFonts w:ascii="Verdana" w:hAnsi="Verdana"/>
          <w:sz w:val="18"/>
        </w:rPr>
        <w:t>EUR</w:t>
      </w:r>
      <w:proofErr w:type="spellEnd"/>
      <w:r w:rsidRPr="006D2149">
        <w:rPr>
          <w:rFonts w:ascii="Verdana" w:hAnsi="Verdana"/>
          <w:sz w:val="18"/>
        </w:rPr>
        <w:t xml:space="preserve"> dans l</w:t>
      </w:r>
      <w:r w:rsidRPr="006D2149" w:rsidR="006D2149">
        <w:rPr>
          <w:rFonts w:ascii="Verdana" w:hAnsi="Verdana"/>
          <w:sz w:val="18"/>
        </w:rPr>
        <w:t>’</w:t>
      </w:r>
      <w:r w:rsidRPr="006D2149">
        <w:rPr>
          <w:rFonts w:ascii="Verdana" w:hAnsi="Verdana"/>
          <w:sz w:val="18"/>
        </w:rPr>
        <w:t>UE en 2022 et propose de leur appliquer des taxes afin de les redistribuer à titre de compensation financière aux consommateurs d</w:t>
      </w:r>
      <w:r w:rsidRPr="006D2149" w:rsidR="006D2149">
        <w:rPr>
          <w:rFonts w:ascii="Verdana" w:hAnsi="Verdana"/>
          <w:sz w:val="18"/>
        </w:rPr>
        <w:t>’</w:t>
      </w:r>
      <w:r w:rsidRPr="006D2149">
        <w:rPr>
          <w:rFonts w:ascii="Verdana" w:hAnsi="Verdana"/>
          <w:sz w:val="18"/>
        </w:rPr>
        <w:t>énergie ainsi que de les utiliser pour développer la production d</w:t>
      </w:r>
      <w:r w:rsidRPr="006D2149" w:rsidR="006D2149">
        <w:rPr>
          <w:rFonts w:ascii="Verdana" w:hAnsi="Verdana"/>
          <w:sz w:val="18"/>
        </w:rPr>
        <w:t>’</w:t>
      </w:r>
      <w:r w:rsidRPr="006D2149">
        <w:rPr>
          <w:rFonts w:ascii="Verdana" w:hAnsi="Verdana"/>
          <w:sz w:val="18"/>
        </w:rPr>
        <w:t>énergie renouvelable et les infrastructures de réseau nécessaires. Cependant, ces «taxes sur les bénéfices exceptionnels» doivent être maniées avec prudence, dans la mesure où elles pourraient poser problème et décourager les investissements des entreprises énergétiques dans des solutions à faible intensité de carbone.</w:t>
      </w:r>
    </w:p>
    <w:p w:rsidRPr="006D2149" w:rsidR="001C54D3" w:rsidP="001C54D3" w:rsidRDefault="001C54D3" w14:paraId="645CF2CC" w14:textId="77777777">
      <w:pPr>
        <w:rPr>
          <w:rFonts w:ascii="Verdana" w:hAnsi="Verdana"/>
          <w:sz w:val="18"/>
          <w:szCs w:val="18"/>
        </w:rPr>
      </w:pPr>
    </w:p>
    <w:p w:rsidRPr="006D2149" w:rsidR="001C54D3" w:rsidP="001C54D3" w:rsidRDefault="0033063D" w14:paraId="5CDB624F" w14:textId="38D0773D">
      <w:pPr>
        <w:rPr>
          <w:rFonts w:ascii="Verdana" w:hAnsi="Verdana"/>
          <w:sz w:val="18"/>
          <w:szCs w:val="18"/>
        </w:rPr>
      </w:pPr>
      <w:r w:rsidRPr="006D2149">
        <w:rPr>
          <w:rFonts w:ascii="Verdana" w:hAnsi="Verdana"/>
          <w:b/>
          <w:sz w:val="18"/>
        </w:rPr>
        <w:t>M</w:t>
      </w:r>
      <w:r w:rsidRPr="006D2149">
        <w:rPr>
          <w:rFonts w:ascii="Verdana" w:hAnsi="Verdana"/>
          <w:b/>
          <w:sz w:val="18"/>
          <w:vertAlign w:val="superscript"/>
        </w:rPr>
        <w:t>me</w:t>
      </w:r>
      <w:r w:rsidRPr="006D2149">
        <w:rPr>
          <w:rFonts w:ascii="Verdana" w:hAnsi="Verdana"/>
          <w:b/>
          <w:sz w:val="18"/>
        </w:rPr>
        <w:t> </w:t>
      </w:r>
      <w:proofErr w:type="spellStart"/>
      <w:r w:rsidRPr="006D2149">
        <w:rPr>
          <w:rFonts w:ascii="Verdana" w:hAnsi="Verdana"/>
          <w:b/>
          <w:sz w:val="18"/>
        </w:rPr>
        <w:t>Mastantuono</w:t>
      </w:r>
      <w:proofErr w:type="spellEnd"/>
      <w:r w:rsidRPr="006D2149">
        <w:rPr>
          <w:rFonts w:ascii="Verdana" w:hAnsi="Verdana"/>
          <w:sz w:val="18"/>
        </w:rPr>
        <w:t xml:space="preserve"> a formulé une mise en garde: «La situation est très grave, nous devons mobiliser toutes les sources d</w:t>
      </w:r>
      <w:r w:rsidRPr="006D2149" w:rsidR="006D2149">
        <w:rPr>
          <w:rFonts w:ascii="Verdana" w:hAnsi="Verdana"/>
          <w:sz w:val="18"/>
        </w:rPr>
        <w:t>’</w:t>
      </w:r>
      <w:r w:rsidRPr="006D2149">
        <w:rPr>
          <w:rFonts w:ascii="Verdana" w:hAnsi="Verdana"/>
          <w:sz w:val="18"/>
        </w:rPr>
        <w:t>énergie à notre disposition et garantir un niveau élevé de solidarité et de confiance entre les États membres afin de garantir l</w:t>
      </w:r>
      <w:r w:rsidRPr="006D2149" w:rsidR="006D2149">
        <w:rPr>
          <w:rFonts w:ascii="Verdana" w:hAnsi="Verdana"/>
          <w:sz w:val="18"/>
        </w:rPr>
        <w:t>’</w:t>
      </w:r>
      <w:r w:rsidRPr="006D2149">
        <w:rPr>
          <w:rFonts w:ascii="Verdana" w:hAnsi="Verdana"/>
          <w:sz w:val="18"/>
        </w:rPr>
        <w:t>approvisionnement énergétique de l</w:t>
      </w:r>
      <w:r w:rsidRPr="006D2149" w:rsidR="006D2149">
        <w:rPr>
          <w:rFonts w:ascii="Verdana" w:hAnsi="Verdana"/>
          <w:sz w:val="18"/>
        </w:rPr>
        <w:t>’</w:t>
      </w:r>
      <w:r w:rsidRPr="006D2149">
        <w:rPr>
          <w:rFonts w:ascii="Verdana" w:hAnsi="Verdana"/>
          <w:sz w:val="18"/>
        </w:rPr>
        <w:t>ensemble des Européens».</w:t>
      </w:r>
    </w:p>
    <w:p w:rsidRPr="006D2149" w:rsidR="001C54D3" w:rsidP="001C54D3" w:rsidRDefault="001C54D3" w14:paraId="6757679C" w14:textId="77777777">
      <w:pPr>
        <w:rPr>
          <w:rFonts w:ascii="Verdana" w:hAnsi="Verdana"/>
          <w:sz w:val="18"/>
          <w:szCs w:val="18"/>
        </w:rPr>
      </w:pPr>
    </w:p>
    <w:p w:rsidRPr="006D2149" w:rsidR="001C54D3" w:rsidP="001C54D3" w:rsidRDefault="001C54D3" w14:paraId="1F2EAFA1" w14:textId="00273F1E">
      <w:pPr>
        <w:rPr>
          <w:rFonts w:ascii="Verdana" w:hAnsi="Verdana"/>
          <w:b/>
          <w:sz w:val="18"/>
          <w:szCs w:val="18"/>
        </w:rPr>
      </w:pPr>
      <w:r w:rsidRPr="006D2149">
        <w:rPr>
          <w:rFonts w:ascii="Verdana" w:hAnsi="Verdana"/>
          <w:b/>
          <w:sz w:val="18"/>
        </w:rPr>
        <w:t>Exploiter le potentiel de toutes les sources d</w:t>
      </w:r>
      <w:r w:rsidRPr="006D2149" w:rsidR="006D2149">
        <w:rPr>
          <w:rFonts w:ascii="Verdana" w:hAnsi="Verdana"/>
          <w:b/>
          <w:sz w:val="18"/>
        </w:rPr>
        <w:t>’</w:t>
      </w:r>
      <w:r w:rsidRPr="006D2149">
        <w:rPr>
          <w:rFonts w:ascii="Verdana" w:hAnsi="Verdana"/>
          <w:b/>
          <w:sz w:val="18"/>
        </w:rPr>
        <w:t>énergie propres</w:t>
      </w:r>
    </w:p>
    <w:p w:rsidRPr="006D2149" w:rsidR="001C54D3" w:rsidP="006D2149" w:rsidRDefault="001C54D3" w14:paraId="5D1472CD" w14:textId="77777777">
      <w:pPr>
        <w:keepLines/>
        <w:rPr>
          <w:rFonts w:ascii="Verdana" w:hAnsi="Verdana"/>
          <w:sz w:val="18"/>
          <w:szCs w:val="18"/>
        </w:rPr>
      </w:pPr>
    </w:p>
    <w:p w:rsidRPr="006D2149" w:rsidR="00312C41" w:rsidP="001C54D3" w:rsidRDefault="00AE5D13" w14:paraId="74850EF7" w14:textId="52F3A4D7">
      <w:pPr>
        <w:rPr>
          <w:rFonts w:ascii="Verdana" w:hAnsi="Verdana"/>
          <w:sz w:val="18"/>
          <w:szCs w:val="18"/>
        </w:rPr>
      </w:pPr>
      <w:r w:rsidRPr="006D2149">
        <w:rPr>
          <w:rFonts w:ascii="Verdana" w:hAnsi="Verdana"/>
          <w:sz w:val="18"/>
        </w:rPr>
        <w:t>Dans cette optique, les infrastructures jouent un rôle essentiel et doivent être améliorées afin de tenir compte, d</w:t>
      </w:r>
      <w:r w:rsidRPr="006D2149" w:rsidR="006D2149">
        <w:rPr>
          <w:rFonts w:ascii="Verdana" w:hAnsi="Verdana"/>
          <w:sz w:val="18"/>
        </w:rPr>
        <w:t>’</w:t>
      </w:r>
      <w:r w:rsidRPr="006D2149">
        <w:rPr>
          <w:rFonts w:ascii="Verdana" w:hAnsi="Verdana"/>
          <w:sz w:val="18"/>
        </w:rPr>
        <w:t>une part, de la transition écologique selon les objectifs du pacte vert et, d</w:t>
      </w:r>
      <w:r w:rsidRPr="006D2149" w:rsidR="006D2149">
        <w:rPr>
          <w:rFonts w:ascii="Verdana" w:hAnsi="Verdana"/>
          <w:sz w:val="18"/>
        </w:rPr>
        <w:t>’</w:t>
      </w:r>
      <w:r w:rsidRPr="006D2149">
        <w:rPr>
          <w:rFonts w:ascii="Verdana" w:hAnsi="Verdana"/>
          <w:sz w:val="18"/>
        </w:rPr>
        <w:t>autre part, de la diversification des sources de gaz, tout en garantissant le flux d</w:t>
      </w:r>
      <w:r w:rsidRPr="006D2149" w:rsidR="006D2149">
        <w:rPr>
          <w:rFonts w:ascii="Verdana" w:hAnsi="Verdana"/>
          <w:sz w:val="18"/>
        </w:rPr>
        <w:t>’</w:t>
      </w:r>
      <w:r w:rsidRPr="006D2149">
        <w:rPr>
          <w:rFonts w:ascii="Verdana" w:hAnsi="Verdana"/>
          <w:sz w:val="18"/>
        </w:rPr>
        <w:t>énergie entre les États membres au moyen d</w:t>
      </w:r>
      <w:r w:rsidRPr="006D2149" w:rsidR="006D2149">
        <w:rPr>
          <w:rFonts w:ascii="Verdana" w:hAnsi="Verdana"/>
          <w:sz w:val="18"/>
        </w:rPr>
        <w:t>’</w:t>
      </w:r>
      <w:r w:rsidRPr="006D2149">
        <w:rPr>
          <w:rFonts w:ascii="Verdana" w:hAnsi="Verdana"/>
          <w:sz w:val="18"/>
        </w:rPr>
        <w:t>interconnexions de transport.</w:t>
      </w:r>
    </w:p>
    <w:p w:rsidRPr="006D2149" w:rsidR="00312C41" w:rsidP="001C54D3" w:rsidRDefault="00312C41" w14:paraId="2F9C1A89" w14:textId="77777777">
      <w:pPr>
        <w:rPr>
          <w:rFonts w:ascii="Verdana" w:hAnsi="Verdana"/>
          <w:sz w:val="18"/>
          <w:szCs w:val="18"/>
        </w:rPr>
      </w:pPr>
    </w:p>
    <w:p w:rsidRPr="006D2149" w:rsidR="001C54D3" w:rsidP="001C54D3" w:rsidRDefault="001C54D3" w14:paraId="12B2B68A" w14:textId="71840690">
      <w:pPr>
        <w:rPr>
          <w:rFonts w:ascii="Verdana" w:hAnsi="Verdana"/>
          <w:sz w:val="18"/>
          <w:szCs w:val="18"/>
        </w:rPr>
      </w:pPr>
      <w:r w:rsidRPr="006D2149">
        <w:rPr>
          <w:rFonts w:ascii="Verdana" w:hAnsi="Verdana"/>
          <w:sz w:val="18"/>
        </w:rPr>
        <w:t>La sécurité de l</w:t>
      </w:r>
      <w:r w:rsidRPr="006D2149" w:rsidR="006D2149">
        <w:rPr>
          <w:rFonts w:ascii="Verdana" w:hAnsi="Verdana"/>
          <w:sz w:val="18"/>
        </w:rPr>
        <w:t>’</w:t>
      </w:r>
      <w:r w:rsidRPr="006D2149">
        <w:rPr>
          <w:rFonts w:ascii="Verdana" w:hAnsi="Verdana"/>
          <w:sz w:val="18"/>
        </w:rPr>
        <w:t>approvisionnement énergétique nécessite aussi un éventail de diverses technologies de production d</w:t>
      </w:r>
      <w:r w:rsidRPr="006D2149" w:rsidR="006D2149">
        <w:rPr>
          <w:rFonts w:ascii="Verdana" w:hAnsi="Verdana"/>
          <w:sz w:val="18"/>
        </w:rPr>
        <w:t>’</w:t>
      </w:r>
      <w:r w:rsidRPr="006D2149">
        <w:rPr>
          <w:rFonts w:ascii="Verdana" w:hAnsi="Verdana"/>
          <w:sz w:val="18"/>
        </w:rPr>
        <w:t>énergie, qui tire le meilleur parti non seulement de l</w:t>
      </w:r>
      <w:r w:rsidRPr="006D2149" w:rsidR="006D2149">
        <w:rPr>
          <w:rFonts w:ascii="Verdana" w:hAnsi="Verdana"/>
          <w:sz w:val="18"/>
        </w:rPr>
        <w:t>’</w:t>
      </w:r>
      <w:r w:rsidRPr="006D2149">
        <w:rPr>
          <w:rFonts w:ascii="Verdana" w:hAnsi="Verdana"/>
          <w:sz w:val="18"/>
        </w:rPr>
        <w:t>énergie éolienne et solaire, mais aussi d</w:t>
      </w:r>
      <w:r w:rsidRPr="006D2149" w:rsidR="006D2149">
        <w:rPr>
          <w:rFonts w:ascii="Verdana" w:hAnsi="Verdana"/>
          <w:sz w:val="18"/>
        </w:rPr>
        <w:t>’</w:t>
      </w:r>
      <w:r w:rsidRPr="006D2149">
        <w:rPr>
          <w:rFonts w:ascii="Verdana" w:hAnsi="Verdana"/>
          <w:sz w:val="18"/>
        </w:rPr>
        <w:t>une grande variété d</w:t>
      </w:r>
      <w:r w:rsidRPr="006D2149" w:rsidR="006D2149">
        <w:rPr>
          <w:rFonts w:ascii="Verdana" w:hAnsi="Verdana"/>
          <w:sz w:val="18"/>
        </w:rPr>
        <w:t>’</w:t>
      </w:r>
      <w:r w:rsidRPr="006D2149">
        <w:rPr>
          <w:rFonts w:ascii="Verdana" w:hAnsi="Verdana"/>
          <w:sz w:val="18"/>
        </w:rPr>
        <w:t>autres sources d</w:t>
      </w:r>
      <w:r w:rsidRPr="006D2149" w:rsidR="006D2149">
        <w:rPr>
          <w:rFonts w:ascii="Verdana" w:hAnsi="Verdana"/>
          <w:sz w:val="18"/>
        </w:rPr>
        <w:t>’</w:t>
      </w:r>
      <w:r w:rsidRPr="006D2149">
        <w:rPr>
          <w:rFonts w:ascii="Verdana" w:hAnsi="Verdana"/>
          <w:sz w:val="18"/>
        </w:rPr>
        <w:t>énergie à faibles émissions de carbone qui peuvent s</w:t>
      </w:r>
      <w:r w:rsidRPr="006D2149" w:rsidR="006D2149">
        <w:rPr>
          <w:rFonts w:ascii="Verdana" w:hAnsi="Verdana"/>
          <w:sz w:val="18"/>
        </w:rPr>
        <w:t>’</w:t>
      </w:r>
      <w:r w:rsidRPr="006D2149">
        <w:rPr>
          <w:rFonts w:ascii="Verdana" w:hAnsi="Verdana"/>
          <w:sz w:val="18"/>
        </w:rPr>
        <w:t>intégrer dans un système énergétique, tant sur le plan économique qu</w:t>
      </w:r>
      <w:r w:rsidRPr="006D2149" w:rsidR="006D2149">
        <w:rPr>
          <w:rFonts w:ascii="Verdana" w:hAnsi="Verdana"/>
          <w:sz w:val="18"/>
        </w:rPr>
        <w:t>’</w:t>
      </w:r>
      <w:r w:rsidRPr="006D2149">
        <w:rPr>
          <w:rFonts w:ascii="Verdana" w:hAnsi="Verdana"/>
          <w:sz w:val="18"/>
        </w:rPr>
        <w:t>écologique. En attendant que la diversification énergétique de l</w:t>
      </w:r>
      <w:r w:rsidRPr="006D2149" w:rsidR="006D2149">
        <w:rPr>
          <w:rFonts w:ascii="Verdana" w:hAnsi="Verdana"/>
          <w:sz w:val="18"/>
        </w:rPr>
        <w:t>’</w:t>
      </w:r>
      <w:r w:rsidRPr="006D2149">
        <w:rPr>
          <w:rFonts w:ascii="Verdana" w:hAnsi="Verdana"/>
          <w:sz w:val="18"/>
        </w:rPr>
        <w:t xml:space="preserve">Union se concrétise, le CESE est </w:t>
      </w:r>
      <w:r w:rsidRPr="006D2149">
        <w:rPr>
          <w:rFonts w:ascii="Verdana" w:hAnsi="Verdana"/>
          <w:sz w:val="18"/>
        </w:rPr>
        <w:lastRenderedPageBreak/>
        <w:t>favorable à ce qu</w:t>
      </w:r>
      <w:r w:rsidRPr="006D2149" w:rsidR="006D2149">
        <w:rPr>
          <w:rFonts w:ascii="Verdana" w:hAnsi="Verdana"/>
          <w:sz w:val="18"/>
        </w:rPr>
        <w:t>’</w:t>
      </w:r>
      <w:r w:rsidRPr="006D2149">
        <w:rPr>
          <w:rFonts w:ascii="Verdana" w:hAnsi="Verdana"/>
          <w:sz w:val="18"/>
        </w:rPr>
        <w:t>il soit recouru concrètement à des sources d</w:t>
      </w:r>
      <w:r w:rsidRPr="006D2149" w:rsidR="006D2149">
        <w:rPr>
          <w:rFonts w:ascii="Verdana" w:hAnsi="Verdana"/>
          <w:sz w:val="18"/>
        </w:rPr>
        <w:t>’</w:t>
      </w:r>
      <w:r w:rsidRPr="006D2149">
        <w:rPr>
          <w:rFonts w:ascii="Verdana" w:hAnsi="Verdana"/>
          <w:sz w:val="18"/>
        </w:rPr>
        <w:t>énergie stables et abordables répondant aux exigences en matière de réduction des émissions de carbone. En outre, il demande instamment à la Commission de présenter un plan d</w:t>
      </w:r>
      <w:r w:rsidRPr="006D2149" w:rsidR="006D2149">
        <w:rPr>
          <w:rFonts w:ascii="Verdana" w:hAnsi="Verdana"/>
          <w:sz w:val="18"/>
        </w:rPr>
        <w:t>’</w:t>
      </w:r>
      <w:r w:rsidRPr="006D2149">
        <w:rPr>
          <w:rFonts w:ascii="Verdana" w:hAnsi="Verdana"/>
          <w:sz w:val="18"/>
        </w:rPr>
        <w:t>action détaillé visant à renforcer la production de biogaz.</w:t>
      </w:r>
    </w:p>
    <w:p w:rsidRPr="006D2149" w:rsidR="001C54D3" w:rsidP="001C54D3" w:rsidRDefault="001C54D3" w14:paraId="6D118B85" w14:textId="77777777">
      <w:pPr>
        <w:rPr>
          <w:rFonts w:ascii="Verdana" w:hAnsi="Verdana"/>
          <w:sz w:val="18"/>
          <w:szCs w:val="18"/>
        </w:rPr>
      </w:pPr>
    </w:p>
    <w:p w:rsidRPr="006D2149" w:rsidR="001C54D3" w:rsidP="001C54D3" w:rsidRDefault="00802AFA" w14:paraId="552260C8" w14:textId="4BD0E1DA">
      <w:pPr>
        <w:rPr>
          <w:rFonts w:ascii="Verdana" w:hAnsi="Verdana"/>
          <w:sz w:val="18"/>
          <w:szCs w:val="18"/>
        </w:rPr>
      </w:pPr>
      <w:r w:rsidRPr="006D2149">
        <w:rPr>
          <w:rFonts w:ascii="Verdana" w:hAnsi="Verdana"/>
          <w:sz w:val="18"/>
        </w:rPr>
        <w:t>Dans la communication relative à l</w:t>
      </w:r>
      <w:r w:rsidRPr="006D2149" w:rsidR="006D2149">
        <w:rPr>
          <w:rFonts w:ascii="Verdana" w:hAnsi="Verdana"/>
          <w:sz w:val="18"/>
        </w:rPr>
        <w:t>’</w:t>
      </w:r>
      <w:r w:rsidRPr="006D2149">
        <w:rPr>
          <w:rFonts w:ascii="Verdana" w:hAnsi="Verdana"/>
          <w:sz w:val="18"/>
        </w:rPr>
        <w:t>initiative «</w:t>
      </w:r>
      <w:proofErr w:type="spellStart"/>
      <w:r w:rsidRPr="006D2149">
        <w:rPr>
          <w:rFonts w:ascii="Verdana" w:hAnsi="Verdana"/>
          <w:sz w:val="18"/>
        </w:rPr>
        <w:t>REPowerEU</w:t>
      </w:r>
      <w:proofErr w:type="spellEnd"/>
      <w:r w:rsidRPr="006D2149">
        <w:rPr>
          <w:rFonts w:ascii="Verdana" w:hAnsi="Verdana"/>
          <w:sz w:val="18"/>
        </w:rPr>
        <w:t>», il est suggéré de porter la production de biométhane à 35 milliards de m³ d</w:t>
      </w:r>
      <w:r w:rsidRPr="006D2149" w:rsidR="006D2149">
        <w:rPr>
          <w:rFonts w:ascii="Verdana" w:hAnsi="Verdana"/>
          <w:sz w:val="18"/>
        </w:rPr>
        <w:t>’</w:t>
      </w:r>
      <w:r w:rsidRPr="006D2149">
        <w:rPr>
          <w:rFonts w:ascii="Verdana" w:hAnsi="Verdana"/>
          <w:sz w:val="18"/>
        </w:rPr>
        <w:t xml:space="preserve">ici à 2030. </w:t>
      </w:r>
      <w:r w:rsidRPr="006D2149">
        <w:rPr>
          <w:rFonts w:ascii="Verdana" w:hAnsi="Verdana"/>
          <w:b/>
          <w:sz w:val="18"/>
        </w:rPr>
        <w:t>M. </w:t>
      </w:r>
      <w:proofErr w:type="spellStart"/>
      <w:r w:rsidRPr="006D2149">
        <w:rPr>
          <w:rFonts w:ascii="Verdana" w:hAnsi="Verdana"/>
          <w:b/>
          <w:sz w:val="18"/>
        </w:rPr>
        <w:t>Tiainen</w:t>
      </w:r>
      <w:proofErr w:type="spellEnd"/>
      <w:r w:rsidRPr="006D2149">
        <w:rPr>
          <w:rFonts w:ascii="Verdana" w:hAnsi="Verdana"/>
          <w:sz w:val="18"/>
        </w:rPr>
        <w:t xml:space="preserve"> a précisé que «si cet objectif est ambitieux et judicieux, sa réalisation nécessite l</w:t>
      </w:r>
      <w:r w:rsidRPr="006D2149" w:rsidR="006D2149">
        <w:rPr>
          <w:rFonts w:ascii="Verdana" w:hAnsi="Verdana"/>
          <w:sz w:val="18"/>
        </w:rPr>
        <w:t>’</w:t>
      </w:r>
      <w:r w:rsidRPr="006D2149">
        <w:rPr>
          <w:rFonts w:ascii="Verdana" w:hAnsi="Verdana"/>
          <w:sz w:val="18"/>
        </w:rPr>
        <w:t>adoption de mesures et d</w:t>
      </w:r>
      <w:r w:rsidRPr="006D2149" w:rsidR="006D2149">
        <w:rPr>
          <w:rFonts w:ascii="Verdana" w:hAnsi="Verdana"/>
          <w:sz w:val="18"/>
        </w:rPr>
        <w:t>’</w:t>
      </w:r>
      <w:r w:rsidRPr="006D2149">
        <w:rPr>
          <w:rFonts w:ascii="Verdana" w:hAnsi="Verdana"/>
          <w:sz w:val="18"/>
        </w:rPr>
        <w:t>incitations concrètes. La disponibilité, la sécurité et le caractère abordable de l</w:t>
      </w:r>
      <w:r w:rsidRPr="006D2149" w:rsidR="006D2149">
        <w:rPr>
          <w:rFonts w:ascii="Verdana" w:hAnsi="Verdana"/>
          <w:sz w:val="18"/>
        </w:rPr>
        <w:t>’</w:t>
      </w:r>
      <w:r w:rsidRPr="006D2149">
        <w:rPr>
          <w:rFonts w:ascii="Verdana" w:hAnsi="Verdana"/>
          <w:sz w:val="18"/>
        </w:rPr>
        <w:t>énergie sont des questions difficiles qui doivent être traitées rapidement, de manière à contribuer, dans le même temps, à mener à bien notre objectif climatique».</w:t>
      </w:r>
    </w:p>
    <w:p w:rsidRPr="006D2149" w:rsidR="0015360B" w:rsidP="00795B49" w:rsidRDefault="0015360B" w14:paraId="22E7AF0D" w14:textId="77777777">
      <w:pPr>
        <w:rPr>
          <w:rFonts w:ascii="Verdana" w:hAnsi="Verdana"/>
          <w:bCs/>
          <w:sz w:val="18"/>
          <w:szCs w:val="18"/>
        </w:rPr>
      </w:pPr>
    </w:p>
    <w:p w:rsidRPr="006D2149" w:rsidR="0015360B" w:rsidP="00795B49" w:rsidRDefault="0015360B" w14:paraId="2D3349C2" w14:textId="77777777">
      <w:pPr>
        <w:rPr>
          <w:rFonts w:ascii="Verdana" w:hAnsi="Verdana"/>
          <w:bCs/>
          <w:sz w:val="18"/>
          <w:szCs w:val="18"/>
        </w:rPr>
      </w:pPr>
    </w:p>
    <w:p w:rsidRPr="006D2149" w:rsidR="00984A19" w:rsidP="00795B49" w:rsidRDefault="00984A19" w14:paraId="23A16E9F" w14:textId="77777777">
      <w:pPr>
        <w:rPr>
          <w:rFonts w:ascii="Verdana" w:hAnsi="Verdana"/>
          <w:bCs/>
          <w:sz w:val="18"/>
          <w:szCs w:val="18"/>
        </w:rPr>
      </w:pPr>
    </w:p>
    <w:p w:rsidRPr="006D2149" w:rsidR="00BD7293" w:rsidP="00BD7293" w:rsidRDefault="00BD7293" w14:paraId="031D86C2" w14:textId="77777777">
      <w:pPr>
        <w:jc w:val="center"/>
        <w:rPr>
          <w:rFonts w:ascii="Verdana" w:hAnsi="Verdana"/>
          <w:sz w:val="18"/>
          <w:szCs w:val="18"/>
        </w:rPr>
      </w:pPr>
      <w:r w:rsidRPr="006D2149">
        <w:rPr>
          <w:rFonts w:ascii="Verdana" w:hAnsi="Verdana"/>
          <w:b/>
          <w:sz w:val="18"/>
        </w:rPr>
        <w:t>Pour de plus amples informations, veuillez contacter:</w:t>
      </w:r>
    </w:p>
    <w:p w:rsidRPr="006D2149" w:rsidR="00BD7293" w:rsidP="00BD7293" w:rsidRDefault="00BD7293" w14:paraId="1EC76E69" w14:textId="77777777">
      <w:pPr>
        <w:pStyle w:val="Heading1"/>
        <w:numPr>
          <w:ilvl w:val="0"/>
          <w:numId w:val="0"/>
        </w:numPr>
        <w:ind w:left="360"/>
        <w:jc w:val="center"/>
        <w:rPr>
          <w:rFonts w:ascii="Verdana" w:hAnsi="Verdana"/>
          <w:sz w:val="18"/>
          <w:szCs w:val="18"/>
        </w:rPr>
      </w:pPr>
      <w:r w:rsidRPr="006D2149">
        <w:rPr>
          <w:rFonts w:ascii="Verdana" w:hAnsi="Verdana"/>
          <w:sz w:val="18"/>
        </w:rPr>
        <w:t>Service de presse du CESE — Marco Pezzani</w:t>
      </w:r>
      <w:r w:rsidRPr="006D2149">
        <w:rPr>
          <w:rFonts w:ascii="Verdana" w:hAnsi="Verdana"/>
          <w:sz w:val="18"/>
        </w:rPr>
        <w:br/>
        <w:t>+32 (0)25469793 · Mobile +32 470881903</w:t>
      </w:r>
    </w:p>
    <w:p w:rsidRPr="006D2149" w:rsidR="00BD7293" w:rsidP="00BD7293" w:rsidRDefault="00146751" w14:paraId="63E372E2" w14:textId="77777777">
      <w:pPr>
        <w:jc w:val="center"/>
        <w:rPr>
          <w:rFonts w:ascii="Verdana" w:hAnsi="Verdana"/>
          <w:sz w:val="18"/>
          <w:szCs w:val="18"/>
        </w:rPr>
      </w:pPr>
      <w:hyperlink w:history="1" r:id="rId19">
        <w:r w:rsidRPr="006D2149" w:rsidR="00A8238A">
          <w:rPr>
            <w:rStyle w:val="Hyperlink"/>
            <w:rFonts w:ascii="Verdana" w:hAnsi="Verdana"/>
            <w:sz w:val="18"/>
          </w:rPr>
          <w:t>marco.pezzani@eesc.europa.eu</w:t>
        </w:r>
      </w:hyperlink>
    </w:p>
    <w:p w:rsidRPr="006D2149" w:rsidR="00BD7293" w:rsidP="00BD7293" w:rsidRDefault="00BD7293" w14:paraId="27BB368C" w14:textId="77777777">
      <w:pPr>
        <w:pStyle w:val="Heading1"/>
        <w:numPr>
          <w:ilvl w:val="0"/>
          <w:numId w:val="0"/>
        </w:numPr>
        <w:jc w:val="center"/>
        <w:rPr>
          <w:rFonts w:ascii="Verdana" w:hAnsi="Verdana"/>
          <w:b/>
          <w:bCs/>
          <w:sz w:val="18"/>
          <w:szCs w:val="18"/>
        </w:rPr>
      </w:pPr>
      <w:r w:rsidRPr="006D2149">
        <w:rPr>
          <w:rFonts w:ascii="Verdana" w:hAnsi="Verdana"/>
          <w:b/>
          <w:sz w:val="18"/>
        </w:rPr>
        <w:t>@EESC_PRESS</w:t>
      </w:r>
    </w:p>
    <w:p w:rsidRPr="006D2149" w:rsidR="00BD7293" w:rsidP="00BD7293" w:rsidRDefault="00146751" w14:paraId="542868A8" w14:textId="58FA3EDD">
      <w:pPr>
        <w:jc w:val="center"/>
        <w:rPr>
          <w:rStyle w:val="Hyperlink"/>
          <w:rFonts w:ascii="Verdana" w:hAnsi="Verdana"/>
          <w:sz w:val="18"/>
          <w:szCs w:val="18"/>
        </w:rPr>
      </w:pPr>
      <w:hyperlink w:history="1" r:id="rId20">
        <w:r w:rsidRPr="006D2149" w:rsidR="00A8238A">
          <w:rPr>
            <w:rStyle w:val="Hyperlink"/>
            <w:rFonts w:ascii="Verdana" w:hAnsi="Verdana"/>
            <w:sz w:val="18"/>
          </w:rPr>
          <w:t>VIDÉO: «Le CESE vu de l</w:t>
        </w:r>
        <w:r w:rsidRPr="006D2149" w:rsidR="006D2149">
          <w:rPr>
            <w:rStyle w:val="Hyperlink"/>
            <w:rFonts w:ascii="Verdana" w:hAnsi="Verdana"/>
            <w:sz w:val="18"/>
          </w:rPr>
          <w:t>’</w:t>
        </w:r>
        <w:r w:rsidRPr="006D2149" w:rsidR="00A8238A">
          <w:rPr>
            <w:rStyle w:val="Hyperlink"/>
            <w:rFonts w:ascii="Verdana" w:hAnsi="Verdana"/>
            <w:sz w:val="18"/>
          </w:rPr>
          <w:t>intérieur»</w:t>
        </w:r>
      </w:hyperlink>
    </w:p>
    <w:p w:rsidRPr="006D2149" w:rsidR="0015360B" w:rsidP="0015360B" w:rsidRDefault="0015360B" w14:paraId="2D43E008" w14:textId="77777777">
      <w:pPr>
        <w:rPr>
          <w:bCs/>
        </w:rPr>
      </w:pPr>
    </w:p>
    <w:p w:rsidRPr="006D2149" w:rsidR="00F83179" w:rsidP="00CE439D" w:rsidRDefault="00F83179" w14:paraId="1FF65512" w14:textId="77777777">
      <w:pPr>
        <w:rPr>
          <w:rFonts w:ascii="Verdana" w:hAnsi="Verdana"/>
          <w:b/>
          <w:bCs/>
          <w:i/>
          <w:sz w:val="16"/>
          <w:szCs w:val="16"/>
        </w:rPr>
      </w:pPr>
      <w:r w:rsidRPr="006D2149">
        <w:rPr>
          <w:rFonts w:ascii="Verdana" w:hAnsi="Verdana"/>
          <w:i/>
          <w:sz w:val="16"/>
        </w:rPr>
        <w:t>__</w:t>
      </w:r>
      <w:r w:rsidRPr="006D2149">
        <w:rPr>
          <w:rFonts w:ascii="Verdana" w:hAnsi="Verdana"/>
          <w:b/>
          <w:i/>
          <w:sz w:val="16"/>
        </w:rPr>
        <w:t>_____________________________________________________________________________</w:t>
      </w:r>
    </w:p>
    <w:p w:rsidRPr="006D2149" w:rsidR="00F83179" w:rsidP="00CE439D" w:rsidRDefault="00F83179" w14:paraId="482A55ED" w14:textId="774CFBF0">
      <w:pPr>
        <w:rPr>
          <w:rFonts w:ascii="Verdana" w:hAnsi="Verdana"/>
          <w:i/>
          <w:sz w:val="16"/>
          <w:szCs w:val="16"/>
        </w:rPr>
      </w:pPr>
      <w:r w:rsidRPr="006D2149">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Sa mission de consultation permet à ses membres, et donc aux organisations qu</w:t>
      </w:r>
      <w:r w:rsidRPr="006D2149" w:rsidR="006D2149">
        <w:rPr>
          <w:rFonts w:ascii="Verdana" w:hAnsi="Verdana"/>
          <w:i/>
          <w:sz w:val="16"/>
        </w:rPr>
        <w:t>’</w:t>
      </w:r>
      <w:r w:rsidRPr="006D2149">
        <w:rPr>
          <w:rFonts w:ascii="Verdana" w:hAnsi="Verdana"/>
          <w:i/>
          <w:sz w:val="16"/>
        </w:rPr>
        <w:t>ils représentent, de participer au processus décisionnel de l</w:t>
      </w:r>
      <w:r w:rsidRPr="006D2149" w:rsidR="006D2149">
        <w:rPr>
          <w:rFonts w:ascii="Verdana" w:hAnsi="Verdana"/>
          <w:i/>
          <w:sz w:val="16"/>
        </w:rPr>
        <w:t>’</w:t>
      </w:r>
      <w:r w:rsidRPr="006D2149">
        <w:rPr>
          <w:rFonts w:ascii="Verdana" w:hAnsi="Verdana"/>
          <w:i/>
          <w:sz w:val="16"/>
        </w:rPr>
        <w:t>Union européenne.</w:t>
      </w:r>
    </w:p>
    <w:p w:rsidRPr="006D2149" w:rsidR="00F83179" w:rsidP="00AB5D9C" w:rsidRDefault="00F83179" w14:paraId="1B2F3C64" w14:textId="77777777">
      <w:pPr>
        <w:rPr>
          <w:rFonts w:ascii="Verdana" w:hAnsi="Verdana"/>
          <w:sz w:val="18"/>
        </w:rPr>
      </w:pPr>
      <w:r w:rsidRPr="006D2149">
        <w:rPr>
          <w:rFonts w:ascii="Verdana" w:hAnsi="Verdana"/>
          <w:i/>
          <w:sz w:val="16"/>
        </w:rPr>
        <w:t>__</w:t>
      </w:r>
      <w:r w:rsidRPr="006D2149">
        <w:rPr>
          <w:rFonts w:ascii="Verdana" w:hAnsi="Verdana"/>
          <w:b/>
          <w:i/>
          <w:sz w:val="16"/>
        </w:rPr>
        <w:t>_____________________________________________________________________________</w:t>
      </w:r>
    </w:p>
    <w:sectPr w:rsidRPr="006D2149"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3550" w14:textId="77777777" w:rsidR="005A0B74" w:rsidRDefault="005A0B74">
      <w:r>
        <w:separator/>
      </w:r>
    </w:p>
  </w:endnote>
  <w:endnote w:type="continuationSeparator" w:id="0">
    <w:p w14:paraId="05B2569B" w14:textId="77777777" w:rsidR="005A0B74" w:rsidRDefault="005A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AD3E" w14:textId="77777777" w:rsidR="00E003EC" w:rsidRDefault="00E0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1CA0" w14:textId="77777777" w:rsidR="00F83179" w:rsidRPr="00984A19" w:rsidRDefault="00F83179"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 99 — 1040 Bruxelles — BELGIQUE</w:t>
    </w:r>
  </w:p>
  <w:p w14:paraId="3FB8F5A0" w14:textId="77777777" w:rsidR="00F83179" w:rsidRPr="00984A19" w:rsidRDefault="00F83179" w:rsidP="0004715C">
    <w:pPr>
      <w:spacing w:line="240" w:lineRule="auto"/>
      <w:jc w:val="center"/>
      <w:rPr>
        <w:rFonts w:ascii="Verdana" w:hAnsi="Verdana"/>
        <w:sz w:val="16"/>
        <w:szCs w:val="16"/>
      </w:rPr>
    </w:pPr>
    <w:r>
      <w:rPr>
        <w:rFonts w:ascii="Verdana" w:hAnsi="Verdana"/>
        <w:sz w:val="16"/>
      </w:rPr>
      <w:t>Tél. +32 25469406 — Fax +32 25469764</w:t>
    </w:r>
  </w:p>
  <w:p w14:paraId="35B3CA40" w14:textId="77777777" w:rsidR="00F83179" w:rsidRPr="00984A19" w:rsidRDefault="00F83179" w:rsidP="0004715C">
    <w:pPr>
      <w:spacing w:line="240" w:lineRule="auto"/>
      <w:jc w:val="center"/>
      <w:rPr>
        <w:rFonts w:ascii="Verdana" w:hAnsi="Verdana"/>
        <w:sz w:val="16"/>
        <w:szCs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4D62CBE5"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Suivez le CESE sur </w:t>
    </w:r>
    <w:r>
      <w:rPr>
        <w:noProof/>
        <w:lang w:eastAsia="fr-FR"/>
      </w:rPr>
      <w:drawing>
        <wp:inline distT="0" distB="0" distL="0" distR="0" wp14:anchorId="615C3F95" wp14:editId="2B00220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3F272E48" wp14:editId="5D2746AA">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46CEBEAD" wp14:editId="0475C14D">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34856145" wp14:editId="7BF153A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74241C37" wp14:editId="285B5A4D">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40A7" w14:textId="77777777" w:rsidR="00E003EC" w:rsidRDefault="00E0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1F37" w14:textId="77777777" w:rsidR="005A0B74" w:rsidRDefault="005A0B74">
      <w:r>
        <w:separator/>
      </w:r>
    </w:p>
  </w:footnote>
  <w:footnote w:type="continuationSeparator" w:id="0">
    <w:p w14:paraId="00FC8E12" w14:textId="77777777" w:rsidR="005A0B74" w:rsidRDefault="005A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2E6B" w14:textId="77777777" w:rsidR="00E003EC" w:rsidRDefault="00E00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45A7" w14:textId="77777777" w:rsidR="00E003EC" w:rsidRDefault="00E00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22A3" w14:textId="77777777" w:rsidR="00E003EC" w:rsidRDefault="00E00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3254A"/>
    <w:rsid w:val="0003378C"/>
    <w:rsid w:val="000440D3"/>
    <w:rsid w:val="00045128"/>
    <w:rsid w:val="00046C01"/>
    <w:rsid w:val="0004715C"/>
    <w:rsid w:val="0006275D"/>
    <w:rsid w:val="00067F21"/>
    <w:rsid w:val="00071F79"/>
    <w:rsid w:val="000765BA"/>
    <w:rsid w:val="000F2AD2"/>
    <w:rsid w:val="00100731"/>
    <w:rsid w:val="00104DFA"/>
    <w:rsid w:val="00105E49"/>
    <w:rsid w:val="00112EAE"/>
    <w:rsid w:val="00115153"/>
    <w:rsid w:val="001207E6"/>
    <w:rsid w:val="00132CB8"/>
    <w:rsid w:val="00142677"/>
    <w:rsid w:val="00146751"/>
    <w:rsid w:val="0015360B"/>
    <w:rsid w:val="00155ED8"/>
    <w:rsid w:val="001641A1"/>
    <w:rsid w:val="00180201"/>
    <w:rsid w:val="0018613F"/>
    <w:rsid w:val="0019689E"/>
    <w:rsid w:val="001C54D3"/>
    <w:rsid w:val="001D73C0"/>
    <w:rsid w:val="001F681D"/>
    <w:rsid w:val="00220030"/>
    <w:rsid w:val="00227A31"/>
    <w:rsid w:val="002302DF"/>
    <w:rsid w:val="0026528E"/>
    <w:rsid w:val="002734F3"/>
    <w:rsid w:val="00275154"/>
    <w:rsid w:val="0028784C"/>
    <w:rsid w:val="002A2267"/>
    <w:rsid w:val="002B4379"/>
    <w:rsid w:val="002F1B62"/>
    <w:rsid w:val="002F79A3"/>
    <w:rsid w:val="0031015A"/>
    <w:rsid w:val="00312C41"/>
    <w:rsid w:val="00321382"/>
    <w:rsid w:val="0033063D"/>
    <w:rsid w:val="00337F0A"/>
    <w:rsid w:val="00347036"/>
    <w:rsid w:val="00356F45"/>
    <w:rsid w:val="00357587"/>
    <w:rsid w:val="00365A20"/>
    <w:rsid w:val="003700AF"/>
    <w:rsid w:val="00384F7A"/>
    <w:rsid w:val="0038577F"/>
    <w:rsid w:val="003872F9"/>
    <w:rsid w:val="00394D81"/>
    <w:rsid w:val="003959F5"/>
    <w:rsid w:val="003A77E7"/>
    <w:rsid w:val="003B714A"/>
    <w:rsid w:val="003C1F6B"/>
    <w:rsid w:val="003C2229"/>
    <w:rsid w:val="003C60BB"/>
    <w:rsid w:val="003D1DDA"/>
    <w:rsid w:val="003E76A5"/>
    <w:rsid w:val="004056EC"/>
    <w:rsid w:val="004138F2"/>
    <w:rsid w:val="00414734"/>
    <w:rsid w:val="00415456"/>
    <w:rsid w:val="00424928"/>
    <w:rsid w:val="00445251"/>
    <w:rsid w:val="00446F70"/>
    <w:rsid w:val="004605FD"/>
    <w:rsid w:val="004654DB"/>
    <w:rsid w:val="00486D46"/>
    <w:rsid w:val="004873DA"/>
    <w:rsid w:val="00494BBC"/>
    <w:rsid w:val="004A6A6E"/>
    <w:rsid w:val="004A6BFA"/>
    <w:rsid w:val="004C0408"/>
    <w:rsid w:val="004C06FD"/>
    <w:rsid w:val="004C7042"/>
    <w:rsid w:val="004D6672"/>
    <w:rsid w:val="004E422F"/>
    <w:rsid w:val="004F4C5B"/>
    <w:rsid w:val="00512080"/>
    <w:rsid w:val="00521DF8"/>
    <w:rsid w:val="005244B3"/>
    <w:rsid w:val="005270ED"/>
    <w:rsid w:val="00532E74"/>
    <w:rsid w:val="00552EA9"/>
    <w:rsid w:val="005549A1"/>
    <w:rsid w:val="00556CD0"/>
    <w:rsid w:val="0056705F"/>
    <w:rsid w:val="00582C7E"/>
    <w:rsid w:val="00595DA5"/>
    <w:rsid w:val="005A0B74"/>
    <w:rsid w:val="005A0E46"/>
    <w:rsid w:val="005A186C"/>
    <w:rsid w:val="005A1ABE"/>
    <w:rsid w:val="005A7748"/>
    <w:rsid w:val="005B3342"/>
    <w:rsid w:val="005C08F4"/>
    <w:rsid w:val="005C2258"/>
    <w:rsid w:val="005C43A1"/>
    <w:rsid w:val="005C46DB"/>
    <w:rsid w:val="005D3D97"/>
    <w:rsid w:val="005F7400"/>
    <w:rsid w:val="00612B3A"/>
    <w:rsid w:val="00626C38"/>
    <w:rsid w:val="0063783D"/>
    <w:rsid w:val="00640DDB"/>
    <w:rsid w:val="0064141E"/>
    <w:rsid w:val="00642F54"/>
    <w:rsid w:val="00662EE3"/>
    <w:rsid w:val="00686EC2"/>
    <w:rsid w:val="006A744F"/>
    <w:rsid w:val="006B4D96"/>
    <w:rsid w:val="006B4DBE"/>
    <w:rsid w:val="006B4E30"/>
    <w:rsid w:val="006B6F71"/>
    <w:rsid w:val="006D2149"/>
    <w:rsid w:val="006E2FE3"/>
    <w:rsid w:val="006E5267"/>
    <w:rsid w:val="006F774D"/>
    <w:rsid w:val="00712975"/>
    <w:rsid w:val="00712EA3"/>
    <w:rsid w:val="007234C4"/>
    <w:rsid w:val="007253F3"/>
    <w:rsid w:val="007313DC"/>
    <w:rsid w:val="00741024"/>
    <w:rsid w:val="00767758"/>
    <w:rsid w:val="0079001F"/>
    <w:rsid w:val="00795B49"/>
    <w:rsid w:val="007A23CA"/>
    <w:rsid w:val="007A5486"/>
    <w:rsid w:val="007D5510"/>
    <w:rsid w:val="00802AFA"/>
    <w:rsid w:val="00804B92"/>
    <w:rsid w:val="00807DED"/>
    <w:rsid w:val="008133EA"/>
    <w:rsid w:val="008141F8"/>
    <w:rsid w:val="00826961"/>
    <w:rsid w:val="00837B82"/>
    <w:rsid w:val="008412F6"/>
    <w:rsid w:val="0087436D"/>
    <w:rsid w:val="008820BE"/>
    <w:rsid w:val="008850E4"/>
    <w:rsid w:val="008A15C7"/>
    <w:rsid w:val="008B3C19"/>
    <w:rsid w:val="008C573E"/>
    <w:rsid w:val="008E71E6"/>
    <w:rsid w:val="00904607"/>
    <w:rsid w:val="0091356C"/>
    <w:rsid w:val="00955D3C"/>
    <w:rsid w:val="009572EA"/>
    <w:rsid w:val="009666A2"/>
    <w:rsid w:val="00984A19"/>
    <w:rsid w:val="00984FBF"/>
    <w:rsid w:val="00990253"/>
    <w:rsid w:val="009A4C63"/>
    <w:rsid w:val="009C2FCF"/>
    <w:rsid w:val="009C538D"/>
    <w:rsid w:val="009D3245"/>
    <w:rsid w:val="00A00BF1"/>
    <w:rsid w:val="00A010F0"/>
    <w:rsid w:val="00A1723B"/>
    <w:rsid w:val="00A4515F"/>
    <w:rsid w:val="00A70691"/>
    <w:rsid w:val="00A74687"/>
    <w:rsid w:val="00A817DD"/>
    <w:rsid w:val="00A8238A"/>
    <w:rsid w:val="00A96CE7"/>
    <w:rsid w:val="00AA4A6F"/>
    <w:rsid w:val="00AA61D9"/>
    <w:rsid w:val="00AB5D9C"/>
    <w:rsid w:val="00AB5DBA"/>
    <w:rsid w:val="00AC2BF2"/>
    <w:rsid w:val="00AC5CA7"/>
    <w:rsid w:val="00AE5D13"/>
    <w:rsid w:val="00AF2692"/>
    <w:rsid w:val="00B15098"/>
    <w:rsid w:val="00B16DDB"/>
    <w:rsid w:val="00B2321D"/>
    <w:rsid w:val="00B239E2"/>
    <w:rsid w:val="00B26429"/>
    <w:rsid w:val="00B3102E"/>
    <w:rsid w:val="00B40FE0"/>
    <w:rsid w:val="00B514E0"/>
    <w:rsid w:val="00B66DB9"/>
    <w:rsid w:val="00B710AF"/>
    <w:rsid w:val="00B75489"/>
    <w:rsid w:val="00B8166F"/>
    <w:rsid w:val="00B87297"/>
    <w:rsid w:val="00B9349D"/>
    <w:rsid w:val="00B96D77"/>
    <w:rsid w:val="00BA5CC1"/>
    <w:rsid w:val="00BA72BC"/>
    <w:rsid w:val="00BB36F5"/>
    <w:rsid w:val="00BC0660"/>
    <w:rsid w:val="00BD617C"/>
    <w:rsid w:val="00BD7293"/>
    <w:rsid w:val="00BF0E86"/>
    <w:rsid w:val="00BF6293"/>
    <w:rsid w:val="00C0652E"/>
    <w:rsid w:val="00C22A5C"/>
    <w:rsid w:val="00C47814"/>
    <w:rsid w:val="00C62D37"/>
    <w:rsid w:val="00C63EEA"/>
    <w:rsid w:val="00C72B00"/>
    <w:rsid w:val="00C740E7"/>
    <w:rsid w:val="00C8634A"/>
    <w:rsid w:val="00C93E55"/>
    <w:rsid w:val="00C952EC"/>
    <w:rsid w:val="00C97D1B"/>
    <w:rsid w:val="00CB17D3"/>
    <w:rsid w:val="00CB5993"/>
    <w:rsid w:val="00CE439D"/>
    <w:rsid w:val="00CE6DB7"/>
    <w:rsid w:val="00D03F1F"/>
    <w:rsid w:val="00D1029C"/>
    <w:rsid w:val="00D111A3"/>
    <w:rsid w:val="00D33655"/>
    <w:rsid w:val="00D41605"/>
    <w:rsid w:val="00D543FC"/>
    <w:rsid w:val="00D56843"/>
    <w:rsid w:val="00D70036"/>
    <w:rsid w:val="00D72777"/>
    <w:rsid w:val="00D8197C"/>
    <w:rsid w:val="00D831D3"/>
    <w:rsid w:val="00D9016E"/>
    <w:rsid w:val="00D93A09"/>
    <w:rsid w:val="00DB575B"/>
    <w:rsid w:val="00DB6FF3"/>
    <w:rsid w:val="00DC66B3"/>
    <w:rsid w:val="00DD3BAC"/>
    <w:rsid w:val="00DE677A"/>
    <w:rsid w:val="00E003EC"/>
    <w:rsid w:val="00E27081"/>
    <w:rsid w:val="00E32685"/>
    <w:rsid w:val="00E4300A"/>
    <w:rsid w:val="00E61611"/>
    <w:rsid w:val="00E80001"/>
    <w:rsid w:val="00EA22E5"/>
    <w:rsid w:val="00EC55A1"/>
    <w:rsid w:val="00ED68E4"/>
    <w:rsid w:val="00EE424A"/>
    <w:rsid w:val="00F11ECE"/>
    <w:rsid w:val="00F20732"/>
    <w:rsid w:val="00F376C6"/>
    <w:rsid w:val="00F44E99"/>
    <w:rsid w:val="00F45A6F"/>
    <w:rsid w:val="00F51000"/>
    <w:rsid w:val="00F61167"/>
    <w:rsid w:val="00F76B4C"/>
    <w:rsid w:val="00F81FF5"/>
    <w:rsid w:val="00F83179"/>
    <w:rsid w:val="00F90CFF"/>
    <w:rsid w:val="00F92DAC"/>
    <w:rsid w:val="00FA1B78"/>
    <w:rsid w:val="00FF4788"/>
  </w:rsids>
  <m:mathPr>
    <m:mathFont m:val="Cambria Math"/>
    <m:brkBin m:val="before"/>
    <m:brkBinSub m:val="--"/>
    <m:smallFrac m:val="0"/>
    <m:dispDef/>
    <m:lMargin m:val="0"/>
    <m:rMargin m:val="0"/>
    <m:defJc m:val="centerGroup"/>
    <m:wrapIndent m:val="1440"/>
    <m:intLim m:val="subSup"/>
    <m:naryLim m:val="undOvr"/>
  </m:mathPr>
  <w:themeFontLang w:val="fr-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CDF0B8"/>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fr-FR"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customXml" Target="../customXml/item3.xml"/><Relationship Id="rId16" Type="http://schemas.openxmlformats.org/officeDocument/2006/relationships/footer" Target="footer2.xml"/><Relationship Id="rId20" Type="http://schemas.openxmlformats.org/officeDocument/2006/relationships/hyperlink" Target="https://www.eesc.europa.eu/fr/avdb/video/eesc-inside"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marco.pezzani@eesc.europa.eu" TargetMode="Externa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fr"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P6FJPSUHKDC2-288331576-2411</_dlc_DocId>
    <_dlc_DocIdUrl xmlns="1299d781-265f-4ceb-999e-e1eca3df2c90">
      <Url>http://dm2016/eesc/2022/_layouts/15/DocIdRedir.aspx?ID=P6FJPSUHKDC2-288331576-2411</Url>
      <Description>P6FJPSUHKDC2-288331576-2411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2646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41</Value>
      <Value>18</Value>
      <Value>11</Value>
      <Value>9</Value>
      <Value>7</Value>
      <Value>6</Value>
      <Value>22</Value>
      <Value>4</Value>
      <Value>38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6247</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4FC2557-81D5-4E26-9CDA-A8B7AA9E1A58}"/>
</file>

<file path=customXml/itemProps2.xml><?xml version="1.0" encoding="utf-8"?>
<ds:datastoreItem xmlns:ds="http://schemas.openxmlformats.org/officeDocument/2006/customXml" ds:itemID="{9C83179E-E7E7-491D-A85A-226B81D27492}"/>
</file>

<file path=customXml/itemProps3.xml><?xml version="1.0" encoding="utf-8"?>
<ds:datastoreItem xmlns:ds="http://schemas.openxmlformats.org/officeDocument/2006/customXml" ds:itemID="{8AE83748-C24C-4831-8BB4-3EFCDF49CCC3}"/>
</file>

<file path=customXml/itemProps4.xml><?xml version="1.0" encoding="utf-8"?>
<ds:datastoreItem xmlns:ds="http://schemas.openxmlformats.org/officeDocument/2006/customXml" ds:itemID="{46AB39B3-94C9-4BA2-82B8-D9274230A041}"/>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6617</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CESE, un approvisionnement énergétique sûr et abordable est une priorité</dc:title>
  <dc:subject>CP</dc:subject>
  <dc:creator>Emma Nieddu</dc:creator>
  <cp:keywords>EESC-2022-02646-00-00-CP-TRA-EN</cp:keywords>
  <dc:description>Rapporteur:  - Original language: EN - Date of document: 19-05-2022 - Date of meeting:  - External documents:  - Administrator: M. PEZZANI Marco</dc:description>
  <cp:lastModifiedBy>Cade Catherine</cp:lastModifiedBy>
  <cp:revision>7</cp:revision>
  <cp:lastPrinted>2022-05-17T15:54:00Z</cp:lastPrinted>
  <dcterms:created xsi:type="dcterms:W3CDTF">2022-05-19T07:04:00Z</dcterms:created>
  <dcterms:modified xsi:type="dcterms:W3CDTF">2022-05-19T10:46:00Z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 05/04/2022</vt:lpwstr>
  </property>
  <property fmtid="{D5CDD505-2E9C-101B-9397-08002B2CF9AE}" pid="4" name="Pref_Time">
    <vt:lpwstr>09:00:52, 16:28:46</vt:lpwstr>
  </property>
  <property fmtid="{D5CDD505-2E9C-101B-9397-08002B2CF9AE}" pid="5" name="Pref_User">
    <vt:lpwstr>amett, enied</vt:lpwstr>
  </property>
  <property fmtid="{D5CDD505-2E9C-101B-9397-08002B2CF9AE}" pid="6" name="Pref_FileName">
    <vt:lpwstr>EESC-2022-02646-00-00-CP-ORI.docx,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70c59079-7a7c-4783-9d1f-da3bb9010e55</vt:lpwstr>
  </property>
  <property fmtid="{D5CDD505-2E9C-101B-9397-08002B2CF9AE}" pid="9" name="AvailableTranslations">
    <vt:lpwstr>41;#CS|72f9705b-0217-4fd3-bea2-cbc7ed80e26e;#38;#FI|87606a43-d45f-42d6-b8c9-e1a3457db5b7;#4;#EN|f2175f21-25d7-44a3-96da-d6a61b075e1b;#11;#FR|d2afafd3-4c81-4f60-8f52-ee33f2f54ff3;#22;#DE|f6b31e5a-26fa-4935-b661-318e46daf27e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2646</vt:i4>
  </property>
  <property fmtid="{D5CDD505-2E9C-101B-9397-08002B2CF9AE}" pid="14" name="DocumentYear">
    <vt:i4>2022</vt:i4>
  </property>
  <property fmtid="{D5CDD505-2E9C-101B-9397-08002B2CF9AE}" pid="15" name="DocumentVersion">
    <vt:i4>0</vt:i4>
  </property>
  <property fmtid="{D5CDD505-2E9C-101B-9397-08002B2CF9AE}" pid="16" name="FicheNumber">
    <vt:i4>6247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