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B9" w:rsidRDefault="00182E60" w:rsidP="00457458">
      <w:pPr>
        <w:spacing w:line="240" w:lineRule="auto"/>
        <w:rPr>
          <w:rFonts w:ascii="Verdana" w:hAnsi="Verdana"/>
          <w:sz w:val="20"/>
        </w:rPr>
      </w:pPr>
      <w:bookmarkStart w:id="0" w:name="_GoBack"/>
      <w:bookmarkEnd w:id="0"/>
      <w:r>
        <w:rPr>
          <w:rFonts w:ascii="Verdana" w:hAnsi="Verdana"/>
          <w:noProof/>
          <w:sz w:val="20"/>
          <w:lang w:val="en-GB" w:eastAsia="en-GB"/>
        </w:rPr>
        <w:drawing>
          <wp:inline distT="0" distB="0" distL="0" distR="0">
            <wp:extent cx="5760085" cy="1398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SC-PressRelease-FR.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p w:rsidR="00457458" w:rsidRPr="00182E60" w:rsidRDefault="00457458" w:rsidP="00457458">
      <w:pPr>
        <w:spacing w:line="240" w:lineRule="auto"/>
        <w:rPr>
          <w:rFonts w:ascii="Verdana" w:hAnsi="Verdana"/>
          <w:sz w:val="16"/>
          <w:szCs w:val="16"/>
        </w:rPr>
      </w:pPr>
    </w:p>
    <w:tbl>
      <w:tblPr>
        <w:tblW w:w="0" w:type="auto"/>
        <w:tblLook w:val="0000" w:firstRow="0" w:lastRow="0" w:firstColumn="0" w:lastColumn="0" w:noHBand="0" w:noVBand="0"/>
      </w:tblPr>
      <w:tblGrid>
        <w:gridCol w:w="5046"/>
        <w:gridCol w:w="4025"/>
      </w:tblGrid>
      <w:tr w:rsidR="00457458" w:rsidRPr="00B1005C" w:rsidTr="00504F17">
        <w:trPr>
          <w:cantSplit/>
        </w:trPr>
        <w:tc>
          <w:tcPr>
            <w:tcW w:w="5168" w:type="dxa"/>
          </w:tcPr>
          <w:p w:rsidR="00457458" w:rsidRPr="00B1005C" w:rsidRDefault="00457458" w:rsidP="000901E5">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028DF98B" wp14:editId="1BAB028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58" w:rsidRPr="00260E65" w:rsidRDefault="00457458" w:rsidP="00457458">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DF98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57458" w:rsidRPr="00260E65" w:rsidRDefault="00457458" w:rsidP="00457458">
                            <w:pPr>
                              <w:jc w:val="center"/>
                              <w:rPr>
                                <w:rFonts w:ascii="Arial" w:hAnsi="Arial" w:cs="Arial"/>
                                <w:b/>
                                <w:bCs/>
                                <w:sz w:val="48"/>
                              </w:rPr>
                            </w:pPr>
                            <w:r>
                              <w:rPr>
                                <w:rFonts w:ascii="Arial" w:hAnsi="Arial"/>
                                <w:b/>
                                <w:bCs/>
                                <w:sz w:val="48"/>
                              </w:rPr>
                              <w:t>FR</w:t>
                            </w:r>
                          </w:p>
                        </w:txbxContent>
                      </v:textbox>
                      <w10:wrap anchorx="page" anchory="page"/>
                    </v:shape>
                  </w:pict>
                </mc:Fallback>
              </mc:AlternateContent>
            </w:r>
            <w:r>
              <w:rPr>
                <w:rFonts w:ascii="Verdana" w:hAnsi="Verdana"/>
                <w:b/>
                <w:bCs/>
                <w:sz w:val="20"/>
              </w:rPr>
              <w:t>N</w:t>
            </w:r>
            <w:r>
              <w:rPr>
                <w:rFonts w:ascii="Verdana" w:hAnsi="Verdana"/>
                <w:b/>
                <w:bCs/>
                <w:sz w:val="20"/>
                <w:vertAlign w:val="superscript"/>
              </w:rPr>
              <w:t>o</w:t>
            </w:r>
            <w:r>
              <w:rPr>
                <w:rFonts w:ascii="Verdana" w:hAnsi="Verdana"/>
                <w:b/>
                <w:bCs/>
                <w:sz w:val="20"/>
              </w:rPr>
              <w:t> 42/2020</w:t>
            </w:r>
          </w:p>
        </w:tc>
        <w:tc>
          <w:tcPr>
            <w:tcW w:w="4119" w:type="dxa"/>
          </w:tcPr>
          <w:p w:rsidR="00457458" w:rsidRPr="00B1005C" w:rsidRDefault="005E15B9" w:rsidP="002F13AF">
            <w:pPr>
              <w:spacing w:before="120" w:after="120" w:line="240" w:lineRule="auto"/>
              <w:jc w:val="right"/>
              <w:rPr>
                <w:rFonts w:ascii="Verdana" w:hAnsi="Verdana"/>
                <w:b/>
                <w:bCs/>
                <w:sz w:val="20"/>
              </w:rPr>
            </w:pPr>
            <w:r>
              <w:rPr>
                <w:rFonts w:ascii="Verdana" w:hAnsi="Verdana"/>
                <w:b/>
                <w:bCs/>
                <w:sz w:val="20"/>
              </w:rPr>
              <w:t>11 décembre 2020</w:t>
            </w:r>
          </w:p>
        </w:tc>
      </w:tr>
    </w:tbl>
    <w:p w:rsidR="00457458" w:rsidRPr="00182E60" w:rsidRDefault="00457458" w:rsidP="00457458">
      <w:pPr>
        <w:spacing w:line="240" w:lineRule="auto"/>
        <w:rPr>
          <w:rFonts w:ascii="Verdana" w:hAnsi="Verdana"/>
          <w:sz w:val="16"/>
          <w:szCs w:val="16"/>
        </w:rPr>
      </w:pPr>
    </w:p>
    <w:p w:rsidR="00457458" w:rsidRPr="00B1005C" w:rsidRDefault="00457458" w:rsidP="00457458">
      <w:pPr>
        <w:spacing w:line="240" w:lineRule="auto"/>
        <w:rPr>
          <w:rFonts w:ascii="Verdana" w:hAnsi="Verdana"/>
          <w:sz w:val="20"/>
        </w:rPr>
        <w:sectPr w:rsidR="00457458" w:rsidRPr="00B1005C" w:rsidSect="00837B82">
          <w:footerReference w:type="default" r:id="rId12"/>
          <w:pgSz w:w="11907" w:h="16839" w:code="9"/>
          <w:pgMar w:top="425" w:right="1418" w:bottom="1418" w:left="1418" w:header="709" w:footer="709" w:gutter="0"/>
          <w:cols w:space="720"/>
          <w:docGrid w:linePitch="299"/>
        </w:sectPr>
      </w:pPr>
    </w:p>
    <w:p w:rsidR="00F173AA" w:rsidRPr="00182E60" w:rsidRDefault="00F173AA" w:rsidP="00F173AA">
      <w:pPr>
        <w:rPr>
          <w:rFonts w:ascii="Verdana" w:hAnsi="Verdana"/>
          <w:bCs/>
          <w:sz w:val="16"/>
          <w:szCs w:val="16"/>
        </w:rPr>
      </w:pPr>
    </w:p>
    <w:p w:rsidR="00F173AA" w:rsidRPr="00B1005C" w:rsidRDefault="000265C7" w:rsidP="00F173AA">
      <w:pPr>
        <w:jc w:val="center"/>
        <w:rPr>
          <w:rFonts w:ascii="Verdana" w:hAnsi="Verdana"/>
          <w:b/>
          <w:sz w:val="28"/>
          <w:szCs w:val="28"/>
        </w:rPr>
      </w:pPr>
      <w:r>
        <w:rPr>
          <w:rFonts w:ascii="Verdana" w:hAnsi="Verdana"/>
          <w:b/>
          <w:color w:val="0070C0"/>
          <w:sz w:val="28"/>
          <w:szCs w:val="28"/>
        </w:rPr>
        <w:t>Budget de l’UE 2021-2027 – Le CESE se félicite que les points de vue de la société civile aient un impact</w:t>
      </w:r>
    </w:p>
    <w:p w:rsidR="00F173AA" w:rsidRPr="00182E60" w:rsidRDefault="00F173AA" w:rsidP="00F173AA">
      <w:pPr>
        <w:rPr>
          <w:rFonts w:ascii="Verdana" w:hAnsi="Verdana"/>
          <w:sz w:val="16"/>
          <w:szCs w:val="16"/>
        </w:rPr>
      </w:pPr>
    </w:p>
    <w:p w:rsidR="00415DB1" w:rsidRPr="00B1005C" w:rsidRDefault="00A85A57" w:rsidP="00415DB1">
      <w:pPr>
        <w:rPr>
          <w:rFonts w:ascii="Verdana" w:hAnsi="Verdana"/>
          <w:sz w:val="20"/>
        </w:rPr>
      </w:pPr>
      <w:r>
        <w:rPr>
          <w:rFonts w:ascii="Verdana" w:hAnsi="Verdana"/>
          <w:b/>
          <w:sz w:val="20"/>
        </w:rPr>
        <w:t>Le Conseil européen a adopté le compromis sur le budget européen et le fonds pour la relance, ainsi qu’un mécanisme de protection de l’état de droit. Ce compromis tient compte de la contribution proactive et globale du Comité économique et social européen (CESE) en faveur d’un cadre financier pluriannuel plus ambitieux pour l’Union. En soutenant la relance européenne et en contribuant à construire une Union européenne plus forte, plus verte et plus numérique, le Comité continue de jouer un rôle unique dans l’élaboration des politiques de l’UE.</w:t>
      </w:r>
    </w:p>
    <w:p w:rsidR="00F173AA" w:rsidRPr="00182E60" w:rsidRDefault="00F173AA" w:rsidP="00F173AA">
      <w:pPr>
        <w:rPr>
          <w:rFonts w:ascii="Verdana" w:hAnsi="Verdana"/>
          <w:sz w:val="16"/>
          <w:szCs w:val="16"/>
        </w:rPr>
      </w:pPr>
    </w:p>
    <w:p w:rsidR="001C6245" w:rsidRPr="00B1005C" w:rsidRDefault="00F173AA" w:rsidP="00F173AA">
      <w:pPr>
        <w:rPr>
          <w:rFonts w:ascii="Verdana" w:hAnsi="Verdana"/>
          <w:sz w:val="18"/>
          <w:szCs w:val="18"/>
        </w:rPr>
      </w:pPr>
      <w:r>
        <w:rPr>
          <w:rFonts w:ascii="Verdana" w:hAnsi="Verdana"/>
          <w:sz w:val="18"/>
          <w:szCs w:val="18"/>
        </w:rPr>
        <w:t>Le CESE se félicite de l’adoption du cadre financier pluriannuel (CFP) 2021-2027 par les chefs d’État et de gouvernement de l’UE, le 10 décembre 2020. La contribution du Comité en tant que porte-parole des organisations de la société civile s’est une nouvelle fois révélée essentielle, comme en témoignent la prise en compte par les autres institutions européennes de ses nombreux avis sur le budget à long terme de l’Union.</w:t>
      </w:r>
    </w:p>
    <w:p w:rsidR="00A23E6B" w:rsidRPr="00182E60" w:rsidRDefault="00A23E6B" w:rsidP="006D17C5">
      <w:pPr>
        <w:rPr>
          <w:rFonts w:ascii="Verdana" w:hAnsi="Verdana"/>
          <w:sz w:val="16"/>
          <w:szCs w:val="16"/>
        </w:rPr>
      </w:pPr>
    </w:p>
    <w:p w:rsidR="006D17C5" w:rsidRDefault="00A23E6B" w:rsidP="006D17C5">
      <w:pPr>
        <w:rPr>
          <w:rFonts w:ascii="Verdana" w:hAnsi="Verdana"/>
          <w:sz w:val="18"/>
          <w:szCs w:val="18"/>
        </w:rPr>
      </w:pPr>
      <w:r>
        <w:rPr>
          <w:rFonts w:ascii="Verdana" w:hAnsi="Verdana"/>
          <w:i/>
          <w:sz w:val="18"/>
          <w:szCs w:val="18"/>
        </w:rPr>
        <w:t>«Il est de notre devoir de faire connaître les avantages de l’augmentation du budget 2021-2027 pour la société civile. Je suis heureux de constater que le travail du Comité a fait la différence. L’accord sur le nouveau cadre financier pluriannuel et sur la nouvelle facilité pour la reprise et la résilience arrive à point nommé. Nous espérons qu’il marquera le point de départ d’une reprise européenne rapide, qu’il constituera la pierre angulaire d’une Union plus forte et plus verte, et que le résultat final sera conforme aux ambitions et aux besoins de l’UE»</w:t>
      </w:r>
      <w:r>
        <w:rPr>
          <w:rFonts w:ascii="Verdana" w:hAnsi="Verdana"/>
          <w:sz w:val="18"/>
          <w:szCs w:val="18"/>
        </w:rPr>
        <w:t xml:space="preserve">, a déclaré </w:t>
      </w:r>
      <w:r>
        <w:rPr>
          <w:rFonts w:ascii="Verdana" w:hAnsi="Verdana"/>
          <w:b/>
          <w:sz w:val="18"/>
          <w:szCs w:val="18"/>
        </w:rPr>
        <w:t>Cillian Lohan</w:t>
      </w:r>
      <w:r>
        <w:rPr>
          <w:rFonts w:ascii="Verdana" w:hAnsi="Verdana"/>
          <w:sz w:val="18"/>
          <w:szCs w:val="18"/>
        </w:rPr>
        <w:t>, vice-président du CESE chargé de la communication.</w:t>
      </w:r>
    </w:p>
    <w:p w:rsidR="00403953" w:rsidRPr="00182E60" w:rsidRDefault="00403953" w:rsidP="00F173AA">
      <w:pPr>
        <w:rPr>
          <w:rFonts w:ascii="Verdana" w:hAnsi="Verdana"/>
          <w:sz w:val="16"/>
          <w:szCs w:val="16"/>
        </w:rPr>
      </w:pPr>
    </w:p>
    <w:p w:rsidR="00F173AA" w:rsidRPr="00B1005C" w:rsidRDefault="00861B18" w:rsidP="00F173AA">
      <w:pPr>
        <w:rPr>
          <w:rFonts w:ascii="Verdana" w:hAnsi="Verdana"/>
          <w:b/>
          <w:sz w:val="18"/>
          <w:szCs w:val="18"/>
        </w:rPr>
      </w:pPr>
      <w:r>
        <w:rPr>
          <w:rFonts w:ascii="Verdana" w:hAnsi="Verdana"/>
          <w:b/>
          <w:sz w:val="18"/>
          <w:szCs w:val="18"/>
        </w:rPr>
        <w:t xml:space="preserve">Un budget de l’UE suffisant pour reconstruire l’Europe de l’après-COVID-19, en s’engageant fermement dans les transitions verte et numérique </w:t>
      </w:r>
    </w:p>
    <w:p w:rsidR="00B1005C" w:rsidRPr="00182E60" w:rsidRDefault="00B1005C" w:rsidP="00F173AA">
      <w:pPr>
        <w:rPr>
          <w:rFonts w:ascii="Verdana" w:hAnsi="Verdana"/>
          <w:sz w:val="16"/>
          <w:szCs w:val="16"/>
        </w:rPr>
      </w:pPr>
    </w:p>
    <w:p w:rsidR="00F173AA" w:rsidRPr="00B1005C" w:rsidRDefault="00861B18" w:rsidP="00F173AA">
      <w:pPr>
        <w:rPr>
          <w:rFonts w:ascii="Verdana" w:hAnsi="Verdana"/>
          <w:sz w:val="18"/>
          <w:szCs w:val="18"/>
        </w:rPr>
      </w:pPr>
      <w:r>
        <w:rPr>
          <w:rFonts w:ascii="Verdana" w:hAnsi="Verdana"/>
          <w:sz w:val="18"/>
          <w:szCs w:val="18"/>
        </w:rPr>
        <w:t xml:space="preserve">L’Union dispose à présent d’un budget de 1 800 milliards d’euros pour les sept prochaines années (2021-2027), si l’on inclut à la fois le CFP et la nouvelle facilité pour la reprise et la résilience. Le CESE avait fermement soutenu un budget plus ambitieux dans son avis (ECO/460) sur le </w:t>
      </w:r>
      <w:hyperlink r:id="rId13" w:history="1">
        <w:r>
          <w:rPr>
            <w:rStyle w:val="Hyperlink"/>
            <w:rFonts w:ascii="Verdana" w:hAnsi="Verdana"/>
            <w:sz w:val="18"/>
            <w:szCs w:val="18"/>
          </w:rPr>
          <w:t>cadre financier pluriannuel après 2020</w:t>
        </w:r>
      </w:hyperlink>
      <w:r>
        <w:rPr>
          <w:rFonts w:ascii="Verdana" w:hAnsi="Verdana"/>
          <w:sz w:val="18"/>
          <w:szCs w:val="18"/>
        </w:rPr>
        <w:t xml:space="preserve">, élaboré par </w:t>
      </w:r>
      <w:r>
        <w:rPr>
          <w:rFonts w:ascii="Verdana" w:hAnsi="Verdana"/>
          <w:b/>
          <w:sz w:val="18"/>
          <w:szCs w:val="18"/>
        </w:rPr>
        <w:t>Javier Doz Orrit</w:t>
      </w:r>
      <w:r>
        <w:rPr>
          <w:rFonts w:ascii="Verdana" w:hAnsi="Verdana"/>
          <w:sz w:val="18"/>
          <w:szCs w:val="18"/>
        </w:rPr>
        <w:t>, qui proposait que les dépenses et les recettes du CFP atteignent 1,3 % du RNB, faisant valoir que les Européens avaient besoin de plus d’Europe (et d’une meilleure Europe).</w:t>
      </w:r>
    </w:p>
    <w:p w:rsidR="00F173AA" w:rsidRPr="00182E60" w:rsidRDefault="00F173AA" w:rsidP="00F173AA">
      <w:pPr>
        <w:rPr>
          <w:rFonts w:ascii="Verdana" w:hAnsi="Verdana"/>
          <w:sz w:val="16"/>
          <w:szCs w:val="16"/>
        </w:rPr>
      </w:pPr>
    </w:p>
    <w:p w:rsidR="00F173AA" w:rsidRPr="00B1005C" w:rsidRDefault="00F173AA" w:rsidP="00F173AA">
      <w:pPr>
        <w:rPr>
          <w:rFonts w:ascii="Verdana" w:hAnsi="Verdana"/>
          <w:b/>
          <w:sz w:val="18"/>
          <w:szCs w:val="18"/>
        </w:rPr>
      </w:pPr>
      <w:r>
        <w:rPr>
          <w:rFonts w:ascii="Verdana" w:hAnsi="Verdana"/>
          <w:b/>
          <w:sz w:val="18"/>
          <w:szCs w:val="18"/>
        </w:rPr>
        <w:t>Plus de 50 % des fonds de l’UE soutiendront la relance et la numérisation en Europe</w:t>
      </w:r>
    </w:p>
    <w:p w:rsidR="00CF4DD0" w:rsidRPr="00182E60" w:rsidRDefault="00CF4DD0" w:rsidP="00F173AA">
      <w:pPr>
        <w:rPr>
          <w:rFonts w:ascii="Verdana" w:hAnsi="Verdana"/>
          <w:sz w:val="16"/>
          <w:szCs w:val="16"/>
        </w:rPr>
      </w:pPr>
    </w:p>
    <w:p w:rsidR="00B1005C" w:rsidRDefault="00B1005C" w:rsidP="00F173AA">
      <w:pPr>
        <w:rPr>
          <w:rFonts w:ascii="Verdana" w:hAnsi="Verdana"/>
          <w:sz w:val="18"/>
          <w:szCs w:val="18"/>
        </w:rPr>
      </w:pPr>
      <w:r>
        <w:rPr>
          <w:rFonts w:ascii="Verdana" w:hAnsi="Verdana"/>
          <w:sz w:val="18"/>
          <w:szCs w:val="18"/>
        </w:rPr>
        <w:t xml:space="preserve">L’objectif de l’augmentation du budget – grâce à la nouvelle facilité pour la reprise et la résilience – est d’aider l’Europe à se redresser après la pandémie et de faire de l’UE une Union plus résiliente, plus verte et plus numérique. D’après l’accord, plus de 50 % des fonds sont consacrés à la préparation, à la reprise et à la résilience (facilité pour la reprise et la résilience, rescEU et nouveau </w:t>
      </w:r>
      <w:r>
        <w:rPr>
          <w:rFonts w:ascii="Verdana" w:hAnsi="Verdana"/>
          <w:sz w:val="18"/>
          <w:szCs w:val="18"/>
        </w:rPr>
        <w:lastRenderedPageBreak/>
        <w:t>programme «L’UE pour la santé»), à la modernisation par la recherche et l’innovation (Horizon Europe) et à des transitions climatiques et numériques équitables (Fonds pour une transition juste et programme pour une Europe numérique).</w:t>
      </w:r>
    </w:p>
    <w:p w:rsidR="00B1005C" w:rsidRPr="00182E60" w:rsidRDefault="00B1005C" w:rsidP="00F173AA">
      <w:pPr>
        <w:rPr>
          <w:rFonts w:ascii="Verdana" w:hAnsi="Verdana"/>
          <w:sz w:val="16"/>
          <w:szCs w:val="16"/>
        </w:rPr>
      </w:pPr>
    </w:p>
    <w:p w:rsidR="00F173AA" w:rsidRPr="00B1005C" w:rsidRDefault="00F173AA" w:rsidP="00F173AA">
      <w:pPr>
        <w:rPr>
          <w:rFonts w:ascii="Verdana" w:hAnsi="Verdana"/>
          <w:sz w:val="18"/>
          <w:szCs w:val="18"/>
        </w:rPr>
      </w:pPr>
      <w:r>
        <w:rPr>
          <w:rFonts w:ascii="Verdana" w:hAnsi="Verdana"/>
          <w:sz w:val="18"/>
          <w:szCs w:val="18"/>
        </w:rPr>
        <w:t xml:space="preserve">À cet égard, le Comité avait à plusieurs reprises demandé à la Commission européenne et aux États membres d’augmenter le budget de l’UE et d’approuver rapidement son plan de relance, afin d’accélérer la reprise européenne, de soutenir les citoyens et les entreprises, et d’investir dans l’avenir numérique et écologique (avis ECO/523, </w:t>
      </w:r>
      <w:hyperlink r:id="rId14" w:history="1">
        <w:r>
          <w:rPr>
            <w:rStyle w:val="Hyperlink"/>
            <w:rFonts w:ascii="Verdana" w:hAnsi="Verdana"/>
            <w:sz w:val="18"/>
            <w:szCs w:val="18"/>
          </w:rPr>
          <w:t>Plan de relance pour l’Europe et cadre financier pluriannuel 2021-2027</w:t>
        </w:r>
      </w:hyperlink>
      <w:r>
        <w:rPr>
          <w:rFonts w:ascii="Verdana" w:hAnsi="Verdana"/>
          <w:sz w:val="18"/>
          <w:szCs w:val="18"/>
        </w:rPr>
        <w:t xml:space="preserve">, par </w:t>
      </w:r>
      <w:r>
        <w:rPr>
          <w:rFonts w:ascii="Verdana" w:hAnsi="Verdana"/>
          <w:b/>
          <w:sz w:val="18"/>
          <w:szCs w:val="18"/>
        </w:rPr>
        <w:t>Petru Sorin Dandea</w:t>
      </w:r>
      <w:r>
        <w:rPr>
          <w:rFonts w:ascii="Verdana" w:hAnsi="Verdana"/>
          <w:sz w:val="18"/>
          <w:szCs w:val="18"/>
        </w:rPr>
        <w:t xml:space="preserve">, </w:t>
      </w:r>
      <w:r>
        <w:rPr>
          <w:rFonts w:ascii="Verdana" w:hAnsi="Verdana"/>
          <w:b/>
          <w:sz w:val="18"/>
          <w:szCs w:val="18"/>
        </w:rPr>
        <w:t>Tommaso Di Fazio</w:t>
      </w:r>
      <w:r>
        <w:rPr>
          <w:rFonts w:ascii="Verdana" w:hAnsi="Verdana"/>
          <w:sz w:val="18"/>
          <w:szCs w:val="18"/>
        </w:rPr>
        <w:t xml:space="preserve"> et </w:t>
      </w:r>
      <w:r>
        <w:rPr>
          <w:rFonts w:ascii="Verdana" w:hAnsi="Verdana"/>
          <w:b/>
          <w:sz w:val="18"/>
          <w:szCs w:val="18"/>
        </w:rPr>
        <w:t>Petr Zahradník</w:t>
      </w:r>
      <w:r>
        <w:rPr>
          <w:rFonts w:ascii="Verdana" w:hAnsi="Verdana"/>
          <w:sz w:val="18"/>
          <w:szCs w:val="18"/>
        </w:rPr>
        <w:t xml:space="preserve">; exposé de position ECO/524, </w:t>
      </w:r>
      <w:hyperlink r:id="rId15" w:history="1">
        <w:r>
          <w:rPr>
            <w:rStyle w:val="Hyperlink"/>
            <w:rFonts w:ascii="Verdana" w:hAnsi="Verdana"/>
            <w:sz w:val="18"/>
            <w:szCs w:val="18"/>
          </w:rPr>
          <w:t>Soutien à la reprise en faveur de la cohésion et des territoires d’Europe (REACT-EU)</w:t>
        </w:r>
      </w:hyperlink>
      <w:r>
        <w:rPr>
          <w:rFonts w:ascii="Verdana" w:hAnsi="Verdana"/>
          <w:sz w:val="18"/>
          <w:szCs w:val="18"/>
        </w:rPr>
        <w:t xml:space="preserve">, par </w:t>
      </w:r>
      <w:r>
        <w:rPr>
          <w:rFonts w:ascii="Verdana" w:hAnsi="Verdana"/>
          <w:b/>
          <w:sz w:val="18"/>
          <w:szCs w:val="18"/>
        </w:rPr>
        <w:t>Antonello Pezzini</w:t>
      </w:r>
      <w:r>
        <w:rPr>
          <w:rFonts w:ascii="Verdana" w:hAnsi="Verdana"/>
          <w:sz w:val="18"/>
          <w:szCs w:val="18"/>
        </w:rPr>
        <w:t xml:space="preserve">; avis ECO/527, </w:t>
      </w:r>
      <w:hyperlink r:id="rId16" w:history="1">
        <w:r>
          <w:rPr>
            <w:rStyle w:val="Hyperlink"/>
            <w:rFonts w:ascii="Verdana" w:hAnsi="Verdana"/>
            <w:sz w:val="18"/>
            <w:szCs w:val="18"/>
          </w:rPr>
          <w:t>Facilité pour la reprise et la résilience et instrument d’appui technique</w:t>
        </w:r>
      </w:hyperlink>
      <w:r>
        <w:rPr>
          <w:rFonts w:ascii="Verdana" w:hAnsi="Verdana"/>
          <w:sz w:val="18"/>
          <w:szCs w:val="18"/>
        </w:rPr>
        <w:t xml:space="preserve">, par </w:t>
      </w:r>
      <w:r>
        <w:rPr>
          <w:rFonts w:ascii="Verdana" w:hAnsi="Verdana"/>
          <w:b/>
          <w:sz w:val="18"/>
          <w:szCs w:val="18"/>
        </w:rPr>
        <w:t>Dimitris Dimitriadis</w:t>
      </w:r>
      <w:r>
        <w:rPr>
          <w:rFonts w:ascii="Verdana" w:hAnsi="Verdana"/>
          <w:sz w:val="18"/>
          <w:szCs w:val="18"/>
        </w:rPr>
        <w:t xml:space="preserve">; et avis ECO/528, </w:t>
      </w:r>
      <w:hyperlink r:id="rId17" w:history="1">
        <w:r>
          <w:rPr>
            <w:rStyle w:val="Hyperlink"/>
            <w:rFonts w:ascii="Verdana" w:hAnsi="Verdana"/>
            <w:sz w:val="18"/>
            <w:szCs w:val="18"/>
          </w:rPr>
          <w:t>Programme InvestEU renouvelé et instrument de soutien à la solvabilité</w:t>
        </w:r>
      </w:hyperlink>
      <w:r>
        <w:rPr>
          <w:rFonts w:ascii="Verdana" w:hAnsi="Verdana"/>
          <w:sz w:val="18"/>
          <w:szCs w:val="18"/>
        </w:rPr>
        <w:t xml:space="preserve">, par </w:t>
      </w:r>
      <w:r>
        <w:rPr>
          <w:rFonts w:ascii="Verdana" w:hAnsi="Verdana"/>
          <w:b/>
          <w:sz w:val="18"/>
          <w:szCs w:val="18"/>
        </w:rPr>
        <w:t>Ronny Lannoo</w:t>
      </w:r>
      <w:r>
        <w:rPr>
          <w:rFonts w:ascii="Verdana" w:hAnsi="Verdana"/>
          <w:sz w:val="18"/>
          <w:szCs w:val="18"/>
        </w:rPr>
        <w:t>).</w:t>
      </w:r>
    </w:p>
    <w:p w:rsidR="00F173AA" w:rsidRPr="00182E60" w:rsidRDefault="00F173AA" w:rsidP="00F173AA">
      <w:pPr>
        <w:rPr>
          <w:rFonts w:ascii="Verdana" w:hAnsi="Verdana"/>
          <w:sz w:val="16"/>
          <w:szCs w:val="16"/>
        </w:rPr>
      </w:pPr>
    </w:p>
    <w:p w:rsidR="00F173AA" w:rsidRPr="00B1005C" w:rsidRDefault="00F173AA" w:rsidP="00F173AA">
      <w:pPr>
        <w:rPr>
          <w:rFonts w:ascii="Verdana" w:hAnsi="Verdana"/>
          <w:b/>
          <w:sz w:val="18"/>
          <w:szCs w:val="18"/>
        </w:rPr>
      </w:pPr>
      <w:r>
        <w:rPr>
          <w:rFonts w:ascii="Verdana" w:hAnsi="Verdana"/>
          <w:b/>
          <w:sz w:val="18"/>
          <w:szCs w:val="18"/>
        </w:rPr>
        <w:t>30 % du budget de l’UE seront consacrés à la lutte contre le changement climatique</w:t>
      </w:r>
    </w:p>
    <w:p w:rsidR="00CF4DD0" w:rsidRPr="00182E60" w:rsidRDefault="00CF4DD0" w:rsidP="00F173AA">
      <w:pPr>
        <w:rPr>
          <w:rFonts w:ascii="Verdana" w:hAnsi="Verdana"/>
          <w:sz w:val="16"/>
          <w:szCs w:val="16"/>
        </w:rPr>
      </w:pPr>
    </w:p>
    <w:p w:rsidR="00F173AA" w:rsidRPr="00B1005C" w:rsidRDefault="00F173AA" w:rsidP="00F173AA">
      <w:pPr>
        <w:rPr>
          <w:rFonts w:ascii="Verdana" w:hAnsi="Verdana"/>
          <w:sz w:val="18"/>
          <w:szCs w:val="18"/>
        </w:rPr>
      </w:pPr>
      <w:r>
        <w:rPr>
          <w:rFonts w:ascii="Verdana" w:hAnsi="Verdana"/>
          <w:sz w:val="18"/>
          <w:szCs w:val="18"/>
        </w:rPr>
        <w:t xml:space="preserve">La part des fonds de l’UE pour 2021-2027 consacrés à la lutte contre le changement climatique et à la protection de la biodiversité sera plus élevée que jamais. À ce sujet, le CESE avait plaidé en faveur d’une Union ambitieuse, capable de relever ces défis en leur affectant en moyenne 40 % de son budget global (avis NAT/735 sur le </w:t>
      </w:r>
      <w:hyperlink r:id="rId18" w:history="1">
        <w:r>
          <w:rPr>
            <w:rStyle w:val="Hyperlink"/>
            <w:rFonts w:ascii="Verdana" w:hAnsi="Verdana"/>
            <w:sz w:val="18"/>
            <w:szCs w:val="18"/>
          </w:rPr>
          <w:t>Pacte européen «finance-climat»</w:t>
        </w:r>
      </w:hyperlink>
      <w:r>
        <w:rPr>
          <w:rFonts w:ascii="Verdana" w:hAnsi="Verdana"/>
          <w:sz w:val="18"/>
          <w:szCs w:val="18"/>
        </w:rPr>
        <w:t xml:space="preserve">, élaboré par </w:t>
      </w:r>
      <w:r>
        <w:rPr>
          <w:rFonts w:ascii="Verdana" w:hAnsi="Verdana"/>
          <w:b/>
          <w:sz w:val="18"/>
          <w:szCs w:val="18"/>
        </w:rPr>
        <w:t>Rudy De Leeuw</w:t>
      </w:r>
      <w:r>
        <w:rPr>
          <w:rFonts w:ascii="Verdana" w:hAnsi="Verdana"/>
          <w:sz w:val="18"/>
          <w:szCs w:val="18"/>
        </w:rPr>
        <w:t>).</w:t>
      </w:r>
    </w:p>
    <w:p w:rsidR="00F173AA" w:rsidRPr="00182E60" w:rsidRDefault="00F173AA" w:rsidP="00F173AA">
      <w:pPr>
        <w:rPr>
          <w:rFonts w:ascii="Verdana" w:hAnsi="Verdana"/>
          <w:sz w:val="16"/>
          <w:szCs w:val="16"/>
        </w:rPr>
      </w:pPr>
    </w:p>
    <w:p w:rsidR="00F173AA" w:rsidRPr="00B1005C" w:rsidRDefault="00F173AA" w:rsidP="00F173AA">
      <w:pPr>
        <w:rPr>
          <w:rFonts w:ascii="Verdana" w:hAnsi="Verdana"/>
          <w:b/>
          <w:sz w:val="18"/>
          <w:szCs w:val="18"/>
        </w:rPr>
      </w:pPr>
      <w:r>
        <w:rPr>
          <w:rFonts w:ascii="Verdana" w:hAnsi="Verdana"/>
          <w:b/>
          <w:sz w:val="18"/>
          <w:szCs w:val="18"/>
        </w:rPr>
        <w:t>Le budget de l’Union doit être protégé, pour la première fois, contre les violations de l’état de droit</w:t>
      </w:r>
    </w:p>
    <w:p w:rsidR="00CF4DD0" w:rsidRPr="00182E60" w:rsidRDefault="00CF4DD0" w:rsidP="00F173AA">
      <w:pPr>
        <w:rPr>
          <w:rFonts w:ascii="Verdana" w:hAnsi="Verdana"/>
          <w:sz w:val="16"/>
          <w:szCs w:val="16"/>
        </w:rPr>
      </w:pPr>
    </w:p>
    <w:p w:rsidR="00E80BDC" w:rsidRDefault="00F173AA" w:rsidP="00F173AA">
      <w:pPr>
        <w:rPr>
          <w:rFonts w:ascii="Verdana" w:hAnsi="Verdana"/>
          <w:sz w:val="18"/>
          <w:szCs w:val="18"/>
        </w:rPr>
      </w:pPr>
      <w:r>
        <w:rPr>
          <w:rFonts w:ascii="Verdana" w:hAnsi="Verdana"/>
          <w:sz w:val="18"/>
          <w:szCs w:val="18"/>
        </w:rPr>
        <w:t xml:space="preserve">L’accord introduit également un régime de conditionnalité indispensable qui permet de protéger le budget de l’UE lorsqu’il est établi que des violations des principes de l’état de droit dans un État membre portent atteinte ou risquent fortement de porter atteinte, de manière suffisamment directe, à la bonne gestion financière du budget de l’UE ou à la protection des intérêts financiers de l’UE. Une fois de plus, il s’agit d’une victoire pour le Comité, qui n’a cessé de souligner que les valeurs fondamentales, telles qu’énoncées à l’article 2 du traité sur l’Union européenne, ne sont pas négociables. </w:t>
      </w:r>
    </w:p>
    <w:p w:rsidR="00E80BDC" w:rsidRPr="00182E60" w:rsidRDefault="00E80BDC" w:rsidP="00F173AA">
      <w:pPr>
        <w:rPr>
          <w:rFonts w:ascii="Verdana" w:hAnsi="Verdana"/>
          <w:sz w:val="16"/>
          <w:szCs w:val="16"/>
        </w:rPr>
      </w:pPr>
    </w:p>
    <w:p w:rsidR="00F173AA" w:rsidRPr="00B1005C" w:rsidRDefault="00B970EF" w:rsidP="00F173AA">
      <w:pPr>
        <w:rPr>
          <w:rFonts w:ascii="Verdana" w:hAnsi="Verdana"/>
          <w:sz w:val="18"/>
          <w:szCs w:val="18"/>
        </w:rPr>
      </w:pPr>
      <w:r>
        <w:rPr>
          <w:rFonts w:ascii="Verdana" w:hAnsi="Verdana"/>
          <w:sz w:val="18"/>
          <w:szCs w:val="18"/>
        </w:rPr>
        <w:t xml:space="preserve">Sa recommandation selon laquelle les conséquences du déclenchement du mécanisme ne devraient pas retomber sur les bénéficiaires individuels des fonds de l’UE, tels que les étudiants Erasmus, les chercheurs ou les organisations de la société civile, a également été prise en compte. Le CESE a toujours insisté pour que ce soit plutôt les responsables des violations qui supportent ces conséquences, et fait valoir qu’il convient de chercher d’autres moyens de garantir que les fonds parviennent aux bénéficiaires visés (avis SOC/598, </w:t>
      </w:r>
      <w:hyperlink r:id="rId19" w:history="1">
        <w:r>
          <w:rPr>
            <w:rStyle w:val="Hyperlink"/>
            <w:rFonts w:ascii="Verdana" w:hAnsi="Verdana"/>
            <w:sz w:val="18"/>
            <w:szCs w:val="18"/>
          </w:rPr>
          <w:t>Le budget de l’Union et l’état de droit</w:t>
        </w:r>
      </w:hyperlink>
      <w:r>
        <w:rPr>
          <w:rFonts w:ascii="Verdana" w:hAnsi="Verdana"/>
          <w:sz w:val="18"/>
          <w:szCs w:val="18"/>
        </w:rPr>
        <w:t xml:space="preserve">, par </w:t>
      </w:r>
      <w:r>
        <w:rPr>
          <w:rFonts w:ascii="Verdana" w:hAnsi="Verdana"/>
          <w:b/>
          <w:sz w:val="18"/>
          <w:szCs w:val="18"/>
        </w:rPr>
        <w:t>Jukka Ahtela</w:t>
      </w:r>
      <w:r>
        <w:rPr>
          <w:rFonts w:ascii="Verdana" w:hAnsi="Verdana"/>
          <w:sz w:val="18"/>
          <w:szCs w:val="18"/>
        </w:rPr>
        <w:t xml:space="preserve">, et avis SOC/627, </w:t>
      </w:r>
      <w:hyperlink r:id="rId20" w:history="1">
        <w:r>
          <w:rPr>
            <w:rStyle w:val="Hyperlink"/>
            <w:rFonts w:ascii="Verdana" w:hAnsi="Verdana"/>
            <w:sz w:val="18"/>
            <w:szCs w:val="18"/>
          </w:rPr>
          <w:t>Poursuivre le renforcement de l’état de droit au sein de l’Union –</w:t>
        </w:r>
      </w:hyperlink>
      <w:hyperlink r:id="rId21" w:history="1">
        <w:r>
          <w:rPr>
            <w:rStyle w:val="Hyperlink"/>
            <w:rFonts w:ascii="Verdana" w:hAnsi="Verdana"/>
            <w:sz w:val="18"/>
            <w:szCs w:val="18"/>
          </w:rPr>
          <w:t>État des lieux et prochaines étapes envisageables</w:t>
        </w:r>
      </w:hyperlink>
      <w:r>
        <w:rPr>
          <w:rFonts w:ascii="Verdana" w:hAnsi="Verdana"/>
          <w:sz w:val="18"/>
          <w:szCs w:val="18"/>
        </w:rPr>
        <w:t xml:space="preserve">, par </w:t>
      </w:r>
      <w:r>
        <w:rPr>
          <w:rFonts w:ascii="Verdana" w:hAnsi="Verdana"/>
          <w:b/>
          <w:sz w:val="18"/>
          <w:szCs w:val="18"/>
        </w:rPr>
        <w:t>Jukka Ahtela</w:t>
      </w:r>
      <w:r>
        <w:rPr>
          <w:rFonts w:ascii="Verdana" w:hAnsi="Verdana"/>
          <w:sz w:val="18"/>
          <w:szCs w:val="18"/>
        </w:rPr>
        <w:t xml:space="preserve">, </w:t>
      </w:r>
      <w:r>
        <w:rPr>
          <w:rFonts w:ascii="Verdana" w:hAnsi="Verdana"/>
          <w:b/>
          <w:sz w:val="18"/>
          <w:szCs w:val="18"/>
        </w:rPr>
        <w:t>Karolina Dreszer-Smalec</w:t>
      </w:r>
      <w:r>
        <w:rPr>
          <w:rFonts w:ascii="Verdana" w:hAnsi="Verdana"/>
          <w:sz w:val="18"/>
          <w:szCs w:val="18"/>
        </w:rPr>
        <w:t xml:space="preserve"> et </w:t>
      </w:r>
      <w:r>
        <w:rPr>
          <w:rFonts w:ascii="Verdana" w:hAnsi="Verdana"/>
          <w:b/>
          <w:sz w:val="18"/>
          <w:szCs w:val="18"/>
        </w:rPr>
        <w:t>José Antonio Moreno Díaz</w:t>
      </w:r>
      <w:r>
        <w:rPr>
          <w:rFonts w:ascii="Verdana" w:hAnsi="Verdana"/>
          <w:sz w:val="18"/>
          <w:szCs w:val="18"/>
        </w:rPr>
        <w:t>).</w:t>
      </w:r>
      <w:r>
        <w:rPr>
          <w:rFonts w:ascii="Calibri" w:hAnsi="Calibri"/>
          <w:color w:val="002060"/>
          <w:szCs w:val="22"/>
          <w:shd w:val="clear" w:color="auto" w:fill="FFFFFF"/>
        </w:rPr>
        <w:t xml:space="preserve"> </w:t>
      </w:r>
    </w:p>
    <w:p w:rsidR="00F173AA" w:rsidRPr="00182E60" w:rsidRDefault="00F173AA" w:rsidP="00F173AA">
      <w:pPr>
        <w:rPr>
          <w:rFonts w:ascii="Verdana" w:hAnsi="Verdana"/>
          <w:sz w:val="16"/>
          <w:szCs w:val="16"/>
        </w:rPr>
      </w:pPr>
    </w:p>
    <w:p w:rsidR="00F173AA" w:rsidRDefault="00AD3976" w:rsidP="00AD3976">
      <w:pPr>
        <w:rPr>
          <w:rFonts w:ascii="Verdana" w:hAnsi="Verdana" w:cstheme="minorHAnsi"/>
          <w:sz w:val="18"/>
          <w:szCs w:val="18"/>
        </w:rPr>
      </w:pPr>
      <w:r>
        <w:rPr>
          <w:rFonts w:ascii="Verdana" w:hAnsi="Verdana"/>
          <w:sz w:val="18"/>
          <w:szCs w:val="18"/>
        </w:rPr>
        <w:t>Vous trouverez en annexe davantage d’informations sur les avis du CESE pris en compte dans le CFP.</w:t>
      </w:r>
    </w:p>
    <w:p w:rsidR="008272D7" w:rsidRPr="00182E60" w:rsidRDefault="008272D7" w:rsidP="00AD3976">
      <w:pPr>
        <w:rPr>
          <w:rFonts w:ascii="Verdana" w:hAnsi="Verdana" w:cstheme="minorHAnsi"/>
          <w:sz w:val="16"/>
          <w:szCs w:val="16"/>
        </w:rPr>
      </w:pPr>
    </w:p>
    <w:p w:rsidR="006E3277" w:rsidRPr="00B1005C" w:rsidRDefault="006E3277" w:rsidP="006E3277">
      <w:pPr>
        <w:jc w:val="center"/>
        <w:rPr>
          <w:rFonts w:ascii="Verdana" w:hAnsi="Verdana"/>
          <w:sz w:val="18"/>
          <w:szCs w:val="18"/>
        </w:rPr>
      </w:pPr>
      <w:r>
        <w:rPr>
          <w:rFonts w:ascii="Verdana" w:hAnsi="Verdana"/>
          <w:b/>
          <w:sz w:val="18"/>
          <w:szCs w:val="18"/>
        </w:rPr>
        <w:t>Pour de plus amples informations, veuillez prendre contact avec:</w:t>
      </w:r>
    </w:p>
    <w:p w:rsidR="006E3277" w:rsidRPr="00B1005C" w:rsidRDefault="006E3277" w:rsidP="006E3277">
      <w:pPr>
        <w:pStyle w:val="Heading1"/>
        <w:numPr>
          <w:ilvl w:val="0"/>
          <w:numId w:val="0"/>
        </w:numPr>
        <w:ind w:left="360"/>
        <w:jc w:val="center"/>
        <w:rPr>
          <w:rFonts w:ascii="Verdana" w:hAnsi="Verdana"/>
          <w:sz w:val="18"/>
          <w:szCs w:val="18"/>
        </w:rPr>
      </w:pPr>
      <w:r>
        <w:rPr>
          <w:rFonts w:ascii="Verdana" w:hAnsi="Verdana"/>
          <w:sz w:val="18"/>
          <w:szCs w:val="18"/>
        </w:rPr>
        <w:t>Service de presse du CESE – Marco Pezzani</w:t>
      </w:r>
      <w:r>
        <w:rPr>
          <w:rFonts w:ascii="Verdana" w:hAnsi="Verdana"/>
          <w:sz w:val="18"/>
          <w:szCs w:val="18"/>
        </w:rPr>
        <w:br/>
        <w:t>+32 (0)2 546 97 93 · Mobile: +32 (0)470 881 903</w:t>
      </w:r>
    </w:p>
    <w:p w:rsidR="006E3277" w:rsidRPr="00B1005C" w:rsidRDefault="008C26B4" w:rsidP="006E3277">
      <w:pPr>
        <w:jc w:val="center"/>
        <w:rPr>
          <w:rFonts w:ascii="Verdana" w:hAnsi="Verdana"/>
          <w:sz w:val="18"/>
          <w:szCs w:val="18"/>
        </w:rPr>
      </w:pPr>
      <w:hyperlink r:id="rId22" w:history="1">
        <w:r w:rsidR="005A3D53">
          <w:rPr>
            <w:rStyle w:val="Hyperlink"/>
            <w:rFonts w:ascii="Verdana" w:hAnsi="Verdana"/>
            <w:sz w:val="18"/>
            <w:szCs w:val="18"/>
          </w:rPr>
          <w:t>marco.pezzani@eesc.europa.eu</w:t>
        </w:r>
      </w:hyperlink>
    </w:p>
    <w:p w:rsidR="006E3277" w:rsidRPr="00B1005C" w:rsidRDefault="006E3277" w:rsidP="006E3277">
      <w:pPr>
        <w:pStyle w:val="Heading1"/>
        <w:numPr>
          <w:ilvl w:val="0"/>
          <w:numId w:val="0"/>
        </w:numPr>
        <w:jc w:val="center"/>
        <w:rPr>
          <w:rFonts w:ascii="Verdana" w:hAnsi="Verdana"/>
          <w:b/>
          <w:bCs/>
          <w:sz w:val="18"/>
          <w:szCs w:val="18"/>
        </w:rPr>
      </w:pPr>
      <w:r>
        <w:rPr>
          <w:rFonts w:ascii="Verdana" w:hAnsi="Verdana"/>
          <w:b/>
          <w:bCs/>
          <w:sz w:val="18"/>
          <w:szCs w:val="18"/>
        </w:rPr>
        <w:t>@EESC_PRESS</w:t>
      </w:r>
    </w:p>
    <w:p w:rsidR="006E3277" w:rsidRPr="00B1005C" w:rsidRDefault="008C26B4" w:rsidP="006E3277">
      <w:pPr>
        <w:jc w:val="center"/>
        <w:rPr>
          <w:rFonts w:ascii="Verdana" w:hAnsi="Verdana"/>
          <w:color w:val="1F497D"/>
          <w:sz w:val="18"/>
          <w:szCs w:val="18"/>
        </w:rPr>
      </w:pPr>
      <w:hyperlink r:id="rId23" w:history="1">
        <w:r w:rsidR="005A3D53">
          <w:rPr>
            <w:rStyle w:val="Hyperlink"/>
            <w:rFonts w:ascii="Verdana" w:hAnsi="Verdana"/>
            <w:sz w:val="18"/>
            <w:szCs w:val="18"/>
          </w:rPr>
          <w:t>VIDÉO. Le CESE vu de l’intérieur</w:t>
        </w:r>
      </w:hyperlink>
    </w:p>
    <w:p w:rsidR="00457458" w:rsidRPr="00B1005C" w:rsidRDefault="00457458" w:rsidP="00457458">
      <w:pPr>
        <w:rPr>
          <w:rFonts w:ascii="Verdana" w:hAnsi="Verdana"/>
          <w:b/>
          <w:bCs/>
          <w:i/>
          <w:sz w:val="16"/>
          <w:szCs w:val="16"/>
        </w:rPr>
      </w:pPr>
      <w:r>
        <w:rPr>
          <w:rFonts w:ascii="Verdana" w:hAnsi="Verdana"/>
          <w:b/>
          <w:bCs/>
          <w:i/>
          <w:sz w:val="16"/>
          <w:szCs w:val="16"/>
        </w:rPr>
        <w:t>_______________________________________________________________________________</w:t>
      </w:r>
    </w:p>
    <w:p w:rsidR="00457458" w:rsidRPr="00B1005C" w:rsidRDefault="00457458" w:rsidP="00457458">
      <w:pPr>
        <w:rPr>
          <w:rFonts w:ascii="Verdana" w:hAnsi="Verdana"/>
          <w:i/>
          <w:sz w:val="16"/>
          <w:szCs w:val="16"/>
        </w:rPr>
      </w:pPr>
      <w:r>
        <w:rPr>
          <w:rFonts w:ascii="Verdana" w:hAnsi="Verdana"/>
          <w:i/>
          <w:sz w:val="16"/>
          <w:szCs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w:t>
      </w:r>
    </w:p>
    <w:p w:rsidR="003816F1" w:rsidRPr="00B1005C" w:rsidRDefault="00457458">
      <w:r>
        <w:rPr>
          <w:rFonts w:ascii="Verdana" w:hAnsi="Verdana"/>
          <w:b/>
          <w:bCs/>
          <w:i/>
          <w:sz w:val="16"/>
          <w:szCs w:val="16"/>
        </w:rPr>
        <w:t>_______________________________________________________________________________</w:t>
      </w:r>
    </w:p>
    <w:sectPr w:rsidR="003816F1" w:rsidRPr="00B1005C" w:rsidSect="00837B82">
      <w:type w:val="continuous"/>
      <w:pgSz w:w="11907" w:h="16839" w:code="9"/>
      <w:pgMar w:top="851" w:right="1418" w:bottom="992" w:left="1418" w:header="3062" w:footer="11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CE01E" w16cid:durableId="233BC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FF" w:rsidRDefault="002C2FFF">
      <w:pPr>
        <w:spacing w:line="240" w:lineRule="auto"/>
      </w:pPr>
      <w:r>
        <w:separator/>
      </w:r>
    </w:p>
  </w:endnote>
  <w:endnote w:type="continuationSeparator" w:id="0">
    <w:p w:rsidR="002C2FFF" w:rsidRDefault="002C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8F6176" w:rsidP="0004715C">
    <w:pPr>
      <w:spacing w:line="240" w:lineRule="auto"/>
      <w:jc w:val="center"/>
      <w:rPr>
        <w:rFonts w:ascii="Verdana" w:hAnsi="Verdana"/>
        <w:sz w:val="16"/>
        <w:szCs w:val="16"/>
      </w:rPr>
    </w:pPr>
    <w:r>
      <w:rPr>
        <w:rFonts w:ascii="Verdana" w:hAnsi="Verdana"/>
        <w:sz w:val="16"/>
        <w:szCs w:val="16"/>
      </w:rPr>
      <w:t>Rue Belliard 99 – 1040 Bruxelles – BELGIQUE</w:t>
    </w:r>
  </w:p>
  <w:p w:rsidR="00F83179" w:rsidRPr="0004715C" w:rsidRDefault="008F6176" w:rsidP="0004715C">
    <w:pPr>
      <w:spacing w:line="240" w:lineRule="auto"/>
      <w:jc w:val="center"/>
      <w:rPr>
        <w:rFonts w:ascii="Verdana" w:hAnsi="Verdana"/>
        <w:sz w:val="16"/>
        <w:szCs w:val="16"/>
      </w:rPr>
    </w:pPr>
    <w:r>
      <w:rPr>
        <w:rFonts w:ascii="Verdana" w:hAnsi="Verdana"/>
        <w:sz w:val="16"/>
        <w:szCs w:val="16"/>
      </w:rPr>
      <w:t>Tél. +32 25469406 – Fax +32 25469764</w:t>
    </w:r>
  </w:p>
  <w:p w:rsidR="00F83179" w:rsidRDefault="008F6176" w:rsidP="0004715C">
    <w:pPr>
      <w:spacing w:line="240" w:lineRule="auto"/>
      <w:jc w:val="center"/>
      <w:rPr>
        <w:rFonts w:ascii="Verdana" w:hAnsi="Verdana"/>
        <w:sz w:val="16"/>
        <w:szCs w:val="16"/>
      </w:rPr>
    </w:pPr>
    <w:r>
      <w:rPr>
        <w:rFonts w:ascii="Verdana" w:hAnsi="Verdana"/>
        <w:sz w:val="16"/>
        <w:szCs w:val="16"/>
      </w:rPr>
      <w:t xml:space="preserve">Courriel: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8F6176" w:rsidP="00F61167">
    <w:pPr>
      <w:spacing w:line="240" w:lineRule="auto"/>
      <w:jc w:val="center"/>
      <w:rPr>
        <w:rFonts w:ascii="Verdana" w:hAnsi="Verdana"/>
        <w:sz w:val="16"/>
        <w:szCs w:val="16"/>
      </w:rPr>
    </w:pPr>
    <w:r>
      <w:rPr>
        <w:rFonts w:ascii="Verdana" w:hAnsi="Verdana"/>
        <w:sz w:val="16"/>
        <w:szCs w:val="16"/>
      </w:rPr>
      <w:t>Suivez le CESE sur   </w:t>
    </w:r>
    <w:r>
      <w:rPr>
        <w:noProof/>
        <w:lang w:val="en-GB" w:eastAsia="en-GB"/>
      </w:rPr>
      <w:drawing>
        <wp:inline distT="0" distB="0" distL="0" distR="0" wp14:anchorId="4EE148FD" wp14:editId="33B9F950">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009E3F05" wp14:editId="51E444D5">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3D318B0D" wp14:editId="30B057B4">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FF" w:rsidRDefault="002C2FFF">
      <w:pPr>
        <w:spacing w:line="240" w:lineRule="auto"/>
      </w:pPr>
      <w:r>
        <w:separator/>
      </w:r>
    </w:p>
  </w:footnote>
  <w:footnote w:type="continuationSeparator" w:id="0">
    <w:p w:rsidR="002C2FFF" w:rsidRDefault="002C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58"/>
    <w:rsid w:val="00006C05"/>
    <w:rsid w:val="000129A3"/>
    <w:rsid w:val="000265C7"/>
    <w:rsid w:val="00030BE6"/>
    <w:rsid w:val="00064FCA"/>
    <w:rsid w:val="00087DBF"/>
    <w:rsid w:val="000901E5"/>
    <w:rsid w:val="00092BDB"/>
    <w:rsid w:val="00093DD9"/>
    <w:rsid w:val="00094751"/>
    <w:rsid w:val="000A1427"/>
    <w:rsid w:val="000B32CE"/>
    <w:rsid w:val="000D43D8"/>
    <w:rsid w:val="000E155A"/>
    <w:rsid w:val="00102256"/>
    <w:rsid w:val="00130076"/>
    <w:rsid w:val="00131163"/>
    <w:rsid w:val="00133FD4"/>
    <w:rsid w:val="001407FD"/>
    <w:rsid w:val="00156EA0"/>
    <w:rsid w:val="00182E60"/>
    <w:rsid w:val="001838B1"/>
    <w:rsid w:val="001956F0"/>
    <w:rsid w:val="001A0F5B"/>
    <w:rsid w:val="001B6BCA"/>
    <w:rsid w:val="001C4205"/>
    <w:rsid w:val="001C6245"/>
    <w:rsid w:val="001C7A70"/>
    <w:rsid w:val="001E6226"/>
    <w:rsid w:val="001E6BDC"/>
    <w:rsid w:val="001F11AF"/>
    <w:rsid w:val="001F1470"/>
    <w:rsid w:val="00202297"/>
    <w:rsid w:val="002060EB"/>
    <w:rsid w:val="002168D9"/>
    <w:rsid w:val="00234737"/>
    <w:rsid w:val="0023780F"/>
    <w:rsid w:val="00262602"/>
    <w:rsid w:val="0027075E"/>
    <w:rsid w:val="002C2FFF"/>
    <w:rsid w:val="002D41BC"/>
    <w:rsid w:val="002D6E02"/>
    <w:rsid w:val="002E5F8F"/>
    <w:rsid w:val="002F13AF"/>
    <w:rsid w:val="002F1F76"/>
    <w:rsid w:val="00305206"/>
    <w:rsid w:val="003259CB"/>
    <w:rsid w:val="00331A35"/>
    <w:rsid w:val="00350547"/>
    <w:rsid w:val="00356A8C"/>
    <w:rsid w:val="00356B2F"/>
    <w:rsid w:val="00375573"/>
    <w:rsid w:val="00380F78"/>
    <w:rsid w:val="00395606"/>
    <w:rsid w:val="003D6B74"/>
    <w:rsid w:val="003E1EFE"/>
    <w:rsid w:val="00403953"/>
    <w:rsid w:val="00415DB1"/>
    <w:rsid w:val="00416552"/>
    <w:rsid w:val="00420C1A"/>
    <w:rsid w:val="00422F67"/>
    <w:rsid w:val="0042588A"/>
    <w:rsid w:val="00443DCA"/>
    <w:rsid w:val="00457458"/>
    <w:rsid w:val="00471F80"/>
    <w:rsid w:val="0047483C"/>
    <w:rsid w:val="004A6ABD"/>
    <w:rsid w:val="004D0451"/>
    <w:rsid w:val="004E1341"/>
    <w:rsid w:val="004E36B1"/>
    <w:rsid w:val="004F5B51"/>
    <w:rsid w:val="004F7278"/>
    <w:rsid w:val="00501949"/>
    <w:rsid w:val="00502AE4"/>
    <w:rsid w:val="00502DD6"/>
    <w:rsid w:val="00504259"/>
    <w:rsid w:val="00534687"/>
    <w:rsid w:val="00543140"/>
    <w:rsid w:val="00546F03"/>
    <w:rsid w:val="00547BCB"/>
    <w:rsid w:val="00552C42"/>
    <w:rsid w:val="00595AE7"/>
    <w:rsid w:val="005A3D53"/>
    <w:rsid w:val="005A5F35"/>
    <w:rsid w:val="005E15B9"/>
    <w:rsid w:val="005F3934"/>
    <w:rsid w:val="006124FE"/>
    <w:rsid w:val="0062045A"/>
    <w:rsid w:val="006218A0"/>
    <w:rsid w:val="00637D2E"/>
    <w:rsid w:val="006419DA"/>
    <w:rsid w:val="00644931"/>
    <w:rsid w:val="006721FB"/>
    <w:rsid w:val="00673240"/>
    <w:rsid w:val="006A3545"/>
    <w:rsid w:val="006B3FDB"/>
    <w:rsid w:val="006B7DD3"/>
    <w:rsid w:val="006C0BE2"/>
    <w:rsid w:val="006C6CF8"/>
    <w:rsid w:val="006D17C5"/>
    <w:rsid w:val="006D38C8"/>
    <w:rsid w:val="006E3277"/>
    <w:rsid w:val="006E5221"/>
    <w:rsid w:val="00721E16"/>
    <w:rsid w:val="00722A60"/>
    <w:rsid w:val="00747527"/>
    <w:rsid w:val="00755E9F"/>
    <w:rsid w:val="00765830"/>
    <w:rsid w:val="00772841"/>
    <w:rsid w:val="00777BEB"/>
    <w:rsid w:val="00792426"/>
    <w:rsid w:val="00792C50"/>
    <w:rsid w:val="00793BF4"/>
    <w:rsid w:val="007948C1"/>
    <w:rsid w:val="007A5C03"/>
    <w:rsid w:val="007B3A61"/>
    <w:rsid w:val="007B74C4"/>
    <w:rsid w:val="007C4941"/>
    <w:rsid w:val="007E0D88"/>
    <w:rsid w:val="007E2008"/>
    <w:rsid w:val="007E38CB"/>
    <w:rsid w:val="00804646"/>
    <w:rsid w:val="008068BC"/>
    <w:rsid w:val="00807C02"/>
    <w:rsid w:val="0081100C"/>
    <w:rsid w:val="00813957"/>
    <w:rsid w:val="008272D7"/>
    <w:rsid w:val="00833992"/>
    <w:rsid w:val="00861B18"/>
    <w:rsid w:val="00884270"/>
    <w:rsid w:val="00891109"/>
    <w:rsid w:val="00891B73"/>
    <w:rsid w:val="00894D46"/>
    <w:rsid w:val="008A362B"/>
    <w:rsid w:val="008B0093"/>
    <w:rsid w:val="008C26B4"/>
    <w:rsid w:val="008C2D55"/>
    <w:rsid w:val="008C5198"/>
    <w:rsid w:val="008E42DA"/>
    <w:rsid w:val="008F6176"/>
    <w:rsid w:val="0090436C"/>
    <w:rsid w:val="00907A14"/>
    <w:rsid w:val="00911A6B"/>
    <w:rsid w:val="00935110"/>
    <w:rsid w:val="0094334C"/>
    <w:rsid w:val="0097567C"/>
    <w:rsid w:val="00977996"/>
    <w:rsid w:val="009A2F0F"/>
    <w:rsid w:val="009D4C94"/>
    <w:rsid w:val="009E789A"/>
    <w:rsid w:val="00A06C99"/>
    <w:rsid w:val="00A06CA4"/>
    <w:rsid w:val="00A23E6B"/>
    <w:rsid w:val="00A60812"/>
    <w:rsid w:val="00A85A57"/>
    <w:rsid w:val="00AA0518"/>
    <w:rsid w:val="00AA6F93"/>
    <w:rsid w:val="00AC5FE9"/>
    <w:rsid w:val="00AD3594"/>
    <w:rsid w:val="00AD3976"/>
    <w:rsid w:val="00B1005C"/>
    <w:rsid w:val="00B4186C"/>
    <w:rsid w:val="00B5383D"/>
    <w:rsid w:val="00B74CBE"/>
    <w:rsid w:val="00B958C6"/>
    <w:rsid w:val="00B970EF"/>
    <w:rsid w:val="00BA44EB"/>
    <w:rsid w:val="00BB770A"/>
    <w:rsid w:val="00BC1107"/>
    <w:rsid w:val="00BC542B"/>
    <w:rsid w:val="00C20DA2"/>
    <w:rsid w:val="00C46304"/>
    <w:rsid w:val="00C5424A"/>
    <w:rsid w:val="00C54E5B"/>
    <w:rsid w:val="00C766A0"/>
    <w:rsid w:val="00C82DBD"/>
    <w:rsid w:val="00C93D77"/>
    <w:rsid w:val="00CA14D8"/>
    <w:rsid w:val="00CA1C24"/>
    <w:rsid w:val="00CA5A18"/>
    <w:rsid w:val="00CC065E"/>
    <w:rsid w:val="00CD17F2"/>
    <w:rsid w:val="00CF4DD0"/>
    <w:rsid w:val="00D061BD"/>
    <w:rsid w:val="00D12F4E"/>
    <w:rsid w:val="00D313EB"/>
    <w:rsid w:val="00D32F39"/>
    <w:rsid w:val="00D41299"/>
    <w:rsid w:val="00D5623C"/>
    <w:rsid w:val="00D62CDD"/>
    <w:rsid w:val="00D715E4"/>
    <w:rsid w:val="00D7427D"/>
    <w:rsid w:val="00D91CE2"/>
    <w:rsid w:val="00D937EC"/>
    <w:rsid w:val="00D945CD"/>
    <w:rsid w:val="00DA0038"/>
    <w:rsid w:val="00DA4362"/>
    <w:rsid w:val="00DC3EFF"/>
    <w:rsid w:val="00DD1A70"/>
    <w:rsid w:val="00DD791F"/>
    <w:rsid w:val="00DE54D6"/>
    <w:rsid w:val="00DF111E"/>
    <w:rsid w:val="00E025AE"/>
    <w:rsid w:val="00E1323B"/>
    <w:rsid w:val="00E4346C"/>
    <w:rsid w:val="00E43A98"/>
    <w:rsid w:val="00E61959"/>
    <w:rsid w:val="00E70F8A"/>
    <w:rsid w:val="00E73525"/>
    <w:rsid w:val="00E80BDC"/>
    <w:rsid w:val="00E87523"/>
    <w:rsid w:val="00E877FB"/>
    <w:rsid w:val="00E900E4"/>
    <w:rsid w:val="00EE1786"/>
    <w:rsid w:val="00EF2148"/>
    <w:rsid w:val="00F173AA"/>
    <w:rsid w:val="00F22711"/>
    <w:rsid w:val="00F34879"/>
    <w:rsid w:val="00F44F77"/>
    <w:rsid w:val="00F54BC3"/>
    <w:rsid w:val="00F67818"/>
    <w:rsid w:val="00F86B43"/>
    <w:rsid w:val="00F94E4C"/>
    <w:rsid w:val="00FA1C7A"/>
    <w:rsid w:val="00FA31AE"/>
    <w:rsid w:val="00FD3AD6"/>
    <w:rsid w:val="00FF4D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AA70A-3436-4C1D-A2AA-7D36BDA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5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57458"/>
    <w:pPr>
      <w:numPr>
        <w:numId w:val="1"/>
      </w:numPr>
      <w:ind w:left="720" w:hanging="720"/>
      <w:outlineLvl w:val="0"/>
    </w:pPr>
    <w:rPr>
      <w:kern w:val="28"/>
    </w:rPr>
  </w:style>
  <w:style w:type="paragraph" w:styleId="Heading2">
    <w:name w:val="heading 2"/>
    <w:basedOn w:val="Normal"/>
    <w:next w:val="Normal"/>
    <w:link w:val="Heading2Char"/>
    <w:uiPriority w:val="9"/>
    <w:qFormat/>
    <w:rsid w:val="00457458"/>
    <w:pPr>
      <w:numPr>
        <w:ilvl w:val="1"/>
        <w:numId w:val="1"/>
      </w:numPr>
      <w:ind w:left="720" w:hanging="720"/>
      <w:outlineLvl w:val="1"/>
    </w:pPr>
  </w:style>
  <w:style w:type="paragraph" w:styleId="Heading3">
    <w:name w:val="heading 3"/>
    <w:basedOn w:val="Normal"/>
    <w:next w:val="Normal"/>
    <w:link w:val="Heading3Char"/>
    <w:uiPriority w:val="9"/>
    <w:qFormat/>
    <w:rsid w:val="00457458"/>
    <w:pPr>
      <w:numPr>
        <w:ilvl w:val="2"/>
        <w:numId w:val="1"/>
      </w:numPr>
      <w:ind w:left="720" w:hanging="720"/>
      <w:outlineLvl w:val="2"/>
    </w:pPr>
  </w:style>
  <w:style w:type="paragraph" w:styleId="Heading4">
    <w:name w:val="heading 4"/>
    <w:basedOn w:val="Normal"/>
    <w:next w:val="Normal"/>
    <w:link w:val="Heading4Char"/>
    <w:uiPriority w:val="9"/>
    <w:qFormat/>
    <w:rsid w:val="00457458"/>
    <w:pPr>
      <w:numPr>
        <w:ilvl w:val="3"/>
        <w:numId w:val="1"/>
      </w:numPr>
      <w:ind w:left="720" w:hanging="720"/>
      <w:outlineLvl w:val="3"/>
    </w:pPr>
  </w:style>
  <w:style w:type="paragraph" w:styleId="Heading5">
    <w:name w:val="heading 5"/>
    <w:basedOn w:val="Normal"/>
    <w:next w:val="Normal"/>
    <w:link w:val="Heading5Char"/>
    <w:uiPriority w:val="9"/>
    <w:qFormat/>
    <w:rsid w:val="00457458"/>
    <w:pPr>
      <w:numPr>
        <w:ilvl w:val="4"/>
        <w:numId w:val="1"/>
      </w:numPr>
      <w:ind w:left="720" w:hanging="720"/>
      <w:outlineLvl w:val="4"/>
    </w:pPr>
  </w:style>
  <w:style w:type="paragraph" w:styleId="Heading6">
    <w:name w:val="heading 6"/>
    <w:basedOn w:val="Normal"/>
    <w:next w:val="Normal"/>
    <w:link w:val="Heading6Char"/>
    <w:uiPriority w:val="9"/>
    <w:qFormat/>
    <w:rsid w:val="00457458"/>
    <w:pPr>
      <w:numPr>
        <w:ilvl w:val="5"/>
        <w:numId w:val="1"/>
      </w:numPr>
      <w:ind w:left="720" w:hanging="720"/>
      <w:outlineLvl w:val="5"/>
    </w:pPr>
  </w:style>
  <w:style w:type="paragraph" w:styleId="Heading7">
    <w:name w:val="heading 7"/>
    <w:basedOn w:val="Normal"/>
    <w:next w:val="Normal"/>
    <w:link w:val="Heading7Char"/>
    <w:uiPriority w:val="9"/>
    <w:qFormat/>
    <w:rsid w:val="00457458"/>
    <w:pPr>
      <w:numPr>
        <w:ilvl w:val="6"/>
        <w:numId w:val="1"/>
      </w:numPr>
      <w:ind w:left="720" w:hanging="720"/>
      <w:outlineLvl w:val="6"/>
    </w:pPr>
  </w:style>
  <w:style w:type="paragraph" w:styleId="Heading8">
    <w:name w:val="heading 8"/>
    <w:basedOn w:val="Normal"/>
    <w:next w:val="Normal"/>
    <w:link w:val="Heading8Char"/>
    <w:uiPriority w:val="9"/>
    <w:qFormat/>
    <w:rsid w:val="00457458"/>
    <w:pPr>
      <w:numPr>
        <w:ilvl w:val="7"/>
        <w:numId w:val="1"/>
      </w:numPr>
      <w:ind w:left="720" w:hanging="720"/>
      <w:outlineLvl w:val="7"/>
    </w:pPr>
  </w:style>
  <w:style w:type="paragraph" w:styleId="Heading9">
    <w:name w:val="heading 9"/>
    <w:basedOn w:val="Normal"/>
    <w:next w:val="Normal"/>
    <w:link w:val="Heading9Char"/>
    <w:uiPriority w:val="9"/>
    <w:qFormat/>
    <w:rsid w:val="0045745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58"/>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uiPriority w:val="9"/>
    <w:rsid w:val="00457458"/>
    <w:rPr>
      <w:rFonts w:ascii="Times New Roman" w:eastAsia="Times New Roman" w:hAnsi="Times New Roman" w:cs="Times New Roman"/>
      <w:szCs w:val="20"/>
      <w:lang w:val="fr-FR"/>
    </w:rPr>
  </w:style>
  <w:style w:type="character" w:customStyle="1" w:styleId="Heading3Char">
    <w:name w:val="Heading 3 Char"/>
    <w:basedOn w:val="DefaultParagraphFont"/>
    <w:link w:val="Heading3"/>
    <w:uiPriority w:val="9"/>
    <w:rsid w:val="00457458"/>
    <w:rPr>
      <w:rFonts w:ascii="Times New Roman" w:eastAsia="Times New Roman" w:hAnsi="Times New Roman" w:cs="Times New Roman"/>
      <w:szCs w:val="20"/>
      <w:lang w:val="fr-FR"/>
    </w:rPr>
  </w:style>
  <w:style w:type="character" w:customStyle="1" w:styleId="Heading4Char">
    <w:name w:val="Heading 4 Char"/>
    <w:basedOn w:val="DefaultParagraphFont"/>
    <w:link w:val="Heading4"/>
    <w:uiPriority w:val="9"/>
    <w:rsid w:val="00457458"/>
    <w:rPr>
      <w:rFonts w:ascii="Times New Roman" w:eastAsia="Times New Roman" w:hAnsi="Times New Roman" w:cs="Times New Roman"/>
      <w:szCs w:val="20"/>
      <w:lang w:val="fr-FR"/>
    </w:rPr>
  </w:style>
  <w:style w:type="character" w:customStyle="1" w:styleId="Heading5Char">
    <w:name w:val="Heading 5 Char"/>
    <w:basedOn w:val="DefaultParagraphFont"/>
    <w:link w:val="Heading5"/>
    <w:uiPriority w:val="9"/>
    <w:rsid w:val="00457458"/>
    <w:rPr>
      <w:rFonts w:ascii="Times New Roman" w:eastAsia="Times New Roman" w:hAnsi="Times New Roman" w:cs="Times New Roman"/>
      <w:szCs w:val="20"/>
      <w:lang w:val="fr-FR"/>
    </w:rPr>
  </w:style>
  <w:style w:type="character" w:customStyle="1" w:styleId="Heading6Char">
    <w:name w:val="Heading 6 Char"/>
    <w:basedOn w:val="DefaultParagraphFont"/>
    <w:link w:val="Heading6"/>
    <w:uiPriority w:val="9"/>
    <w:rsid w:val="00457458"/>
    <w:rPr>
      <w:rFonts w:ascii="Times New Roman" w:eastAsia="Times New Roman" w:hAnsi="Times New Roman" w:cs="Times New Roman"/>
      <w:szCs w:val="20"/>
      <w:lang w:val="fr-FR"/>
    </w:rPr>
  </w:style>
  <w:style w:type="character" w:customStyle="1" w:styleId="Heading7Char">
    <w:name w:val="Heading 7 Char"/>
    <w:basedOn w:val="DefaultParagraphFont"/>
    <w:link w:val="Heading7"/>
    <w:uiPriority w:val="9"/>
    <w:rsid w:val="00457458"/>
    <w:rPr>
      <w:rFonts w:ascii="Times New Roman" w:eastAsia="Times New Roman" w:hAnsi="Times New Roman" w:cs="Times New Roman"/>
      <w:szCs w:val="20"/>
      <w:lang w:val="fr-FR"/>
    </w:rPr>
  </w:style>
  <w:style w:type="character" w:customStyle="1" w:styleId="Heading8Char">
    <w:name w:val="Heading 8 Char"/>
    <w:basedOn w:val="DefaultParagraphFont"/>
    <w:link w:val="Heading8"/>
    <w:uiPriority w:val="9"/>
    <w:rsid w:val="00457458"/>
    <w:rPr>
      <w:rFonts w:ascii="Times New Roman" w:eastAsia="Times New Roman" w:hAnsi="Times New Roman" w:cs="Times New Roman"/>
      <w:szCs w:val="20"/>
      <w:lang w:val="fr-FR"/>
    </w:rPr>
  </w:style>
  <w:style w:type="character" w:customStyle="1" w:styleId="Heading9Char">
    <w:name w:val="Heading 9 Char"/>
    <w:basedOn w:val="DefaultParagraphFont"/>
    <w:link w:val="Heading9"/>
    <w:uiPriority w:val="9"/>
    <w:rsid w:val="00457458"/>
    <w:rPr>
      <w:rFonts w:ascii="Times New Roman" w:eastAsia="Times New Roman" w:hAnsi="Times New Roman" w:cs="Times New Roman"/>
      <w:szCs w:val="20"/>
      <w:lang w:val="fr-FR"/>
    </w:rPr>
  </w:style>
  <w:style w:type="character" w:styleId="Hyperlink">
    <w:name w:val="Hyperlink"/>
    <w:basedOn w:val="DefaultParagraphFont"/>
    <w:uiPriority w:val="99"/>
    <w:rsid w:val="00457458"/>
    <w:rPr>
      <w:color w:val="0000FF"/>
      <w:u w:val="single"/>
    </w:rPr>
  </w:style>
  <w:style w:type="character" w:styleId="CommentReference">
    <w:name w:val="annotation reference"/>
    <w:basedOn w:val="DefaultParagraphFont"/>
    <w:uiPriority w:val="99"/>
    <w:semiHidden/>
    <w:unhideWhenUsed/>
    <w:rsid w:val="00F94E4C"/>
    <w:rPr>
      <w:sz w:val="16"/>
      <w:szCs w:val="16"/>
    </w:rPr>
  </w:style>
  <w:style w:type="paragraph" w:styleId="CommentText">
    <w:name w:val="annotation text"/>
    <w:basedOn w:val="Normal"/>
    <w:link w:val="CommentTextChar"/>
    <w:uiPriority w:val="99"/>
    <w:semiHidden/>
    <w:unhideWhenUsed/>
    <w:rsid w:val="00F94E4C"/>
    <w:pPr>
      <w:spacing w:line="240" w:lineRule="auto"/>
    </w:pPr>
    <w:rPr>
      <w:sz w:val="20"/>
    </w:rPr>
  </w:style>
  <w:style w:type="character" w:customStyle="1" w:styleId="CommentTextChar">
    <w:name w:val="Comment Text Char"/>
    <w:basedOn w:val="DefaultParagraphFont"/>
    <w:link w:val="CommentText"/>
    <w:uiPriority w:val="99"/>
    <w:semiHidden/>
    <w:rsid w:val="00F94E4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94E4C"/>
    <w:rPr>
      <w:b/>
      <w:bCs/>
    </w:rPr>
  </w:style>
  <w:style w:type="character" w:customStyle="1" w:styleId="CommentSubjectChar">
    <w:name w:val="Comment Subject Char"/>
    <w:basedOn w:val="CommentTextChar"/>
    <w:link w:val="CommentSubject"/>
    <w:uiPriority w:val="99"/>
    <w:semiHidden/>
    <w:rsid w:val="00F94E4C"/>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F94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4C"/>
    <w:rPr>
      <w:rFonts w:ascii="Segoe UI" w:eastAsia="Times New Roman" w:hAnsi="Segoe UI" w:cs="Segoe UI"/>
      <w:sz w:val="18"/>
      <w:szCs w:val="18"/>
      <w:lang w:val="fr-FR"/>
    </w:rPr>
  </w:style>
  <w:style w:type="paragraph" w:styleId="NormalWeb">
    <w:name w:val="Normal (Web)"/>
    <w:basedOn w:val="Normal"/>
    <w:uiPriority w:val="99"/>
    <w:semiHidden/>
    <w:unhideWhenUsed/>
    <w:rsid w:val="006E3277"/>
    <w:pPr>
      <w:overflowPunct/>
      <w:autoSpaceDE/>
      <w:autoSpaceDN/>
      <w:adjustRightInd/>
      <w:spacing w:before="100" w:beforeAutospacing="1" w:after="100" w:afterAutospacing="1" w:line="240" w:lineRule="auto"/>
      <w:jc w:val="left"/>
      <w:textAlignment w:val="auto"/>
    </w:pPr>
    <w:rPr>
      <w:rFonts w:eastAsiaTheme="minorHAnsi"/>
      <w:sz w:val="24"/>
      <w:szCs w:val="24"/>
      <w:lang w:eastAsia="en-GB"/>
    </w:rPr>
  </w:style>
  <w:style w:type="paragraph" w:styleId="Revision">
    <w:name w:val="Revision"/>
    <w:hidden/>
    <w:uiPriority w:val="99"/>
    <w:semiHidden/>
    <w:rsid w:val="00C766A0"/>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E6226"/>
    <w:rPr>
      <w:color w:val="800080" w:themeColor="followedHyperlink"/>
      <w:u w:val="single"/>
    </w:rPr>
  </w:style>
  <w:style w:type="paragraph" w:styleId="Header">
    <w:name w:val="header"/>
    <w:basedOn w:val="Normal"/>
    <w:link w:val="HeaderChar"/>
    <w:uiPriority w:val="99"/>
    <w:unhideWhenUsed/>
    <w:rsid w:val="006C0BE2"/>
    <w:pPr>
      <w:tabs>
        <w:tab w:val="center" w:pos="4513"/>
        <w:tab w:val="right" w:pos="9026"/>
      </w:tabs>
      <w:spacing w:line="240" w:lineRule="auto"/>
    </w:pPr>
  </w:style>
  <w:style w:type="character" w:customStyle="1" w:styleId="HeaderChar">
    <w:name w:val="Header Char"/>
    <w:basedOn w:val="DefaultParagraphFont"/>
    <w:link w:val="Header"/>
    <w:uiPriority w:val="99"/>
    <w:rsid w:val="006C0BE2"/>
    <w:rPr>
      <w:rFonts w:ascii="Times New Roman" w:eastAsia="Times New Roman" w:hAnsi="Times New Roman" w:cs="Times New Roman"/>
      <w:szCs w:val="20"/>
      <w:lang w:val="fr-FR"/>
    </w:rPr>
  </w:style>
  <w:style w:type="paragraph" w:styleId="Footer">
    <w:name w:val="footer"/>
    <w:basedOn w:val="Normal"/>
    <w:link w:val="FooterChar"/>
    <w:uiPriority w:val="99"/>
    <w:unhideWhenUsed/>
    <w:rsid w:val="006C0BE2"/>
    <w:pPr>
      <w:tabs>
        <w:tab w:val="center" w:pos="4513"/>
        <w:tab w:val="right" w:pos="9026"/>
      </w:tabs>
      <w:spacing w:line="240" w:lineRule="auto"/>
    </w:pPr>
  </w:style>
  <w:style w:type="character" w:customStyle="1" w:styleId="FooterChar">
    <w:name w:val="Footer Char"/>
    <w:basedOn w:val="DefaultParagraphFont"/>
    <w:link w:val="Footer"/>
    <w:uiPriority w:val="99"/>
    <w:rsid w:val="006C0BE2"/>
    <w:rPr>
      <w:rFonts w:ascii="Times New Roman" w:eastAsia="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995">
      <w:bodyDiv w:val="1"/>
      <w:marLeft w:val="0"/>
      <w:marRight w:val="0"/>
      <w:marTop w:val="0"/>
      <w:marBottom w:val="0"/>
      <w:divBdr>
        <w:top w:val="none" w:sz="0" w:space="0" w:color="auto"/>
        <w:left w:val="none" w:sz="0" w:space="0" w:color="auto"/>
        <w:bottom w:val="none" w:sz="0" w:space="0" w:color="auto"/>
        <w:right w:val="none" w:sz="0" w:space="0" w:color="auto"/>
      </w:divBdr>
    </w:div>
    <w:div w:id="213584003">
      <w:bodyDiv w:val="1"/>
      <w:marLeft w:val="0"/>
      <w:marRight w:val="0"/>
      <w:marTop w:val="0"/>
      <w:marBottom w:val="0"/>
      <w:divBdr>
        <w:top w:val="none" w:sz="0" w:space="0" w:color="auto"/>
        <w:left w:val="none" w:sz="0" w:space="0" w:color="auto"/>
        <w:bottom w:val="none" w:sz="0" w:space="0" w:color="auto"/>
        <w:right w:val="none" w:sz="0" w:space="0" w:color="auto"/>
      </w:divBdr>
    </w:div>
    <w:div w:id="317734549">
      <w:bodyDiv w:val="1"/>
      <w:marLeft w:val="0"/>
      <w:marRight w:val="0"/>
      <w:marTop w:val="0"/>
      <w:marBottom w:val="0"/>
      <w:divBdr>
        <w:top w:val="none" w:sz="0" w:space="0" w:color="auto"/>
        <w:left w:val="none" w:sz="0" w:space="0" w:color="auto"/>
        <w:bottom w:val="none" w:sz="0" w:space="0" w:color="auto"/>
        <w:right w:val="none" w:sz="0" w:space="0" w:color="auto"/>
      </w:divBdr>
    </w:div>
    <w:div w:id="950549939">
      <w:bodyDiv w:val="1"/>
      <w:marLeft w:val="0"/>
      <w:marRight w:val="0"/>
      <w:marTop w:val="0"/>
      <w:marBottom w:val="0"/>
      <w:divBdr>
        <w:top w:val="none" w:sz="0" w:space="0" w:color="auto"/>
        <w:left w:val="none" w:sz="0" w:space="0" w:color="auto"/>
        <w:bottom w:val="none" w:sz="0" w:space="0" w:color="auto"/>
        <w:right w:val="none" w:sz="0" w:space="0" w:color="auto"/>
      </w:divBdr>
    </w:div>
    <w:div w:id="14367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our-work/opinions-information-reports/opinions/cadre-financier-pluriannuel-apres-2020" TargetMode="External"/><Relationship Id="rId18" Type="http://schemas.openxmlformats.org/officeDocument/2006/relationships/hyperlink" Target="https://www.eesc.europa.eu/fr/our-work/opinions-information-reports/opinions/pacte-europeen-finance-climat-avis-dinitiativ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eesc.europa.eu/fr/our-work/opinions-information-reports/opinions/poursuivre-le-renforcement-de-letat-de-droit-au-sein-de-lunion-etat-des-lieux-et-prochaines-etapes-envisageabl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esc.europa.eu/fr/our-work/opinions-information-reports/opinions/programme-investeu-renouvele-et-instrument-de-soutien-la-solvabil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fr/our-work/opinions-information-reports/opinions/facilite-pour-la-reprise-et-la-resilience-et-instrument-dappui-technique" TargetMode="External"/><Relationship Id="rId20" Type="http://schemas.openxmlformats.org/officeDocument/2006/relationships/hyperlink" Target="https://www.eesc.europa.eu/fr/our-work/opinions-information-reports/opinions/poursuivre-le-renforcement-de-letat-de-droit-au-sein-de-lunion-etat-des-lieux-et-prochaines-etapes-envisage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fr/our-work/opinions-information-reports/opinions/react-eu" TargetMode="External"/><Relationship Id="rId23" Type="http://schemas.openxmlformats.org/officeDocument/2006/relationships/hyperlink" Target="https://www.eesc.europa.eu/fr/avdb/video/eesc-inside" TargetMode="External"/><Relationship Id="rId10" Type="http://schemas.openxmlformats.org/officeDocument/2006/relationships/endnotes" Target="endnotes.xml"/><Relationship Id="rId19" Type="http://schemas.openxmlformats.org/officeDocument/2006/relationships/hyperlink" Target="https://www.eesc.europa.eu/fr/our-work/opinions-information-reports/opinions/le-budget-de-lunion-et-letat-de-dro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our-work/opinions-information-reports/opinions/plan-de-relance-pour-leurope-et-cfp-2021-2027" TargetMode="External"/><Relationship Id="rId22"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VV634QRNENMJ-762678085-7560</_dlc_DocId>
    <_dlc_DocIdUrl xmlns="cda99570-6012-4083-bfeb-7d32ad1ce1a3">
      <Url>http://dm2016/eesc/2020/_layouts/15/DocIdRedir.aspx?ID=VV634QRNENMJ-762678085-7560</Url>
      <Description>VV634QRNENMJ-762678085-7560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2020-12-14T12:00:00+00:00</ProductionDate>
    <FicheYear xmlns="cda99570-6012-4083-bfeb-7d32ad1ce1a3">2020</FicheYear>
    <DocumentNumber xmlns="98af4b3d-0f8e-4839-87de-ec8dfffabf66">3832</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15</Value>
      <Value>11</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9111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ED960-C48B-4084-B819-6D491DBEB8E1}">
  <ds:schemaRefs>
    <ds:schemaRef ds:uri="http://purl.org/dc/dcmitype/"/>
    <ds:schemaRef ds:uri="http://schemas.microsoft.com/sharepoint/v3/field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8af4b3d-0f8e-4839-87de-ec8dfffabf66"/>
    <ds:schemaRef ds:uri="cda99570-6012-4083-bfeb-7d32ad1ce1a3"/>
    <ds:schemaRef ds:uri="http://www.w3.org/XML/1998/namespace"/>
  </ds:schemaRefs>
</ds:datastoreItem>
</file>

<file path=customXml/itemProps2.xml><?xml version="1.0" encoding="utf-8"?>
<ds:datastoreItem xmlns:ds="http://schemas.openxmlformats.org/officeDocument/2006/customXml" ds:itemID="{9155C035-B65F-4987-A467-BD3CA963701E}">
  <ds:schemaRefs>
    <ds:schemaRef ds:uri="http://schemas.microsoft.com/sharepoint/v3/contenttype/forms"/>
  </ds:schemaRefs>
</ds:datastoreItem>
</file>

<file path=customXml/itemProps3.xml><?xml version="1.0" encoding="utf-8"?>
<ds:datastoreItem xmlns:ds="http://schemas.openxmlformats.org/officeDocument/2006/customXml" ds:itemID="{4917A6F7-A6A6-4A51-B58E-3FEF35A892B3}">
  <ds:schemaRefs>
    <ds:schemaRef ds:uri="http://schemas.microsoft.com/sharepoint/events"/>
  </ds:schemaRefs>
</ds:datastoreItem>
</file>

<file path=customXml/itemProps4.xml><?xml version="1.0" encoding="utf-8"?>
<ds:datastoreItem xmlns:ds="http://schemas.openxmlformats.org/officeDocument/2006/customXml" ds:itemID="{68CAB910-607F-442A-9B75-AA1FF705E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Budget de lUE2021-2027  Le CESE se félicite que les points de vue de la société civile aient un impact</vt:lpstr>
      <vt:lpstr/>
    </vt:vector>
  </TitlesOfParts>
  <Company>EESC-ECOR</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de lUE2021-2027  Le CESE se félicite que les points de vue de la société civile aient un impact</dc:title>
  <dc:subject>Communiqué de presse</dc:subject>
  <dc:creator>Eleonora Di Nicolantonio</dc:creator>
  <cp:keywords>EESC-2020-03832-00-00-CP-TRA-EN</cp:keywords>
  <dc:description>Rapporteur:  - Original language: EN - Date of document: 14/12/2020 - Date of meeting:  - External documents:  - Administrator: M. PEZZANI Marco</dc:description>
  <cp:lastModifiedBy>Marco Pezzani</cp:lastModifiedBy>
  <cp:revision>2</cp:revision>
  <cp:lastPrinted>2020-10-27T14:46:00Z</cp:lastPrinted>
  <dcterms:created xsi:type="dcterms:W3CDTF">2020-12-14T08:59:00Z</dcterms:created>
  <dcterms:modified xsi:type="dcterms:W3CDTF">2020-12-14T08:59:00Z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11/12/2020</vt:lpwstr>
  </property>
  <property fmtid="{D5CDD505-2E9C-101B-9397-08002B2CF9AE}" pid="4" name="Pref_Time">
    <vt:lpwstr>15:34:19</vt:lpwstr>
  </property>
  <property fmtid="{D5CDD505-2E9C-101B-9397-08002B2CF9AE}" pid="5" name="Pref_User">
    <vt:lpwstr>enied</vt:lpwstr>
  </property>
  <property fmtid="{D5CDD505-2E9C-101B-9397-08002B2CF9AE}" pid="6" name="Pref_FileName">
    <vt:lpwstr>EESC-2020-03832-00-00-CP-ORI.docx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915a4205-acaf-4bc4-9811-a604af9ce461</vt:lpwstr>
  </property>
  <property fmtid="{D5CDD505-2E9C-101B-9397-08002B2CF9AE}" pid="9" name="AvailableTranslations">
    <vt:lpwstr>11;#FR|d2afafd3-4c81-4f60-8f52-ee33f2f54ff3;#4;#EN|f2175f21-25d7-44a3-96da-d6a61b075e1b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3832</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9111</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