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66922" w14:textId="77777777" w:rsidR="00EF2989" w:rsidRPr="001C5DEA" w:rsidRDefault="003C57A4" w:rsidP="00207881">
      <w:pPr>
        <w:jc w:val="center"/>
      </w:pPr>
      <w:r>
        <w:rPr>
          <w:noProof/>
          <w:lang w:val="en-US"/>
        </w:rPr>
        <w:drawing>
          <wp:inline distT="0" distB="0" distL="0" distR="0" wp14:anchorId="2C9677A0" wp14:editId="2377FF9B">
            <wp:extent cx="1792605" cy="1239520"/>
            <wp:effectExtent l="0" t="0" r="0" b="0"/>
            <wp:docPr id="1" name="Picture 1" title="EESCLogo_D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207881">
        <w:rPr>
          <w:noProof/>
          <w:sz w:val="20"/>
          <w:lang w:val="en-US"/>
        </w:rPr>
        <mc:AlternateContent>
          <mc:Choice Requires="wps">
            <w:drawing>
              <wp:anchor distT="0" distB="0" distL="114300" distR="114300" simplePos="0" relativeHeight="251659264" behindDoc="1" locked="0" layoutInCell="0" allowOverlap="1" wp14:anchorId="4D95A5EA" wp14:editId="010ADC3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838DB" w14:textId="77777777" w:rsidR="00F333D7" w:rsidRPr="00260E65" w:rsidRDefault="00F333D7">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5A5EA"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3BA838DB" w14:textId="77777777" w:rsidR="00F333D7" w:rsidRPr="00260E65" w:rsidRDefault="00F333D7">
                      <w:pPr>
                        <w:jc w:val="center"/>
                        <w:rPr>
                          <w:rFonts w:ascii="Arial" w:hAnsi="Arial" w:cs="Arial"/>
                          <w:b/>
                          <w:bCs/>
                          <w:sz w:val="48"/>
                        </w:rPr>
                      </w:pPr>
                      <w:r>
                        <w:rPr>
                          <w:rFonts w:ascii="Arial" w:hAnsi="Arial"/>
                          <w:b/>
                          <w:bCs/>
                          <w:sz w:val="48"/>
                        </w:rPr>
                        <w:t>DE</w:t>
                      </w:r>
                    </w:p>
                  </w:txbxContent>
                </v:textbox>
                <w10:wrap anchorx="page" anchory="page"/>
              </v:shape>
            </w:pict>
          </mc:Fallback>
        </mc:AlternateContent>
      </w:r>
    </w:p>
    <w:p w14:paraId="0E8C2A87" w14:textId="77777777" w:rsidR="00207881" w:rsidRPr="001C5DEA" w:rsidRDefault="00207881" w:rsidP="00AF4606"/>
    <w:p w14:paraId="3248232F" w14:textId="77777777" w:rsidR="00B034C6" w:rsidRPr="001C5DEA" w:rsidRDefault="00BF05B6" w:rsidP="00AF4606">
      <w:pPr>
        <w:jc w:val="right"/>
      </w:pPr>
      <w:r>
        <w:rPr>
          <w:b/>
        </w:rPr>
        <w:t>INT/907</w:t>
      </w:r>
    </w:p>
    <w:p w14:paraId="147A8703" w14:textId="77777777" w:rsidR="003A7792" w:rsidRDefault="00BF05B6" w:rsidP="00AF4606">
      <w:pPr>
        <w:jc w:val="right"/>
        <w:rPr>
          <w:b/>
        </w:rPr>
      </w:pPr>
      <w:r>
        <w:rPr>
          <w:b/>
        </w:rPr>
        <w:t>Medizinprodukte/Geltungsbeginn</w:t>
      </w:r>
    </w:p>
    <w:p w14:paraId="3B9A35C3" w14:textId="77777777" w:rsidR="00EF2989" w:rsidRPr="001C5DEA" w:rsidRDefault="00EF2989" w:rsidP="00155CE3">
      <w:pPr>
        <w:jc w:val="right"/>
      </w:pPr>
    </w:p>
    <w:p w14:paraId="260D521B" w14:textId="77777777" w:rsidR="00EF2989" w:rsidRPr="001C5DEA" w:rsidRDefault="00EF2989" w:rsidP="00AF4606"/>
    <w:p w14:paraId="6813AE99" w14:textId="4993B846" w:rsidR="00A900FF" w:rsidRPr="001C5DEA" w:rsidRDefault="008B6871" w:rsidP="00A900FF">
      <w:pPr>
        <w:jc w:val="center"/>
      </w:pPr>
      <w:r>
        <w:rPr>
          <w:b/>
          <w:sz w:val="28"/>
          <w:szCs w:val="28"/>
        </w:rPr>
        <w:t>POSITIONSPAPIER</w:t>
      </w:r>
      <w:r w:rsidR="00B56625">
        <w:br/>
      </w:r>
      <w:r w:rsidR="00B56625">
        <w:br/>
        <w:t>Europäischer Wirtschafts- und Sozialausschuss</w:t>
      </w:r>
      <w:r w:rsidR="00B56625">
        <w:br/>
      </w:r>
      <w:r w:rsidR="00B56625">
        <w:br/>
      </w:r>
      <w:r w:rsidR="00B56625">
        <w:rPr>
          <w:b/>
        </w:rPr>
        <w:t>Vorschlag für eine Verordnung des Europäischen Parlaments und des Rates zur Änderung der Verordnung (EU) 2017/745 über Medizinprodukte hinsichtlich des Geltungsbeginns einiger ihrer Bestimmungen</w:t>
      </w:r>
      <w:r w:rsidR="00B56625">
        <w:br/>
        <w:t>[COM(2020) 144 final – 2020/0060 (COD)]</w:t>
      </w:r>
    </w:p>
    <w:p w14:paraId="561E06C9" w14:textId="77777777" w:rsidR="00A23399" w:rsidRPr="001C5DEA" w:rsidRDefault="00A23399" w:rsidP="00AF4606">
      <w:pPr>
        <w:jc w:val="center"/>
        <w:rPr>
          <w:rFonts w:eastAsia="PMingLiU"/>
          <w:snapToGrid w:val="0"/>
          <w:szCs w:val="24"/>
        </w:rPr>
      </w:pPr>
      <w:r>
        <w:br/>
      </w:r>
      <w:r>
        <w:rPr>
          <w:snapToGrid w:val="0"/>
          <w:szCs w:val="24"/>
        </w:rPr>
        <w:t xml:space="preserve">Hauptberichterstatterin: </w:t>
      </w:r>
      <w:r>
        <w:rPr>
          <w:b/>
          <w:snapToGrid w:val="0"/>
          <w:szCs w:val="24"/>
        </w:rPr>
        <w:t>Renate HEINISCH</w:t>
      </w: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146AFA" w:rsidRPr="001C5DEA" w14:paraId="44E65B19" w14:textId="77777777" w:rsidTr="00146AFA">
        <w:tc>
          <w:tcPr>
            <w:tcW w:w="3085" w:type="dxa"/>
          </w:tcPr>
          <w:p w14:paraId="3FCFD0FF" w14:textId="77777777" w:rsidR="00146AFA" w:rsidRPr="001C5DEA" w:rsidRDefault="00146AFA" w:rsidP="00146AFA">
            <w:pPr>
              <w:jc w:val="left"/>
            </w:pPr>
            <w:r>
              <w:t>Datum des Dokuments</w:t>
            </w:r>
          </w:p>
        </w:tc>
        <w:tc>
          <w:tcPr>
            <w:tcW w:w="6204" w:type="dxa"/>
          </w:tcPr>
          <w:p w14:paraId="22918D4C" w14:textId="47597819" w:rsidR="00146AFA" w:rsidRPr="001C5DEA" w:rsidRDefault="003A7792" w:rsidP="00F94671">
            <w:pPr>
              <w:jc w:val="left"/>
            </w:pPr>
            <w:r>
              <w:t>1</w:t>
            </w:r>
            <w:r w:rsidR="00F94671">
              <w:t>5</w:t>
            </w:r>
            <w:bookmarkStart w:id="0" w:name="_GoBack"/>
            <w:bookmarkEnd w:id="0"/>
            <w:r>
              <w:t>/04/2020</w:t>
            </w:r>
          </w:p>
        </w:tc>
      </w:tr>
    </w:tbl>
    <w:p w14:paraId="5441BAA7" w14:textId="77777777" w:rsidR="00101B16" w:rsidRPr="001C5DEA" w:rsidRDefault="00101B16" w:rsidP="00AF4606"/>
    <w:p w14:paraId="78A27A12" w14:textId="77777777" w:rsidR="00EF2989" w:rsidRPr="001C5DEA" w:rsidRDefault="00EF2989" w:rsidP="00AF4606">
      <w:pPr>
        <w:sectPr w:rsidR="00EF2989" w:rsidRPr="001C5DEA" w:rsidSect="00C6060A">
          <w:footerReference w:type="default" r:id="rId12"/>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36"/>
        <w:gridCol w:w="6037"/>
      </w:tblGrid>
      <w:tr w:rsidR="00101B16" w:rsidRPr="001C5DEA" w14:paraId="46017B24" w14:textId="77777777" w:rsidTr="00CB055E">
        <w:tc>
          <w:tcPr>
            <w:tcW w:w="3085" w:type="dxa"/>
          </w:tcPr>
          <w:p w14:paraId="0C3209D7" w14:textId="77777777" w:rsidR="00101B16" w:rsidRPr="001C5DEA" w:rsidRDefault="00102ECF" w:rsidP="00AF4606">
            <w:pPr>
              <w:jc w:val="left"/>
            </w:pPr>
            <w:r>
              <w:lastRenderedPageBreak/>
              <w:t>Befassung</w:t>
            </w:r>
          </w:p>
        </w:tc>
        <w:tc>
          <w:tcPr>
            <w:tcW w:w="6204" w:type="dxa"/>
          </w:tcPr>
          <w:p w14:paraId="76B035F9" w14:textId="77777777" w:rsidR="00101B16" w:rsidRPr="001C5DEA" w:rsidRDefault="00F011DF" w:rsidP="00AF4606">
            <w:pPr>
              <w:jc w:val="left"/>
            </w:pPr>
            <w:r>
              <w:t>Rat der Europäischen Union, 07/04/2020</w:t>
            </w:r>
          </w:p>
          <w:p w14:paraId="61138C7D" w14:textId="3FA11075" w:rsidR="00F011DF" w:rsidRPr="001C5DEA" w:rsidRDefault="00F011DF" w:rsidP="008B6871">
            <w:pPr>
              <w:jc w:val="left"/>
            </w:pPr>
            <w:r>
              <w:t xml:space="preserve">Europäisches Parlament, </w:t>
            </w:r>
            <w:r w:rsidR="008B6871">
              <w:t>16/04/2020</w:t>
            </w:r>
          </w:p>
        </w:tc>
      </w:tr>
      <w:tr w:rsidR="00101B16" w:rsidRPr="001C5DEA" w14:paraId="5FC7CC9D" w14:textId="77777777" w:rsidTr="00CB055E">
        <w:trPr>
          <w:trHeight w:val="251"/>
        </w:trPr>
        <w:tc>
          <w:tcPr>
            <w:tcW w:w="3085" w:type="dxa"/>
          </w:tcPr>
          <w:p w14:paraId="41DDE4DA" w14:textId="77777777" w:rsidR="00101B16" w:rsidRPr="001C5DEA" w:rsidRDefault="00101B16" w:rsidP="00AF4606">
            <w:pPr>
              <w:jc w:val="left"/>
            </w:pPr>
            <w:r>
              <w:t>Rechtsgrundlage</w:t>
            </w:r>
          </w:p>
        </w:tc>
        <w:tc>
          <w:tcPr>
            <w:tcW w:w="6204" w:type="dxa"/>
          </w:tcPr>
          <w:p w14:paraId="78A151B0" w14:textId="77777777" w:rsidR="00101B16" w:rsidRPr="001C5DEA" w:rsidRDefault="00101B16" w:rsidP="00BF05B6">
            <w:pPr>
              <w:jc w:val="left"/>
            </w:pPr>
            <w:r>
              <w:t>Artikel 114, Artikel 168 Absatz 4 und Artikel 304 des Vertrags über die Arbeitsweise der Europäischen Union</w:t>
            </w:r>
          </w:p>
        </w:tc>
      </w:tr>
      <w:tr w:rsidR="00101B16" w:rsidRPr="001C5DEA" w14:paraId="7AEE2BE1" w14:textId="77777777" w:rsidTr="00CB055E">
        <w:tc>
          <w:tcPr>
            <w:tcW w:w="3085" w:type="dxa"/>
          </w:tcPr>
          <w:p w14:paraId="0F0190A9" w14:textId="77777777" w:rsidR="00101B16" w:rsidRPr="001C5DEA" w:rsidRDefault="00101B16" w:rsidP="00AF4606">
            <w:pPr>
              <w:jc w:val="left"/>
            </w:pPr>
            <w:r>
              <w:t>Zuständige Fachgruppe</w:t>
            </w:r>
          </w:p>
        </w:tc>
        <w:tc>
          <w:tcPr>
            <w:tcW w:w="6204" w:type="dxa"/>
          </w:tcPr>
          <w:p w14:paraId="4A174CE8" w14:textId="77777777" w:rsidR="00101B16" w:rsidRPr="001C5DEA" w:rsidRDefault="00BF05B6" w:rsidP="00BF05B6">
            <w:pPr>
              <w:jc w:val="left"/>
            </w:pPr>
            <w:r>
              <w:t>Fachgruppe Binnenmarkt, Produktion, Verbrauch</w:t>
            </w:r>
          </w:p>
        </w:tc>
      </w:tr>
      <w:tr w:rsidR="00146AFA" w:rsidRPr="001C5DEA" w14:paraId="43260FAE" w14:textId="77777777" w:rsidTr="00CB055E">
        <w:tc>
          <w:tcPr>
            <w:tcW w:w="3085" w:type="dxa"/>
          </w:tcPr>
          <w:p w14:paraId="1E166182" w14:textId="77777777" w:rsidR="00146AFA" w:rsidRPr="001C5DEA" w:rsidRDefault="00146AFA" w:rsidP="00AF4606">
            <w:pPr>
              <w:jc w:val="left"/>
              <w:rPr>
                <w:highlight w:val="yellow"/>
              </w:rPr>
            </w:pPr>
          </w:p>
        </w:tc>
        <w:tc>
          <w:tcPr>
            <w:tcW w:w="6204" w:type="dxa"/>
          </w:tcPr>
          <w:p w14:paraId="5BA77AFC" w14:textId="77777777" w:rsidR="00146AFA" w:rsidRPr="001C5DEA" w:rsidRDefault="00146AFA" w:rsidP="00AF4606">
            <w:pPr>
              <w:jc w:val="left"/>
              <w:rPr>
                <w:highlight w:val="yellow"/>
              </w:rPr>
            </w:pPr>
          </w:p>
        </w:tc>
      </w:tr>
      <w:tr w:rsidR="00101B16" w:rsidRPr="001C5DEA" w14:paraId="490447ED" w14:textId="77777777" w:rsidTr="00CB055E">
        <w:tc>
          <w:tcPr>
            <w:tcW w:w="3085" w:type="dxa"/>
          </w:tcPr>
          <w:p w14:paraId="263462E6" w14:textId="77777777" w:rsidR="00101B16" w:rsidRPr="001C5DEA" w:rsidRDefault="00101B16" w:rsidP="00C07671">
            <w:pPr>
              <w:jc w:val="left"/>
              <w:rPr>
                <w:highlight w:val="yellow"/>
              </w:rPr>
            </w:pPr>
          </w:p>
        </w:tc>
        <w:tc>
          <w:tcPr>
            <w:tcW w:w="6204" w:type="dxa"/>
          </w:tcPr>
          <w:p w14:paraId="42C2DF7B" w14:textId="77777777" w:rsidR="00101B16" w:rsidRPr="001C5DEA" w:rsidRDefault="00101B16" w:rsidP="00AF4606">
            <w:pPr>
              <w:jc w:val="left"/>
              <w:rPr>
                <w:highlight w:val="yellow"/>
              </w:rPr>
            </w:pPr>
          </w:p>
        </w:tc>
      </w:tr>
      <w:tr w:rsidR="00101B16" w:rsidRPr="001C5DEA" w14:paraId="07665B7D" w14:textId="77777777" w:rsidTr="00CB055E">
        <w:tc>
          <w:tcPr>
            <w:tcW w:w="3085" w:type="dxa"/>
          </w:tcPr>
          <w:p w14:paraId="44482B8F" w14:textId="77777777" w:rsidR="00101B16" w:rsidRPr="001C5DEA" w:rsidRDefault="00101B16" w:rsidP="00AF4606">
            <w:pPr>
              <w:jc w:val="left"/>
              <w:rPr>
                <w:highlight w:val="yellow"/>
              </w:rPr>
            </w:pPr>
          </w:p>
        </w:tc>
        <w:tc>
          <w:tcPr>
            <w:tcW w:w="6204" w:type="dxa"/>
          </w:tcPr>
          <w:p w14:paraId="1FBBEC56" w14:textId="77777777" w:rsidR="00101B16" w:rsidRPr="001C5DEA" w:rsidRDefault="00101B16" w:rsidP="00AF4606">
            <w:pPr>
              <w:jc w:val="left"/>
              <w:rPr>
                <w:highlight w:val="yellow"/>
              </w:rPr>
            </w:pPr>
          </w:p>
        </w:tc>
      </w:tr>
      <w:tr w:rsidR="00101B16" w:rsidRPr="001C5DEA" w14:paraId="3B554111" w14:textId="77777777" w:rsidTr="00CB055E">
        <w:tc>
          <w:tcPr>
            <w:tcW w:w="3085" w:type="dxa"/>
          </w:tcPr>
          <w:p w14:paraId="7CD07F62" w14:textId="77777777" w:rsidR="00101B16" w:rsidRPr="001C5DEA" w:rsidRDefault="00101B16" w:rsidP="00BF05B6">
            <w:pPr>
              <w:jc w:val="left"/>
              <w:rPr>
                <w:highlight w:val="yellow"/>
              </w:rPr>
            </w:pPr>
            <w:r>
              <w:rPr>
                <w:highlight w:val="yellow"/>
              </w:rPr>
              <w:br/>
            </w:r>
          </w:p>
        </w:tc>
        <w:tc>
          <w:tcPr>
            <w:tcW w:w="6204" w:type="dxa"/>
            <w:vAlign w:val="bottom"/>
          </w:tcPr>
          <w:p w14:paraId="65B3BC8C" w14:textId="77777777" w:rsidR="00101B16" w:rsidRPr="001C5DEA" w:rsidRDefault="00101B16" w:rsidP="00AF4606">
            <w:pPr>
              <w:jc w:val="left"/>
              <w:rPr>
                <w:highlight w:val="yellow"/>
              </w:rPr>
            </w:pPr>
          </w:p>
        </w:tc>
      </w:tr>
    </w:tbl>
    <w:p w14:paraId="50AE0CD4" w14:textId="77777777" w:rsidR="00101B16" w:rsidRPr="001C5DEA" w:rsidRDefault="00101B16" w:rsidP="00AF4606"/>
    <w:p w14:paraId="402F112F" w14:textId="77777777" w:rsidR="00101B16" w:rsidRPr="001C5DEA" w:rsidRDefault="00101B16" w:rsidP="00AF4606"/>
    <w:p w14:paraId="68B30EB0" w14:textId="77777777" w:rsidR="00082FF4" w:rsidRPr="001C5DEA" w:rsidRDefault="00082FF4">
      <w:pPr>
        <w:spacing w:line="240" w:lineRule="auto"/>
        <w:jc w:val="left"/>
      </w:pPr>
      <w:r>
        <w:br w:type="page"/>
      </w:r>
    </w:p>
    <w:p w14:paraId="3847753E" w14:textId="77777777" w:rsidR="00082FF4" w:rsidRPr="001C5DEA" w:rsidRDefault="00082FF4" w:rsidP="00872DA1">
      <w:pPr>
        <w:pStyle w:val="Heading1"/>
        <w:keepNext/>
        <w:keepLines/>
      </w:pPr>
      <w:r>
        <w:rPr>
          <w:b/>
        </w:rPr>
        <w:lastRenderedPageBreak/>
        <w:t>Schlussfolgerungen und Empfehlungen</w:t>
      </w:r>
    </w:p>
    <w:p w14:paraId="2869964E" w14:textId="77777777" w:rsidR="00082FF4" w:rsidRPr="001C5DEA" w:rsidRDefault="00082FF4" w:rsidP="00872DA1">
      <w:pPr>
        <w:keepNext/>
        <w:keepLines/>
      </w:pPr>
    </w:p>
    <w:p w14:paraId="75B7EC73" w14:textId="116D786B" w:rsidR="00F86D14" w:rsidRPr="001C5DEA" w:rsidRDefault="00BF05B6" w:rsidP="00872DA1">
      <w:pPr>
        <w:pStyle w:val="Heading2"/>
        <w:keepNext/>
        <w:keepLines/>
      </w:pPr>
      <w:r>
        <w:t>In Anbetracht der außergewöhnlichen Umstände infolge der COVID-19-Krise und deren Auswirkungen auf verschiedene Aspekte des Anwendu</w:t>
      </w:r>
      <w:r w:rsidR="00872DA1">
        <w:t>ngsbereichs der Verordnung (EU) </w:t>
      </w:r>
      <w:r>
        <w:t>2017/745 befürwortet der Europäische Wirtschafts- und Sozialausschuss (EWSA) den Vorschlag der Kommission als eine angemessene und notwendige Maßnahme, um ein hohes Gesundheitsschutzniveau zu gewährleisten und die wirtschaftlichen Interessen des Medizinproduktsektors sicherzustellen.</w:t>
      </w:r>
    </w:p>
    <w:p w14:paraId="2BF6E7DF" w14:textId="77777777" w:rsidR="008C3468" w:rsidRPr="001C5DEA" w:rsidRDefault="008C3468" w:rsidP="00474AC5"/>
    <w:p w14:paraId="3A2A25A9" w14:textId="77777777" w:rsidR="007269F5" w:rsidRPr="001C5DEA" w:rsidRDefault="00BF05B6" w:rsidP="00872DA1">
      <w:pPr>
        <w:pStyle w:val="Heading1"/>
        <w:keepNext/>
        <w:keepLines/>
      </w:pPr>
      <w:r>
        <w:rPr>
          <w:b/>
        </w:rPr>
        <w:t>Vorschlag der Kommission</w:t>
      </w:r>
    </w:p>
    <w:p w14:paraId="7DF3A174" w14:textId="77777777" w:rsidR="007269F5" w:rsidRPr="001C5DEA" w:rsidRDefault="007269F5" w:rsidP="00872DA1">
      <w:pPr>
        <w:keepNext/>
        <w:keepLines/>
      </w:pPr>
    </w:p>
    <w:p w14:paraId="0685CFE9" w14:textId="3FE8D82F" w:rsidR="00BF05B6" w:rsidRDefault="00CD7D92" w:rsidP="00872DA1">
      <w:pPr>
        <w:pStyle w:val="Heading2"/>
        <w:keepNext/>
        <w:keepLines/>
      </w:pPr>
      <w:r>
        <w:t>Mit der Verordnung (EU) </w:t>
      </w:r>
      <w:r w:rsidR="00BF05B6">
        <w:t>2017/745 vom 5. April 2017</w:t>
      </w:r>
      <w:r w:rsidR="00F96A74">
        <w:rPr>
          <w:rStyle w:val="FootnoteReference"/>
        </w:rPr>
        <w:footnoteReference w:id="1"/>
      </w:r>
      <w:r w:rsidR="00BF05B6">
        <w:t xml:space="preserve"> wurde ein neuer Rechtsrahmen geschaffen, um das reibungslose Funktionieren des Binnenmarkts für unter diese Verordnung fallende Medizinprodukte zu gewährleisten, wobei ein hohes Gesundheitsschutzniveau für Patienten und Anwender zugrunde gelegt und den in dieser Branche tätigen kleinen und mittleren Unter</w:t>
      </w:r>
      <w:r w:rsidR="00872DA1">
        <w:t>nehmen Rechnung getragen wurde.</w:t>
      </w:r>
    </w:p>
    <w:p w14:paraId="5685DF5B" w14:textId="77777777" w:rsidR="00BF05B6" w:rsidRDefault="00BF05B6" w:rsidP="00BF05B6">
      <w:pPr>
        <w:pStyle w:val="Heading2"/>
        <w:numPr>
          <w:ilvl w:val="0"/>
          <w:numId w:val="0"/>
        </w:numPr>
        <w:ind w:left="567"/>
      </w:pPr>
    </w:p>
    <w:p w14:paraId="68D68B5C" w14:textId="7DB5822E" w:rsidR="00BF05B6" w:rsidRDefault="00BF05B6" w:rsidP="00BF05B6">
      <w:pPr>
        <w:pStyle w:val="Heading2"/>
      </w:pPr>
      <w:r>
        <w:t>Der COVID-19-Ausbruch und die damit einhergehende Krise im Bereich der öffentlichen Gesundheit stellen eine beispiellose Herausforderung für die Mitgliedstaaten und eine hohe Belastung für die nationalen Behörden, Gesundheitseinrichtungen, EU-Bürgerinnen und -Bürger sowie Wirtschaftsakteure dar und machen zusätzliche Ressourcen sowie eine größere Verfügbarkeit lebenswichtiger Medizinprodukte erforderlich. Dieser erhebliche und zusätzliche Bedarf war zum Zeitp</w:t>
      </w:r>
      <w:r w:rsidR="00F25E9E">
        <w:t>unkt der Annahme der Verordnung (EU) </w:t>
      </w:r>
      <w:r>
        <w:t xml:space="preserve">2017/745 nicht absehbar. </w:t>
      </w:r>
    </w:p>
    <w:p w14:paraId="09AD3871" w14:textId="77777777" w:rsidR="00BF05B6" w:rsidRDefault="00BF05B6" w:rsidP="00BF05B6">
      <w:pPr>
        <w:pStyle w:val="Heading2"/>
        <w:numPr>
          <w:ilvl w:val="0"/>
          <w:numId w:val="0"/>
        </w:numPr>
        <w:ind w:left="567"/>
      </w:pPr>
    </w:p>
    <w:p w14:paraId="555B0FBB" w14:textId="77777777" w:rsidR="00BF05B6" w:rsidRDefault="00BF05B6" w:rsidP="00BF05B6">
      <w:pPr>
        <w:pStyle w:val="Heading2"/>
      </w:pPr>
      <w:r>
        <w:t>Die Mitgliedstaaten, Gesundheitseinrichtungen, Wirtschaftsakteure und die anderen betroffenen Parteien werden folglich höchstwahrscheinlich nicht in der Lage sein, die ordnungsgemäße Durchführung und Anwendung der Verordnung wie vorgeschrieben ab dem 26. Mai 2020 sicherzustellen.</w:t>
      </w:r>
    </w:p>
    <w:p w14:paraId="21775A1E" w14:textId="77777777" w:rsidR="00BF05B6" w:rsidRDefault="00BF05B6" w:rsidP="00BF05B6">
      <w:pPr>
        <w:pStyle w:val="Heading2"/>
        <w:numPr>
          <w:ilvl w:val="0"/>
          <w:numId w:val="0"/>
        </w:numPr>
        <w:ind w:left="567"/>
      </w:pPr>
    </w:p>
    <w:p w14:paraId="7AC8FAED" w14:textId="4CD707FA" w:rsidR="00344793" w:rsidRPr="001C5DEA" w:rsidRDefault="00BF05B6" w:rsidP="00BF05B6">
      <w:pPr>
        <w:pStyle w:val="Heading2"/>
      </w:pPr>
      <w:r>
        <w:t>Ziel des Vorschlags ist es, die Zielsetzungen der Verordnung zu gewährleisten, indem die Anwendung bestimm</w:t>
      </w:r>
      <w:r w:rsidR="00C91717">
        <w:t>ter Bestimmungen der Verordnung (EU) </w:t>
      </w:r>
      <w:r>
        <w:t>2017/745 um ein Jahr verschoben wird. Gleichzeitig muss auch die Aufhebung der Richtlinien 90/385/EWG und 93/42/EWG auf den 26. Mai 2021 verschoben werden. Darüber hinaus sollen bei bestimmten Medizinprodukten unionsweite Ausnahmen von den vorgeschriebenen Konformitätsbewertungsverfahren ermöglicht werden, um den Gesundheitsschutz zu gewährleisten und etwaige Engpässe zu beheben.</w:t>
      </w:r>
    </w:p>
    <w:p w14:paraId="0B4F41A0" w14:textId="77777777" w:rsidR="00842969" w:rsidRPr="001C5DEA" w:rsidRDefault="00842969" w:rsidP="00344793"/>
    <w:p w14:paraId="7A953D69" w14:textId="77777777" w:rsidR="00BF05B6" w:rsidRPr="001C5DEA" w:rsidRDefault="00BF05B6" w:rsidP="00155CE3">
      <w:pPr>
        <w:pStyle w:val="Heading1"/>
        <w:keepNext/>
        <w:keepLines/>
      </w:pPr>
      <w:r>
        <w:rPr>
          <w:b/>
        </w:rPr>
        <w:t>Allgemeine Bemerkungen</w:t>
      </w:r>
    </w:p>
    <w:p w14:paraId="4A61DE61" w14:textId="77777777" w:rsidR="00842969" w:rsidRDefault="00842969" w:rsidP="00155CE3">
      <w:pPr>
        <w:keepNext/>
        <w:keepLines/>
      </w:pPr>
    </w:p>
    <w:p w14:paraId="279D052F" w14:textId="77777777" w:rsidR="00BF05B6" w:rsidRDefault="00BF05B6" w:rsidP="00F96A74">
      <w:pPr>
        <w:pStyle w:val="Heading2"/>
      </w:pPr>
      <w:r>
        <w:t xml:space="preserve">Der EWSA bekräftigt seine bereits mehrfach in einschlägigen Stellungnahmen zum Ausdruck gebrachte Überzeugung, dass die Gesundheit für die Bürgerinnen und Bürger Europas von vorrangiger Bedeutung ist. Medizinprodukten kommt eine offenkundig entscheidende Rolle bei </w:t>
      </w:r>
      <w:r>
        <w:lastRenderedPageBreak/>
        <w:t>der Prävention, Diagnose und Behandlung von Krankheiten zu. Sie sind für unsere Gesundheit und die Lebensqualität von Menschen, die an einer Krankheit oder gesundheitlichen Beeinträchtigung leiden, maßgeblich wichtig.</w:t>
      </w:r>
    </w:p>
    <w:p w14:paraId="4DDC9CA9" w14:textId="77777777" w:rsidR="00F96A74" w:rsidRPr="00F96A74" w:rsidRDefault="00F96A74" w:rsidP="00F96A74"/>
    <w:p w14:paraId="2372EF44" w14:textId="77777777" w:rsidR="00BF05B6" w:rsidRDefault="00BF05B6" w:rsidP="00F96A74">
      <w:pPr>
        <w:pStyle w:val="Heading2"/>
      </w:pPr>
      <w:r>
        <w:t>Der EWSA möchte an dieser Stelle betonen, dass der Medizinproduktsektor aufgrund seiner Innovationskapazität und seiner hochqualifizierten Arbeitsplätze eine wichtige Komponente im europäischen Wirtschaftsgefüge ausmacht. Deshalb ist es wichtig, neben der Gewährleistung des höchstmöglichen Gesundheitsschutzniveaus auch die Interessen der Branche zu berücksichtigen, die zu 80 % aus kleinen, mittleren und Kleinstunternehmen besteht.</w:t>
      </w:r>
    </w:p>
    <w:p w14:paraId="0B51BE73" w14:textId="77777777" w:rsidR="00BF05B6" w:rsidRDefault="00BF05B6" w:rsidP="00BF05B6"/>
    <w:p w14:paraId="5A0404D6" w14:textId="7B822746" w:rsidR="00BF05B6" w:rsidRDefault="00BF05B6" w:rsidP="00F96A74">
      <w:pPr>
        <w:pStyle w:val="Heading2"/>
      </w:pPr>
      <w:r>
        <w:t>Der EWSA ist sich im Klaren darüber, dass sich die außergewöhnlichen Umstände infolge der COVID-19-Krise auf verschiedene Aspekte des Anwendu</w:t>
      </w:r>
      <w:r w:rsidR="000E7AFE">
        <w:t>ngsbereichs der Verordnung (EU) </w:t>
      </w:r>
      <w:r>
        <w:t>2017/745 auswirken, bspw. das Inverkehrbringen von Medizinprodukten wie medizinischen Handschuhen, OP-Masken, Material für die Intensivpflege und anderem medizinischem Material und ihre Bereitstellung auf dem Markt, die angesichts des COVID-19-Gesundheitskrise von entscheidender Bedeutung sind.</w:t>
      </w:r>
    </w:p>
    <w:p w14:paraId="673A7562" w14:textId="77777777" w:rsidR="00BF05B6" w:rsidRDefault="00BF05B6" w:rsidP="00BF05B6"/>
    <w:p w14:paraId="48B6232B" w14:textId="77777777" w:rsidR="00BF05B6" w:rsidRDefault="00BF05B6" w:rsidP="00F96A74">
      <w:pPr>
        <w:pStyle w:val="Heading2"/>
      </w:pPr>
      <w:r>
        <w:t>Die Krise stellt nun die Gesundheitssysteme der Mitgliedstaaten vor eine große und beispiellose Herausforderung und wächst sich zu einer enormen Belastung für alle Beteiligten (Gesundheitseinrichtungen, Angehörige der Gesundheitsberufe, Patienten und Wirtschaftsakteure) aus, die deshalb voraussichtlich nicht in der Lage sein werden, die ordnungsgemäße Durchführung und Anwendung der Verordnung ab dem vorgesehenen Termin (26. Mai 2020) sicherzustellen.</w:t>
      </w:r>
    </w:p>
    <w:p w14:paraId="0E6FF80C" w14:textId="77777777" w:rsidR="00BF05B6" w:rsidRDefault="00BF05B6" w:rsidP="00BF05B6"/>
    <w:p w14:paraId="788BAC83" w14:textId="72EDA0B8" w:rsidR="00BF05B6" w:rsidRDefault="00BF05B6" w:rsidP="00F96A74">
      <w:pPr>
        <w:pStyle w:val="Heading2"/>
      </w:pPr>
      <w:r>
        <w:t>Der EWSA unterstützt daher die vor</w:t>
      </w:r>
      <w:r w:rsidR="00445266">
        <w:t>geschlagene Verlängerung um ein </w:t>
      </w:r>
      <w:r>
        <w:t>Jahr als angemessene Maßnahme, um das reibungslose Funktionieren des Binnenmarkts, ein hohes Niveau an Gesundheitsschutz und Patientensicherheit sowie Rechtssicherheit zu gewährleisten und potenziellen Marktstörungen entgegenzuwirken.</w:t>
      </w:r>
    </w:p>
    <w:p w14:paraId="21661AB9" w14:textId="77777777" w:rsidR="00F96A74" w:rsidRPr="00F96A74" w:rsidRDefault="00F96A74" w:rsidP="00F96A74"/>
    <w:p w14:paraId="651BEBDE" w14:textId="77777777" w:rsidR="00BF05B6" w:rsidRDefault="00BF05B6" w:rsidP="00F96A74">
      <w:pPr>
        <w:pStyle w:val="Heading2"/>
      </w:pPr>
      <w:r>
        <w:t>Schließlich wiederholt der EWSA seine Forderung aus seiner vorhergehenden einschlägigen Stellungnahme, dass die Funktionsweise der Verordnung drei Jahre nach ihrem Inkrafttreten von Behörden und Interessenträgern der Zivilgesellschaft gemeinsam formell überprüft werden sollte, um sicherzustellen, dass die Verordnungsziele erfüllt werden.</w:t>
      </w:r>
    </w:p>
    <w:p w14:paraId="7B349A7B" w14:textId="77777777" w:rsidR="00BF05B6" w:rsidRDefault="00BF05B6" w:rsidP="00344793"/>
    <w:p w14:paraId="2C176409" w14:textId="51E29139" w:rsidR="00891166" w:rsidRDefault="00891166" w:rsidP="00344793"/>
    <w:p w14:paraId="3B242CCA" w14:textId="77777777" w:rsidR="00BF1280" w:rsidRDefault="00BF1280" w:rsidP="00BF1280">
      <w:pPr>
        <w:rPr>
          <w:lang w:val="en-GB"/>
        </w:rPr>
      </w:pPr>
      <w:r>
        <w:rPr>
          <w:lang w:val="en-GB"/>
        </w:rPr>
        <w:t>Luca JAHIER</w:t>
      </w:r>
    </w:p>
    <w:p w14:paraId="75D72269" w14:textId="77777777" w:rsidR="00BF1280" w:rsidRDefault="00BF1280" w:rsidP="00BF1280">
      <w:r>
        <w:t>Präsident des Europäischen Wirtschafts- und Sozialausschusses</w:t>
      </w:r>
    </w:p>
    <w:p w14:paraId="76F562B8" w14:textId="77777777" w:rsidR="00EF2989" w:rsidRPr="001C5DEA" w:rsidRDefault="00EF2989" w:rsidP="00AF4606"/>
    <w:p w14:paraId="3ED92CBF" w14:textId="77777777" w:rsidR="00EF2989" w:rsidRPr="001C5DEA" w:rsidRDefault="00EF2989" w:rsidP="00AF4606">
      <w:pPr>
        <w:jc w:val="center"/>
      </w:pPr>
      <w:r>
        <w:t>_____________</w:t>
      </w:r>
    </w:p>
    <w:sectPr w:rsidR="00EF2989" w:rsidRPr="001C5DEA" w:rsidSect="00C6060A">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0D0CF" w14:textId="77777777" w:rsidR="00873AEB" w:rsidRDefault="00873AEB">
      <w:pPr>
        <w:rPr>
          <w:szCs w:val="24"/>
        </w:rPr>
      </w:pPr>
      <w:r>
        <w:rPr>
          <w:szCs w:val="24"/>
        </w:rPr>
        <w:separator/>
      </w:r>
    </w:p>
  </w:endnote>
  <w:endnote w:type="continuationSeparator" w:id="0">
    <w:p w14:paraId="4733153F" w14:textId="77777777" w:rsidR="00873AEB" w:rsidRDefault="00873AEB">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684CA" w14:textId="57575EB5" w:rsidR="00F333D7" w:rsidRPr="00C6060A" w:rsidRDefault="00C6060A" w:rsidP="00C6060A">
    <w:pPr>
      <w:pStyle w:val="Footer"/>
    </w:pPr>
    <w:r>
      <w:t xml:space="preserve">INT/907 – EESC-2020-01752-00-00-PAC-TRA (EN) </w:t>
    </w:r>
    <w:r>
      <w:fldChar w:fldCharType="begin"/>
    </w:r>
    <w:r>
      <w:instrText xml:space="preserve"> PAGE  \* Arabic  \* MERGEFORMAT </w:instrText>
    </w:r>
    <w:r>
      <w:fldChar w:fldCharType="separate"/>
    </w:r>
    <w:r w:rsidR="00F94671">
      <w:rPr>
        <w:noProof/>
      </w:rPr>
      <w:t>1</w:t>
    </w:r>
    <w:r>
      <w:fldChar w:fldCharType="end"/>
    </w:r>
    <w:r>
      <w:t>/</w:t>
    </w:r>
    <w:r>
      <w:fldChar w:fldCharType="begin"/>
    </w:r>
    <w:r>
      <w:instrText xml:space="preserve"> = </w:instrText>
    </w:r>
    <w:r w:rsidR="00873AEB">
      <w:fldChar w:fldCharType="begin"/>
    </w:r>
    <w:r w:rsidR="00873AEB">
      <w:instrText xml:space="preserve"> NUMPAGES </w:instrText>
    </w:r>
    <w:r w:rsidR="00873AEB">
      <w:fldChar w:fldCharType="separate"/>
    </w:r>
    <w:r w:rsidR="00F94671">
      <w:rPr>
        <w:noProof/>
      </w:rPr>
      <w:instrText>4</w:instrText>
    </w:r>
    <w:r w:rsidR="00873AEB">
      <w:rPr>
        <w:noProof/>
      </w:rPr>
      <w:fldChar w:fldCharType="end"/>
    </w:r>
    <w:r>
      <w:instrText xml:space="preserve"> </w:instrText>
    </w:r>
    <w:r>
      <w:fldChar w:fldCharType="separate"/>
    </w:r>
    <w:r w:rsidR="00F94671">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968B5" w14:textId="77777777" w:rsidR="00F333D7" w:rsidRPr="00C6060A" w:rsidRDefault="00F333D7" w:rsidP="00C606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5E7AA" w14:textId="6C6ADA81" w:rsidR="00F333D7" w:rsidRPr="00C6060A" w:rsidRDefault="00C6060A" w:rsidP="00C6060A">
    <w:pPr>
      <w:pStyle w:val="Footer"/>
    </w:pPr>
    <w:r>
      <w:t xml:space="preserve">INT/907 – EESC-2020-01752-00-00-PAC-TRA (EN) </w:t>
    </w:r>
    <w:r>
      <w:fldChar w:fldCharType="begin"/>
    </w:r>
    <w:r>
      <w:instrText xml:space="preserve"> PAGE  \* Arabic  \* MERGEFORMAT </w:instrText>
    </w:r>
    <w:r>
      <w:fldChar w:fldCharType="separate"/>
    </w:r>
    <w:r w:rsidR="00F94671">
      <w:rPr>
        <w:noProof/>
      </w:rPr>
      <w:t>2</w:t>
    </w:r>
    <w:r>
      <w:fldChar w:fldCharType="end"/>
    </w:r>
    <w:r>
      <w:t>/</w:t>
    </w:r>
    <w:r>
      <w:fldChar w:fldCharType="begin"/>
    </w:r>
    <w:r>
      <w:instrText xml:space="preserve"> = </w:instrText>
    </w:r>
    <w:r w:rsidR="00873AEB">
      <w:fldChar w:fldCharType="begin"/>
    </w:r>
    <w:r w:rsidR="00873AEB">
      <w:instrText xml:space="preserve"> NUMPAGES </w:instrText>
    </w:r>
    <w:r w:rsidR="00873AEB">
      <w:fldChar w:fldCharType="separate"/>
    </w:r>
    <w:r w:rsidR="00F94671">
      <w:rPr>
        <w:noProof/>
      </w:rPr>
      <w:instrText>4</w:instrText>
    </w:r>
    <w:r w:rsidR="00873AEB">
      <w:rPr>
        <w:noProof/>
      </w:rPr>
      <w:fldChar w:fldCharType="end"/>
    </w:r>
    <w:r>
      <w:instrText xml:space="preserve"> </w:instrText>
    </w:r>
    <w:r>
      <w:fldChar w:fldCharType="separate"/>
    </w:r>
    <w:r w:rsidR="00F94671">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58E6E" w14:textId="77777777" w:rsidR="00F333D7" w:rsidRPr="00C6060A" w:rsidRDefault="00F333D7" w:rsidP="00C60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52BFC" w14:textId="77777777" w:rsidR="00873AEB" w:rsidRDefault="00873AEB">
      <w:pPr>
        <w:rPr>
          <w:szCs w:val="24"/>
        </w:rPr>
      </w:pPr>
      <w:r>
        <w:rPr>
          <w:szCs w:val="24"/>
        </w:rPr>
        <w:separator/>
      </w:r>
    </w:p>
  </w:footnote>
  <w:footnote w:type="continuationSeparator" w:id="0">
    <w:p w14:paraId="5987B30C" w14:textId="77777777" w:rsidR="00873AEB" w:rsidRDefault="00873AEB">
      <w:pPr>
        <w:rPr>
          <w:szCs w:val="24"/>
        </w:rPr>
      </w:pPr>
      <w:r>
        <w:rPr>
          <w:szCs w:val="24"/>
        </w:rPr>
        <w:continuationSeparator/>
      </w:r>
    </w:p>
  </w:footnote>
  <w:footnote w:id="1">
    <w:p w14:paraId="783182C7" w14:textId="77777777" w:rsidR="00F96A74" w:rsidRPr="00F96A74" w:rsidRDefault="00F96A74">
      <w:pPr>
        <w:pStyle w:val="FootnoteText"/>
      </w:pPr>
      <w:r>
        <w:rPr>
          <w:rStyle w:val="FootnoteReference"/>
        </w:rPr>
        <w:footnoteRef/>
      </w:r>
      <w:r>
        <w:t xml:space="preserve"> </w:t>
      </w:r>
      <w:r>
        <w:tab/>
        <w:t xml:space="preserve">Verordnung (EU) 2017/745 des Europäischen Parlaments und des Rates vom 5. April 2017 über Medizinprodukte und zur Änderung der Richtlinie 2001/83/EG, der Verordnung (EG) Nr. 178/2002 und der Verordnung (EG) Nr. 1223/2009 und zur Aufhebung der Richtlinien 90/385/EWG und 93/42/EWG des Rates, </w:t>
      </w:r>
      <w:hyperlink r:id="rId1" w:history="1">
        <w:r>
          <w:rPr>
            <w:rStyle w:val="Hyperlink"/>
          </w:rPr>
          <w:t>ABl. L 117 vom 5.5.2017, S. 1</w:t>
        </w:r>
      </w:hyperlink>
      <w:r>
        <w:t xml:space="preserve"> – EWSA-Stellungnahme: </w:t>
      </w:r>
      <w:hyperlink r:id="rId2" w:history="1">
        <w:r>
          <w:rPr>
            <w:rStyle w:val="Hyperlink"/>
          </w:rPr>
          <w:t>ABl. C 133 vom 9.5.2013, S. 52</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7832" w14:textId="77777777" w:rsidR="00F333D7" w:rsidRPr="00C6060A" w:rsidRDefault="00F333D7" w:rsidP="00C60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B312" w14:textId="77777777" w:rsidR="00F333D7" w:rsidRPr="00C6060A" w:rsidRDefault="00F333D7" w:rsidP="00C606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C39E0" w14:textId="77777777" w:rsidR="00F333D7" w:rsidRPr="00C6060A" w:rsidRDefault="00F333D7" w:rsidP="00C60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AC56566"/>
    <w:multiLevelType w:val="hybridMultilevel"/>
    <w:tmpl w:val="A50C394E"/>
    <w:lvl w:ilvl="0" w:tplc="87125F4E">
      <w:start w:val="1"/>
      <w:numFmt w:val="bullet"/>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E063133"/>
    <w:multiLevelType w:val="hybridMultilevel"/>
    <w:tmpl w:val="37BA42EA"/>
    <w:lvl w:ilvl="0" w:tplc="61429412">
      <w:start w:val="1"/>
      <w:numFmt w:val="bullet"/>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83"/>
    <w:rsid w:val="00002AA3"/>
    <w:rsid w:val="00003D15"/>
    <w:rsid w:val="00003D2E"/>
    <w:rsid w:val="00005798"/>
    <w:rsid w:val="00005B58"/>
    <w:rsid w:val="000076D0"/>
    <w:rsid w:val="00007F20"/>
    <w:rsid w:val="00015227"/>
    <w:rsid w:val="00016725"/>
    <w:rsid w:val="00025308"/>
    <w:rsid w:val="00042120"/>
    <w:rsid w:val="00042A27"/>
    <w:rsid w:val="00042E52"/>
    <w:rsid w:val="00043001"/>
    <w:rsid w:val="00045D36"/>
    <w:rsid w:val="00047CC3"/>
    <w:rsid w:val="00050E8E"/>
    <w:rsid w:val="000569CC"/>
    <w:rsid w:val="000631EC"/>
    <w:rsid w:val="00066FCE"/>
    <w:rsid w:val="00071BFF"/>
    <w:rsid w:val="00071D31"/>
    <w:rsid w:val="00080135"/>
    <w:rsid w:val="000803FA"/>
    <w:rsid w:val="00081FFD"/>
    <w:rsid w:val="00082FF4"/>
    <w:rsid w:val="00083122"/>
    <w:rsid w:val="000900CD"/>
    <w:rsid w:val="0009464E"/>
    <w:rsid w:val="00097887"/>
    <w:rsid w:val="000A55DE"/>
    <w:rsid w:val="000B0E1C"/>
    <w:rsid w:val="000B10AA"/>
    <w:rsid w:val="000B1FB1"/>
    <w:rsid w:val="000C276F"/>
    <w:rsid w:val="000C5BC0"/>
    <w:rsid w:val="000D090E"/>
    <w:rsid w:val="000E7AFE"/>
    <w:rsid w:val="000E7D3B"/>
    <w:rsid w:val="000F0C8B"/>
    <w:rsid w:val="0010030A"/>
    <w:rsid w:val="00101237"/>
    <w:rsid w:val="00101B16"/>
    <w:rsid w:val="00102ECF"/>
    <w:rsid w:val="00104428"/>
    <w:rsid w:val="00113263"/>
    <w:rsid w:val="0011473F"/>
    <w:rsid w:val="0011701F"/>
    <w:rsid w:val="001229D3"/>
    <w:rsid w:val="001269C4"/>
    <w:rsid w:val="00126DC8"/>
    <w:rsid w:val="00131468"/>
    <w:rsid w:val="00141569"/>
    <w:rsid w:val="0014174B"/>
    <w:rsid w:val="00141B54"/>
    <w:rsid w:val="00146AFA"/>
    <w:rsid w:val="00153A15"/>
    <w:rsid w:val="00153F43"/>
    <w:rsid w:val="00155CE3"/>
    <w:rsid w:val="00163AD8"/>
    <w:rsid w:val="001642FE"/>
    <w:rsid w:val="001662F0"/>
    <w:rsid w:val="00171266"/>
    <w:rsid w:val="0017170C"/>
    <w:rsid w:val="001852BD"/>
    <w:rsid w:val="00191F1C"/>
    <w:rsid w:val="00195BDD"/>
    <w:rsid w:val="001A16D7"/>
    <w:rsid w:val="001A1BED"/>
    <w:rsid w:val="001A3309"/>
    <w:rsid w:val="001B4276"/>
    <w:rsid w:val="001B5D45"/>
    <w:rsid w:val="001C4DA4"/>
    <w:rsid w:val="001C50AD"/>
    <w:rsid w:val="001C5DEA"/>
    <w:rsid w:val="001D06D3"/>
    <w:rsid w:val="001D174C"/>
    <w:rsid w:val="001E1BED"/>
    <w:rsid w:val="001E54AF"/>
    <w:rsid w:val="001E7C55"/>
    <w:rsid w:val="001F0210"/>
    <w:rsid w:val="00201894"/>
    <w:rsid w:val="002031AE"/>
    <w:rsid w:val="00207881"/>
    <w:rsid w:val="0021120F"/>
    <w:rsid w:val="00211E85"/>
    <w:rsid w:val="00213A58"/>
    <w:rsid w:val="00213F4C"/>
    <w:rsid w:val="0021796E"/>
    <w:rsid w:val="00232AE0"/>
    <w:rsid w:val="00234A2C"/>
    <w:rsid w:val="002369F1"/>
    <w:rsid w:val="00237BE7"/>
    <w:rsid w:val="00241F18"/>
    <w:rsid w:val="0024613D"/>
    <w:rsid w:val="00251E7D"/>
    <w:rsid w:val="002571F7"/>
    <w:rsid w:val="00265591"/>
    <w:rsid w:val="0026566F"/>
    <w:rsid w:val="002736B7"/>
    <w:rsid w:val="002739CA"/>
    <w:rsid w:val="0027691E"/>
    <w:rsid w:val="00281A69"/>
    <w:rsid w:val="00282103"/>
    <w:rsid w:val="002844B6"/>
    <w:rsid w:val="002846AA"/>
    <w:rsid w:val="002932A5"/>
    <w:rsid w:val="00295D91"/>
    <w:rsid w:val="00297066"/>
    <w:rsid w:val="00297787"/>
    <w:rsid w:val="00297CE7"/>
    <w:rsid w:val="002A16D6"/>
    <w:rsid w:val="002B38D6"/>
    <w:rsid w:val="002C14F1"/>
    <w:rsid w:val="002C1D72"/>
    <w:rsid w:val="002C615A"/>
    <w:rsid w:val="002C7F07"/>
    <w:rsid w:val="002E3DC9"/>
    <w:rsid w:val="00301230"/>
    <w:rsid w:val="00313881"/>
    <w:rsid w:val="00313DB7"/>
    <w:rsid w:val="0032612A"/>
    <w:rsid w:val="00326C6D"/>
    <w:rsid w:val="00332184"/>
    <w:rsid w:val="00333D28"/>
    <w:rsid w:val="00335D33"/>
    <w:rsid w:val="00340FFF"/>
    <w:rsid w:val="00344793"/>
    <w:rsid w:val="00346A8F"/>
    <w:rsid w:val="00346C8F"/>
    <w:rsid w:val="003500EF"/>
    <w:rsid w:val="00356692"/>
    <w:rsid w:val="00365145"/>
    <w:rsid w:val="00365E4B"/>
    <w:rsid w:val="00374658"/>
    <w:rsid w:val="003801EF"/>
    <w:rsid w:val="00381340"/>
    <w:rsid w:val="00393351"/>
    <w:rsid w:val="00393721"/>
    <w:rsid w:val="003953DF"/>
    <w:rsid w:val="0039540C"/>
    <w:rsid w:val="00397C61"/>
    <w:rsid w:val="003A087F"/>
    <w:rsid w:val="003A1278"/>
    <w:rsid w:val="003A2AD9"/>
    <w:rsid w:val="003A36EB"/>
    <w:rsid w:val="003A7792"/>
    <w:rsid w:val="003B2126"/>
    <w:rsid w:val="003B23A7"/>
    <w:rsid w:val="003B390F"/>
    <w:rsid w:val="003C08B9"/>
    <w:rsid w:val="003C12B7"/>
    <w:rsid w:val="003C2A89"/>
    <w:rsid w:val="003C50F3"/>
    <w:rsid w:val="003C57A4"/>
    <w:rsid w:val="003D0ECA"/>
    <w:rsid w:val="003D366E"/>
    <w:rsid w:val="003E072E"/>
    <w:rsid w:val="003F29DB"/>
    <w:rsid w:val="003F2CEE"/>
    <w:rsid w:val="003F3EE1"/>
    <w:rsid w:val="003F48E5"/>
    <w:rsid w:val="003F6E7C"/>
    <w:rsid w:val="003F7F49"/>
    <w:rsid w:val="00403FE2"/>
    <w:rsid w:val="004043A1"/>
    <w:rsid w:val="004049FD"/>
    <w:rsid w:val="0040639C"/>
    <w:rsid w:val="00406A55"/>
    <w:rsid w:val="0041583F"/>
    <w:rsid w:val="004223E9"/>
    <w:rsid w:val="00422ACA"/>
    <w:rsid w:val="00426954"/>
    <w:rsid w:val="00430B53"/>
    <w:rsid w:val="00433F80"/>
    <w:rsid w:val="0043783C"/>
    <w:rsid w:val="00437DE7"/>
    <w:rsid w:val="00442D77"/>
    <w:rsid w:val="00445266"/>
    <w:rsid w:val="004545B0"/>
    <w:rsid w:val="0045743D"/>
    <w:rsid w:val="00462B71"/>
    <w:rsid w:val="00470DF9"/>
    <w:rsid w:val="004715F0"/>
    <w:rsid w:val="0047236B"/>
    <w:rsid w:val="00473680"/>
    <w:rsid w:val="0047424E"/>
    <w:rsid w:val="00474AC5"/>
    <w:rsid w:val="00475077"/>
    <w:rsid w:val="004840D8"/>
    <w:rsid w:val="00484225"/>
    <w:rsid w:val="00491340"/>
    <w:rsid w:val="00491425"/>
    <w:rsid w:val="004958DD"/>
    <w:rsid w:val="004A167D"/>
    <w:rsid w:val="004A291E"/>
    <w:rsid w:val="004A2DA2"/>
    <w:rsid w:val="004A3135"/>
    <w:rsid w:val="004A5D51"/>
    <w:rsid w:val="004B0A25"/>
    <w:rsid w:val="004B5E60"/>
    <w:rsid w:val="004C1975"/>
    <w:rsid w:val="004C1BB5"/>
    <w:rsid w:val="004C2B95"/>
    <w:rsid w:val="004C3A7D"/>
    <w:rsid w:val="004D0142"/>
    <w:rsid w:val="004D4B79"/>
    <w:rsid w:val="004D77F7"/>
    <w:rsid w:val="004E17A3"/>
    <w:rsid w:val="004E2AD6"/>
    <w:rsid w:val="004E2B7D"/>
    <w:rsid w:val="004E2BD5"/>
    <w:rsid w:val="004E3E5E"/>
    <w:rsid w:val="004E43E0"/>
    <w:rsid w:val="004E4828"/>
    <w:rsid w:val="004E6D87"/>
    <w:rsid w:val="004F200B"/>
    <w:rsid w:val="004F7B5C"/>
    <w:rsid w:val="00500D5F"/>
    <w:rsid w:val="00500FF3"/>
    <w:rsid w:val="00501012"/>
    <w:rsid w:val="00502AEE"/>
    <w:rsid w:val="0051386A"/>
    <w:rsid w:val="005161F4"/>
    <w:rsid w:val="005244AB"/>
    <w:rsid w:val="00535657"/>
    <w:rsid w:val="005433FD"/>
    <w:rsid w:val="00544B60"/>
    <w:rsid w:val="0055116F"/>
    <w:rsid w:val="00554074"/>
    <w:rsid w:val="00562CC4"/>
    <w:rsid w:val="00567247"/>
    <w:rsid w:val="00570F1B"/>
    <w:rsid w:val="00580346"/>
    <w:rsid w:val="00582F0B"/>
    <w:rsid w:val="005832BE"/>
    <w:rsid w:val="00583CC8"/>
    <w:rsid w:val="00584C1A"/>
    <w:rsid w:val="00596CC3"/>
    <w:rsid w:val="005A2D98"/>
    <w:rsid w:val="005A5ADD"/>
    <w:rsid w:val="005A6213"/>
    <w:rsid w:val="005B1674"/>
    <w:rsid w:val="005B3D0B"/>
    <w:rsid w:val="005C16DE"/>
    <w:rsid w:val="005C7551"/>
    <w:rsid w:val="005D2A8F"/>
    <w:rsid w:val="005E099F"/>
    <w:rsid w:val="005F7529"/>
    <w:rsid w:val="005F7DC6"/>
    <w:rsid w:val="00601BA1"/>
    <w:rsid w:val="00604CB1"/>
    <w:rsid w:val="00610211"/>
    <w:rsid w:val="00611EBC"/>
    <w:rsid w:val="00612FBF"/>
    <w:rsid w:val="00614660"/>
    <w:rsid w:val="006168BE"/>
    <w:rsid w:val="0062067E"/>
    <w:rsid w:val="00620ECD"/>
    <w:rsid w:val="00626852"/>
    <w:rsid w:val="00626B1D"/>
    <w:rsid w:val="0064112A"/>
    <w:rsid w:val="0064709E"/>
    <w:rsid w:val="0065228A"/>
    <w:rsid w:val="00657988"/>
    <w:rsid w:val="006658FC"/>
    <w:rsid w:val="00665CE2"/>
    <w:rsid w:val="00667C39"/>
    <w:rsid w:val="0067677F"/>
    <w:rsid w:val="00676C5B"/>
    <w:rsid w:val="00681A5F"/>
    <w:rsid w:val="006919B2"/>
    <w:rsid w:val="006960FC"/>
    <w:rsid w:val="006962EB"/>
    <w:rsid w:val="006A27EC"/>
    <w:rsid w:val="006A4370"/>
    <w:rsid w:val="006A564A"/>
    <w:rsid w:val="006B5B2F"/>
    <w:rsid w:val="006C3F77"/>
    <w:rsid w:val="006C6EF3"/>
    <w:rsid w:val="006D2018"/>
    <w:rsid w:val="006E3C72"/>
    <w:rsid w:val="006E43C4"/>
    <w:rsid w:val="006E44EB"/>
    <w:rsid w:val="006F38CE"/>
    <w:rsid w:val="0070513C"/>
    <w:rsid w:val="007053E3"/>
    <w:rsid w:val="0070743D"/>
    <w:rsid w:val="00714FC2"/>
    <w:rsid w:val="00720EDC"/>
    <w:rsid w:val="007247BE"/>
    <w:rsid w:val="007269F5"/>
    <w:rsid w:val="0073248A"/>
    <w:rsid w:val="007469FF"/>
    <w:rsid w:val="00762F26"/>
    <w:rsid w:val="00763EF7"/>
    <w:rsid w:val="00765847"/>
    <w:rsid w:val="007669A9"/>
    <w:rsid w:val="007741A7"/>
    <w:rsid w:val="00784CC0"/>
    <w:rsid w:val="00791924"/>
    <w:rsid w:val="007A75FD"/>
    <w:rsid w:val="007B4C2E"/>
    <w:rsid w:val="007B5272"/>
    <w:rsid w:val="007B5727"/>
    <w:rsid w:val="007B7A8E"/>
    <w:rsid w:val="007C0521"/>
    <w:rsid w:val="007C10D9"/>
    <w:rsid w:val="007C5B53"/>
    <w:rsid w:val="007D08EC"/>
    <w:rsid w:val="007E4153"/>
    <w:rsid w:val="007E5FC4"/>
    <w:rsid w:val="007E6B72"/>
    <w:rsid w:val="007F1A4B"/>
    <w:rsid w:val="00803D73"/>
    <w:rsid w:val="00806889"/>
    <w:rsid w:val="0080709D"/>
    <w:rsid w:val="00807133"/>
    <w:rsid w:val="00813F7E"/>
    <w:rsid w:val="008219DC"/>
    <w:rsid w:val="00821FB1"/>
    <w:rsid w:val="00825441"/>
    <w:rsid w:val="00832D38"/>
    <w:rsid w:val="008344C9"/>
    <w:rsid w:val="00842969"/>
    <w:rsid w:val="00843861"/>
    <w:rsid w:val="00843E7F"/>
    <w:rsid w:val="0084631C"/>
    <w:rsid w:val="00847D40"/>
    <w:rsid w:val="00850018"/>
    <w:rsid w:val="008502D8"/>
    <w:rsid w:val="00852804"/>
    <w:rsid w:val="00855F2F"/>
    <w:rsid w:val="008575A8"/>
    <w:rsid w:val="00861422"/>
    <w:rsid w:val="00861A57"/>
    <w:rsid w:val="0086617B"/>
    <w:rsid w:val="008712B4"/>
    <w:rsid w:val="008724B2"/>
    <w:rsid w:val="00872590"/>
    <w:rsid w:val="00872DA1"/>
    <w:rsid w:val="00873AEB"/>
    <w:rsid w:val="00874DE5"/>
    <w:rsid w:val="00875BAB"/>
    <w:rsid w:val="00875BE6"/>
    <w:rsid w:val="00876BC4"/>
    <w:rsid w:val="008847D4"/>
    <w:rsid w:val="00891166"/>
    <w:rsid w:val="00892459"/>
    <w:rsid w:val="0089255D"/>
    <w:rsid w:val="00893BED"/>
    <w:rsid w:val="00893E77"/>
    <w:rsid w:val="008A249C"/>
    <w:rsid w:val="008A2609"/>
    <w:rsid w:val="008A5205"/>
    <w:rsid w:val="008A7314"/>
    <w:rsid w:val="008B1C74"/>
    <w:rsid w:val="008B389E"/>
    <w:rsid w:val="008B5231"/>
    <w:rsid w:val="008B5D5B"/>
    <w:rsid w:val="008B6871"/>
    <w:rsid w:val="008C3468"/>
    <w:rsid w:val="008C473F"/>
    <w:rsid w:val="008D0DD4"/>
    <w:rsid w:val="008D3576"/>
    <w:rsid w:val="008D464B"/>
    <w:rsid w:val="008D61C5"/>
    <w:rsid w:val="008E6858"/>
    <w:rsid w:val="008F0EA3"/>
    <w:rsid w:val="008F6234"/>
    <w:rsid w:val="008F6F37"/>
    <w:rsid w:val="008F7BB9"/>
    <w:rsid w:val="009047CA"/>
    <w:rsid w:val="00911E1F"/>
    <w:rsid w:val="009147E1"/>
    <w:rsid w:val="009176B2"/>
    <w:rsid w:val="00926512"/>
    <w:rsid w:val="00951A2E"/>
    <w:rsid w:val="00954A9E"/>
    <w:rsid w:val="00974E24"/>
    <w:rsid w:val="00981F98"/>
    <w:rsid w:val="00992947"/>
    <w:rsid w:val="00993D10"/>
    <w:rsid w:val="009941FE"/>
    <w:rsid w:val="00995A2A"/>
    <w:rsid w:val="009968DC"/>
    <w:rsid w:val="009B105B"/>
    <w:rsid w:val="009B6EEA"/>
    <w:rsid w:val="009B778B"/>
    <w:rsid w:val="009C32BD"/>
    <w:rsid w:val="009C4604"/>
    <w:rsid w:val="009C4B1D"/>
    <w:rsid w:val="009C6576"/>
    <w:rsid w:val="009D3820"/>
    <w:rsid w:val="009F2F4D"/>
    <w:rsid w:val="00A02B60"/>
    <w:rsid w:val="00A142EC"/>
    <w:rsid w:val="00A15A7A"/>
    <w:rsid w:val="00A16FF3"/>
    <w:rsid w:val="00A23399"/>
    <w:rsid w:val="00A25121"/>
    <w:rsid w:val="00A26B6E"/>
    <w:rsid w:val="00A3107A"/>
    <w:rsid w:val="00A36B80"/>
    <w:rsid w:val="00A41A31"/>
    <w:rsid w:val="00A45523"/>
    <w:rsid w:val="00A47171"/>
    <w:rsid w:val="00A52747"/>
    <w:rsid w:val="00A63583"/>
    <w:rsid w:val="00A649AC"/>
    <w:rsid w:val="00A66134"/>
    <w:rsid w:val="00A67D1B"/>
    <w:rsid w:val="00A67E07"/>
    <w:rsid w:val="00A70BE4"/>
    <w:rsid w:val="00A8089D"/>
    <w:rsid w:val="00A82D74"/>
    <w:rsid w:val="00A85561"/>
    <w:rsid w:val="00A900FF"/>
    <w:rsid w:val="00AA22AF"/>
    <w:rsid w:val="00AA28DD"/>
    <w:rsid w:val="00AA34BD"/>
    <w:rsid w:val="00AA4D4B"/>
    <w:rsid w:val="00AA6FEC"/>
    <w:rsid w:val="00AA79A6"/>
    <w:rsid w:val="00AB0534"/>
    <w:rsid w:val="00AB21F6"/>
    <w:rsid w:val="00AC2C7F"/>
    <w:rsid w:val="00AC3F45"/>
    <w:rsid w:val="00AC6350"/>
    <w:rsid w:val="00AC7A56"/>
    <w:rsid w:val="00AD2FF1"/>
    <w:rsid w:val="00AD6B79"/>
    <w:rsid w:val="00AD71A0"/>
    <w:rsid w:val="00AE3EA4"/>
    <w:rsid w:val="00AF27BB"/>
    <w:rsid w:val="00AF4606"/>
    <w:rsid w:val="00AF4A62"/>
    <w:rsid w:val="00AF5659"/>
    <w:rsid w:val="00AF64E4"/>
    <w:rsid w:val="00B01489"/>
    <w:rsid w:val="00B034C6"/>
    <w:rsid w:val="00B03C3E"/>
    <w:rsid w:val="00B07A9D"/>
    <w:rsid w:val="00B10309"/>
    <w:rsid w:val="00B1090C"/>
    <w:rsid w:val="00B13743"/>
    <w:rsid w:val="00B24479"/>
    <w:rsid w:val="00B25D60"/>
    <w:rsid w:val="00B30E48"/>
    <w:rsid w:val="00B32204"/>
    <w:rsid w:val="00B32508"/>
    <w:rsid w:val="00B33A9F"/>
    <w:rsid w:val="00B36AA4"/>
    <w:rsid w:val="00B41551"/>
    <w:rsid w:val="00B471ED"/>
    <w:rsid w:val="00B47C68"/>
    <w:rsid w:val="00B54BD5"/>
    <w:rsid w:val="00B56625"/>
    <w:rsid w:val="00B61BDC"/>
    <w:rsid w:val="00B708DF"/>
    <w:rsid w:val="00B72422"/>
    <w:rsid w:val="00B7655A"/>
    <w:rsid w:val="00B765A9"/>
    <w:rsid w:val="00B80BBF"/>
    <w:rsid w:val="00B83E7A"/>
    <w:rsid w:val="00B84AB3"/>
    <w:rsid w:val="00B8512F"/>
    <w:rsid w:val="00B86311"/>
    <w:rsid w:val="00B91C87"/>
    <w:rsid w:val="00B92439"/>
    <w:rsid w:val="00B93565"/>
    <w:rsid w:val="00B96EC1"/>
    <w:rsid w:val="00B9715A"/>
    <w:rsid w:val="00B97BF8"/>
    <w:rsid w:val="00BA0178"/>
    <w:rsid w:val="00BA1FBF"/>
    <w:rsid w:val="00BA546F"/>
    <w:rsid w:val="00BA5486"/>
    <w:rsid w:val="00BA6174"/>
    <w:rsid w:val="00BA6B0F"/>
    <w:rsid w:val="00BB0DFF"/>
    <w:rsid w:val="00BB197C"/>
    <w:rsid w:val="00BB1D43"/>
    <w:rsid w:val="00BB660B"/>
    <w:rsid w:val="00BB6A6C"/>
    <w:rsid w:val="00BB79D5"/>
    <w:rsid w:val="00BD1B03"/>
    <w:rsid w:val="00BD26DA"/>
    <w:rsid w:val="00BD60AD"/>
    <w:rsid w:val="00BE447F"/>
    <w:rsid w:val="00BE5B6F"/>
    <w:rsid w:val="00BE7446"/>
    <w:rsid w:val="00BE7920"/>
    <w:rsid w:val="00BE7A13"/>
    <w:rsid w:val="00BF05B6"/>
    <w:rsid w:val="00BF1280"/>
    <w:rsid w:val="00BF17A0"/>
    <w:rsid w:val="00BF1D45"/>
    <w:rsid w:val="00BF4056"/>
    <w:rsid w:val="00BF5324"/>
    <w:rsid w:val="00C066E7"/>
    <w:rsid w:val="00C07671"/>
    <w:rsid w:val="00C136BB"/>
    <w:rsid w:val="00C14951"/>
    <w:rsid w:val="00C15C7E"/>
    <w:rsid w:val="00C270D2"/>
    <w:rsid w:val="00C41F38"/>
    <w:rsid w:val="00C4326D"/>
    <w:rsid w:val="00C442A9"/>
    <w:rsid w:val="00C47CD1"/>
    <w:rsid w:val="00C505B5"/>
    <w:rsid w:val="00C52983"/>
    <w:rsid w:val="00C56B11"/>
    <w:rsid w:val="00C6060A"/>
    <w:rsid w:val="00C62083"/>
    <w:rsid w:val="00C65B19"/>
    <w:rsid w:val="00C6742B"/>
    <w:rsid w:val="00C71FC9"/>
    <w:rsid w:val="00C733A9"/>
    <w:rsid w:val="00C86E31"/>
    <w:rsid w:val="00C91717"/>
    <w:rsid w:val="00C970DE"/>
    <w:rsid w:val="00CA1A8F"/>
    <w:rsid w:val="00CB055E"/>
    <w:rsid w:val="00CB0C7D"/>
    <w:rsid w:val="00CB12CF"/>
    <w:rsid w:val="00CB2D5D"/>
    <w:rsid w:val="00CC0F5B"/>
    <w:rsid w:val="00CC109B"/>
    <w:rsid w:val="00CC5CB1"/>
    <w:rsid w:val="00CD2F36"/>
    <w:rsid w:val="00CD34DE"/>
    <w:rsid w:val="00CD6CCF"/>
    <w:rsid w:val="00CD7D92"/>
    <w:rsid w:val="00CF1102"/>
    <w:rsid w:val="00CF224A"/>
    <w:rsid w:val="00CF3120"/>
    <w:rsid w:val="00D00B60"/>
    <w:rsid w:val="00D01056"/>
    <w:rsid w:val="00D0267E"/>
    <w:rsid w:val="00D05A92"/>
    <w:rsid w:val="00D10FCD"/>
    <w:rsid w:val="00D1233A"/>
    <w:rsid w:val="00D1585C"/>
    <w:rsid w:val="00D16CB6"/>
    <w:rsid w:val="00D200AF"/>
    <w:rsid w:val="00D20AB0"/>
    <w:rsid w:val="00D24932"/>
    <w:rsid w:val="00D27554"/>
    <w:rsid w:val="00D31542"/>
    <w:rsid w:val="00D34583"/>
    <w:rsid w:val="00D36296"/>
    <w:rsid w:val="00D37CED"/>
    <w:rsid w:val="00D41C25"/>
    <w:rsid w:val="00D477DC"/>
    <w:rsid w:val="00D51BAB"/>
    <w:rsid w:val="00D526BA"/>
    <w:rsid w:val="00D55591"/>
    <w:rsid w:val="00D56797"/>
    <w:rsid w:val="00D623E8"/>
    <w:rsid w:val="00D652C9"/>
    <w:rsid w:val="00D71622"/>
    <w:rsid w:val="00D72BE5"/>
    <w:rsid w:val="00D779B7"/>
    <w:rsid w:val="00D77EDD"/>
    <w:rsid w:val="00D82988"/>
    <w:rsid w:val="00DA0675"/>
    <w:rsid w:val="00DA193A"/>
    <w:rsid w:val="00DA28D4"/>
    <w:rsid w:val="00DA414C"/>
    <w:rsid w:val="00DA511F"/>
    <w:rsid w:val="00DB348F"/>
    <w:rsid w:val="00DB392A"/>
    <w:rsid w:val="00DB3FCB"/>
    <w:rsid w:val="00DB4537"/>
    <w:rsid w:val="00DC25C8"/>
    <w:rsid w:val="00DC4342"/>
    <w:rsid w:val="00DC6456"/>
    <w:rsid w:val="00DD0ADB"/>
    <w:rsid w:val="00DD121C"/>
    <w:rsid w:val="00DD37AF"/>
    <w:rsid w:val="00DD5BC0"/>
    <w:rsid w:val="00DE2416"/>
    <w:rsid w:val="00DF0F4C"/>
    <w:rsid w:val="00DF42D6"/>
    <w:rsid w:val="00DF4D01"/>
    <w:rsid w:val="00DF4DDC"/>
    <w:rsid w:val="00E009A1"/>
    <w:rsid w:val="00E018B2"/>
    <w:rsid w:val="00E03014"/>
    <w:rsid w:val="00E0380D"/>
    <w:rsid w:val="00E07A60"/>
    <w:rsid w:val="00E12058"/>
    <w:rsid w:val="00E1384F"/>
    <w:rsid w:val="00E1391F"/>
    <w:rsid w:val="00E13CF0"/>
    <w:rsid w:val="00E1465B"/>
    <w:rsid w:val="00E215A8"/>
    <w:rsid w:val="00E254B1"/>
    <w:rsid w:val="00E32BF5"/>
    <w:rsid w:val="00E35CFD"/>
    <w:rsid w:val="00E37319"/>
    <w:rsid w:val="00E3757F"/>
    <w:rsid w:val="00E40881"/>
    <w:rsid w:val="00E46D45"/>
    <w:rsid w:val="00E50253"/>
    <w:rsid w:val="00E5033C"/>
    <w:rsid w:val="00E5220F"/>
    <w:rsid w:val="00E6667C"/>
    <w:rsid w:val="00E7455D"/>
    <w:rsid w:val="00E749AC"/>
    <w:rsid w:val="00E76CFE"/>
    <w:rsid w:val="00E76FF2"/>
    <w:rsid w:val="00E863F3"/>
    <w:rsid w:val="00E86F59"/>
    <w:rsid w:val="00EA07EC"/>
    <w:rsid w:val="00EB4FB3"/>
    <w:rsid w:val="00EB78BA"/>
    <w:rsid w:val="00EC4775"/>
    <w:rsid w:val="00EC5DBD"/>
    <w:rsid w:val="00EC63FF"/>
    <w:rsid w:val="00ED7C8F"/>
    <w:rsid w:val="00EE050B"/>
    <w:rsid w:val="00EE0EAC"/>
    <w:rsid w:val="00EF1D55"/>
    <w:rsid w:val="00EF1E55"/>
    <w:rsid w:val="00EF2989"/>
    <w:rsid w:val="00EF6B25"/>
    <w:rsid w:val="00F004D4"/>
    <w:rsid w:val="00F01182"/>
    <w:rsid w:val="00F011DF"/>
    <w:rsid w:val="00F01712"/>
    <w:rsid w:val="00F0378C"/>
    <w:rsid w:val="00F065A4"/>
    <w:rsid w:val="00F07198"/>
    <w:rsid w:val="00F077ED"/>
    <w:rsid w:val="00F07CF9"/>
    <w:rsid w:val="00F207A5"/>
    <w:rsid w:val="00F25E9E"/>
    <w:rsid w:val="00F26DBF"/>
    <w:rsid w:val="00F32EDC"/>
    <w:rsid w:val="00F333D7"/>
    <w:rsid w:val="00F339BE"/>
    <w:rsid w:val="00F33C02"/>
    <w:rsid w:val="00F42F6E"/>
    <w:rsid w:val="00F86BB9"/>
    <w:rsid w:val="00F86D14"/>
    <w:rsid w:val="00F91817"/>
    <w:rsid w:val="00F93FE9"/>
    <w:rsid w:val="00F94671"/>
    <w:rsid w:val="00F94B9C"/>
    <w:rsid w:val="00F953AD"/>
    <w:rsid w:val="00F96A74"/>
    <w:rsid w:val="00FA2B20"/>
    <w:rsid w:val="00FB25CB"/>
    <w:rsid w:val="00FC0AA3"/>
    <w:rsid w:val="00FC29DE"/>
    <w:rsid w:val="00FC7591"/>
    <w:rsid w:val="00FD3378"/>
    <w:rsid w:val="00FF43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CF6EF"/>
  <w15:docId w15:val="{55D9A5EC-0895-43D3-BFC2-C7B3E12F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B1"/>
    <w:pPr>
      <w:spacing w:line="288" w:lineRule="auto"/>
      <w:jc w:val="both"/>
    </w:pPr>
    <w:rPr>
      <w:rFonts w:eastAsia="Times New Roman"/>
      <w:sz w:val="22"/>
      <w:szCs w:val="22"/>
      <w:lang w:eastAsia="en-US"/>
    </w:rPr>
  </w:style>
  <w:style w:type="paragraph" w:styleId="Heading1">
    <w:name w:val="heading 1"/>
    <w:basedOn w:val="Normal"/>
    <w:next w:val="Normal"/>
    <w:qFormat/>
    <w:rsid w:val="00CC5CB1"/>
    <w:pPr>
      <w:numPr>
        <w:numId w:val="1"/>
      </w:numPr>
      <w:ind w:left="567" w:hanging="567"/>
      <w:outlineLvl w:val="0"/>
    </w:pPr>
    <w:rPr>
      <w:kern w:val="28"/>
    </w:rPr>
  </w:style>
  <w:style w:type="paragraph" w:styleId="Heading2">
    <w:name w:val="heading 2"/>
    <w:basedOn w:val="Normal"/>
    <w:next w:val="Normal"/>
    <w:qFormat/>
    <w:rsid w:val="00CC5CB1"/>
    <w:pPr>
      <w:numPr>
        <w:ilvl w:val="1"/>
        <w:numId w:val="1"/>
      </w:numPr>
      <w:ind w:left="567" w:hanging="567"/>
      <w:outlineLvl w:val="1"/>
    </w:pPr>
  </w:style>
  <w:style w:type="paragraph" w:styleId="Heading3">
    <w:name w:val="heading 3"/>
    <w:basedOn w:val="Normal"/>
    <w:next w:val="Normal"/>
    <w:qFormat/>
    <w:rsid w:val="00CC5CB1"/>
    <w:pPr>
      <w:numPr>
        <w:ilvl w:val="2"/>
        <w:numId w:val="1"/>
      </w:numPr>
      <w:ind w:left="567" w:hanging="567"/>
      <w:outlineLvl w:val="2"/>
    </w:pPr>
  </w:style>
  <w:style w:type="paragraph" w:styleId="Heading4">
    <w:name w:val="heading 4"/>
    <w:basedOn w:val="Normal"/>
    <w:next w:val="Normal"/>
    <w:qFormat/>
    <w:rsid w:val="00CC5CB1"/>
    <w:pPr>
      <w:numPr>
        <w:ilvl w:val="3"/>
        <w:numId w:val="1"/>
      </w:numPr>
      <w:ind w:left="567" w:hanging="567"/>
      <w:outlineLvl w:val="3"/>
    </w:pPr>
  </w:style>
  <w:style w:type="paragraph" w:styleId="Heading5">
    <w:name w:val="heading 5"/>
    <w:basedOn w:val="Normal"/>
    <w:next w:val="Normal"/>
    <w:qFormat/>
    <w:rsid w:val="00CC5CB1"/>
    <w:pPr>
      <w:numPr>
        <w:ilvl w:val="4"/>
        <w:numId w:val="1"/>
      </w:numPr>
      <w:ind w:left="567" w:hanging="567"/>
      <w:outlineLvl w:val="4"/>
    </w:pPr>
  </w:style>
  <w:style w:type="paragraph" w:styleId="Heading6">
    <w:name w:val="heading 6"/>
    <w:basedOn w:val="Normal"/>
    <w:next w:val="Normal"/>
    <w:qFormat/>
    <w:rsid w:val="00CC5CB1"/>
    <w:pPr>
      <w:numPr>
        <w:ilvl w:val="5"/>
        <w:numId w:val="1"/>
      </w:numPr>
      <w:ind w:left="567" w:hanging="567"/>
      <w:outlineLvl w:val="5"/>
    </w:pPr>
  </w:style>
  <w:style w:type="paragraph" w:styleId="Heading7">
    <w:name w:val="heading 7"/>
    <w:basedOn w:val="Normal"/>
    <w:next w:val="Normal"/>
    <w:qFormat/>
    <w:rsid w:val="00CC5CB1"/>
    <w:pPr>
      <w:numPr>
        <w:ilvl w:val="6"/>
        <w:numId w:val="1"/>
      </w:numPr>
      <w:ind w:left="567" w:hanging="567"/>
      <w:outlineLvl w:val="6"/>
    </w:pPr>
  </w:style>
  <w:style w:type="paragraph" w:styleId="Heading8">
    <w:name w:val="heading 8"/>
    <w:basedOn w:val="Normal"/>
    <w:next w:val="Normal"/>
    <w:qFormat/>
    <w:rsid w:val="00CC5CB1"/>
    <w:pPr>
      <w:numPr>
        <w:ilvl w:val="7"/>
        <w:numId w:val="1"/>
      </w:numPr>
      <w:ind w:left="567" w:hanging="567"/>
      <w:outlineLvl w:val="7"/>
    </w:pPr>
  </w:style>
  <w:style w:type="paragraph" w:styleId="Heading9">
    <w:name w:val="heading 9"/>
    <w:basedOn w:val="Normal"/>
    <w:next w:val="Normal"/>
    <w:qFormat/>
    <w:rsid w:val="00CC5CB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CC5CB1"/>
  </w:style>
  <w:style w:type="paragraph" w:styleId="FootnoteText">
    <w:name w:val="footnote text"/>
    <w:basedOn w:val="Normal"/>
    <w:qFormat/>
    <w:rsid w:val="00CC5CB1"/>
    <w:pPr>
      <w:keepLines/>
      <w:spacing w:after="60" w:line="240" w:lineRule="auto"/>
      <w:ind w:left="567" w:hanging="567"/>
    </w:pPr>
    <w:rPr>
      <w:sz w:val="16"/>
    </w:rPr>
  </w:style>
  <w:style w:type="paragraph" w:styleId="Header">
    <w:name w:val="header"/>
    <w:basedOn w:val="Normal"/>
    <w:qFormat/>
    <w:rsid w:val="00CC5CB1"/>
  </w:style>
  <w:style w:type="character" w:styleId="Hyperlink">
    <w:name w:val="Hyperlink"/>
    <w:rPr>
      <w:color w:val="0000FF"/>
      <w:u w:val="single"/>
    </w:rPr>
  </w:style>
  <w:style w:type="character" w:styleId="FootnoteReference">
    <w:name w:val="footnote reference"/>
    <w:basedOn w:val="DefaultParagraphFont"/>
    <w:unhideWhenUsed/>
    <w:qFormat/>
    <w:rsid w:val="00CC5CB1"/>
    <w:rPr>
      <w:sz w:val="24"/>
      <w:vertAlign w:val="superscript"/>
    </w:rPr>
  </w:style>
  <w:style w:type="character" w:styleId="FollowedHyperlink">
    <w:name w:val="FollowedHyperlink"/>
    <w:rPr>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CC5CB1"/>
    <w:pPr>
      <w:ind w:left="720"/>
    </w:pPr>
    <w:rPr>
      <w:i/>
    </w:rPr>
  </w:style>
  <w:style w:type="paragraph" w:styleId="BalloonText">
    <w:name w:val="Balloon Text"/>
    <w:basedOn w:val="Normal"/>
    <w:link w:val="BalloonTextChar"/>
    <w:rsid w:val="00CC5CB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5CB1"/>
    <w:rPr>
      <w:rFonts w:ascii="Tahoma" w:eastAsia="Times New Roman" w:hAnsi="Tahoma" w:cs="Tahoma"/>
      <w:sz w:val="16"/>
      <w:szCs w:val="16"/>
      <w:lang w:val="de-DE"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semiHidden/>
    <w:rsid w:val="00A67E07"/>
    <w:rPr>
      <w:rFonts w:eastAsia="Times New Roman"/>
      <w:lang w:eastAsia="en-US"/>
    </w:rPr>
  </w:style>
  <w:style w:type="paragraph" w:styleId="CommentSubject">
    <w:name w:val="annotation subject"/>
    <w:basedOn w:val="CommentText"/>
    <w:next w:val="CommentText"/>
    <w:link w:val="CommentSubjectChar"/>
    <w:semiHidden/>
    <w:unhideWhenUsed/>
    <w:rsid w:val="00A67E07"/>
    <w:rPr>
      <w:b/>
      <w:bCs/>
    </w:rPr>
  </w:style>
  <w:style w:type="character" w:customStyle="1" w:styleId="CommentSubjectChar">
    <w:name w:val="Comment Subject Char"/>
    <w:basedOn w:val="CommentTextChar"/>
    <w:link w:val="CommentSubject"/>
    <w:semiHidden/>
    <w:rsid w:val="00A67E07"/>
    <w:rPr>
      <w:rFonts w:eastAsia="Times New Roman"/>
      <w:b/>
      <w:bCs/>
      <w:lang w:eastAsia="en-US"/>
    </w:rPr>
  </w:style>
  <w:style w:type="paragraph" w:styleId="Revision">
    <w:name w:val="Revision"/>
    <w:hidden/>
    <w:uiPriority w:val="99"/>
    <w:semiHidden/>
    <w:rsid w:val="00A67E07"/>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xUriServ/LexUriServ.do?uri=OJ:C:2013:133:SOM:DE:HTML" TargetMode="External"/><Relationship Id="rId1" Type="http://schemas.openxmlformats.org/officeDocument/2006/relationships/hyperlink" Target="https://eur-lex.europa.eu/LexUriServ/LexUriServ.do?uri=OJ:L:2017:117:SOM: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VV634QRNENMJ-2004427339-2215</_dlc_DocId>
    <_dlc_DocIdUrl xmlns="cda99570-6012-4083-bfeb-7d32ad1ce1a3">
      <Url>http://dm2016/eesc/2020/_layouts/15/DocIdRedir.aspx?ID=VV634QRNENMJ-2004427339-2215</Url>
      <Description>VV634QRNENMJ-2004427339-2215</Description>
    </_dlc_DocIdUrl>
    <Procedure xmlns="cda99570-6012-4083-bfeb-7d32ad1ce1a3">2020/0060(COD)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PAC</TermName>
          <TermId xmlns="http://schemas.microsoft.com/office/infopath/2007/PartnerControls">719e5324-e7b4-48f6-9bbb-a2f1f3496a94</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2020-04-10T12:00:00+00:00</ProductionDate>
    <FicheYear xmlns="cda99570-6012-4083-bfeb-7d32ad1ce1a3">2020</FicheYear>
    <DocumentNumber xmlns="0381fa04-922e-4f8c-89b0-7415d369da52">1752</DocumentNumber>
    <DocumentVersion xmlns="cda99570-6012-4083-bfeb-7d32ad1ce1a3">0</DocumentVersion>
    <DossierNumber xmlns="cda99570-6012-4083-bfeb-7d32ad1ce1a3">907</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50</Value>
      <Value>11</Value>
      <Value>10</Value>
      <Value>94</Value>
      <Value>36</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Rapporteur xmlns="cda99570-6012-4083-bfeb-7d32ad1ce1a3">HEINISCH</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3339</FicheNumber>
    <DocumentPart xmlns="cda99570-6012-4083-bfeb-7d32ad1ce1a3">0</DocumentPart>
    <AdoptionDate xmlns="cda99570-6012-4083-bfeb-7d32ad1ce1a3" xsi:nil="true"/>
    <RequestingService xmlns="cda99570-6012-4083-bfeb-7d32ad1ce1a3">Marché unique, production, consommation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E98DE-A141-471D-B689-FEB74AD9E246}">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0381fa04-922e-4f8c-89b0-7415d369da52"/>
  </ds:schemaRefs>
</ds:datastoreItem>
</file>

<file path=customXml/itemProps2.xml><?xml version="1.0" encoding="utf-8"?>
<ds:datastoreItem xmlns:ds="http://schemas.openxmlformats.org/officeDocument/2006/customXml" ds:itemID="{8EC25A17-3F8C-4AF0-B0C7-11ECA7037B9D}">
  <ds:schemaRefs>
    <ds:schemaRef ds:uri="http://schemas.microsoft.com/sharepoint/events"/>
  </ds:schemaRefs>
</ds:datastoreItem>
</file>

<file path=customXml/itemProps3.xml><?xml version="1.0" encoding="utf-8"?>
<ds:datastoreItem xmlns:ds="http://schemas.openxmlformats.org/officeDocument/2006/customXml" ds:itemID="{FE13A069-E033-458E-8A2E-35DE01D6DEBE}">
  <ds:schemaRefs>
    <ds:schemaRef ds:uri="http://schemas.microsoft.com/sharepoint/v3/contenttype/forms"/>
  </ds:schemaRefs>
</ds:datastoreItem>
</file>

<file path=customXml/itemProps4.xml><?xml version="1.0" encoding="utf-8"?>
<ds:datastoreItem xmlns:ds="http://schemas.openxmlformats.org/officeDocument/2006/customXml" ds:itemID="{2BEFE11F-929A-4FF3-9747-439C5D1F2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0381fa04-922e-4f8c-89b0-7415d369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4729</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Medizinprodukte/Geltungsbeginn</vt:lpstr>
      <vt:lpstr>NEW EESC MODEL  - PAC-CAT -C</vt:lpstr>
    </vt:vector>
  </TitlesOfParts>
  <Manager/>
  <Company>CESE-CdR</Company>
  <LinksUpToDate>false</LinksUpToDate>
  <CharactersWithSpaces>5547</CharactersWithSpaces>
  <SharedDoc>false</SharedDoc>
  <HyperlinkBase/>
  <HLinks>
    <vt:vector size="24" baseType="variant">
      <vt:variant>
        <vt:i4>6946879</vt:i4>
      </vt:variant>
      <vt:variant>
        <vt:i4>6</vt:i4>
      </vt:variant>
      <vt:variant>
        <vt:i4>0</vt:i4>
      </vt:variant>
      <vt:variant>
        <vt:i4>5</vt:i4>
      </vt:variant>
      <vt:variant>
        <vt:lpwstr>http://eur-lex.europa.eu/legal-content/EN/TXT/HTML/?uri=OJ:C:2015:291:FULL&amp;from=EN</vt:lpwstr>
      </vt:variant>
      <vt:variant>
        <vt:lpwstr/>
      </vt:variant>
      <vt:variant>
        <vt:i4>2359333</vt:i4>
      </vt:variant>
      <vt:variant>
        <vt:i4>3</vt:i4>
      </vt:variant>
      <vt:variant>
        <vt:i4>0</vt:i4>
      </vt:variant>
      <vt:variant>
        <vt:i4>5</vt:i4>
      </vt:variant>
      <vt:variant>
        <vt:lpwstr>http://eur-lex.europa.eu/LexUriServ/LexUriServ.do?uri=OJ:C:2014:424:SOM:EN:HTML</vt:lpwstr>
      </vt:variant>
      <vt:variant>
        <vt:lpwstr/>
      </vt:variant>
      <vt:variant>
        <vt:i4>2162721</vt:i4>
      </vt:variant>
      <vt:variant>
        <vt:i4>0</vt:i4>
      </vt:variant>
      <vt:variant>
        <vt:i4>0</vt:i4>
      </vt:variant>
      <vt:variant>
        <vt:i4>5</vt:i4>
      </vt:variant>
      <vt:variant>
        <vt:lpwstr>http://eur-lex.europa.eu/LexUriServ/LexUriServ.do?uri=OJ:C:2013:271:SOM:EN:HTML</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Medizinprodukte/Geltungsbeginn</dc:title>
  <dc:subject>Entwurf einer Stellungnahme des Ausschusses</dc:subject>
  <dc:creator>Stefano Palmieri</dc:creator>
  <cp:keywords>EESC-2020-01752-00-00-PAC-TRA-EN</cp:keywords>
  <dc:description>Rapporteur: HEINISCH - Original language: EN - Date of document: 10/04/2020 - Date of meeting:  - External documents: COM(2020)144 - Administrator: Mme DREWES-WRAN Claudia Bettina</dc:description>
  <cp:lastModifiedBy>Nimal Muriel</cp:lastModifiedBy>
  <cp:revision>3</cp:revision>
  <cp:lastPrinted>2014-05-15T07:01:00Z</cp:lastPrinted>
  <dcterms:created xsi:type="dcterms:W3CDTF">2020-04-14T13:02:00Z</dcterms:created>
  <dcterms:modified xsi:type="dcterms:W3CDTF">2020-04-15T13:35:00Z</dcterms:modified>
  <cp:category>INT/907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09/04/2020, 23/03/2020, 12/05/2016, 12/05/2016</vt:lpwstr>
  </property>
  <property fmtid="{D5CDD505-2E9C-101B-9397-08002B2CF9AE}" pid="4" name="Pref_Time">
    <vt:lpwstr>17:20:31, 15:27:36, 14:28:24, 13:59:28</vt:lpwstr>
  </property>
  <property fmtid="{D5CDD505-2E9C-101B-9397-08002B2CF9AE}" pid="5" name="Pref_User">
    <vt:lpwstr>enied, hnic, jhvi, ssex</vt:lpwstr>
  </property>
  <property fmtid="{D5CDD505-2E9C-101B-9397-08002B2CF9AE}" pid="6" name="Pref_FileName">
    <vt:lpwstr>EESC-2020-01752-00-00-PAC-ORI.docx, EESC-2020-01535-00-00-PAC-ORI.docx, EESC-2016-02804-00-00-PAC-TRA-EN-CRR.docx, EESC-2016-02804-00-00-PAC-CRR-EN.docx</vt:lpwstr>
  </property>
  <property fmtid="{D5CDD505-2E9C-101B-9397-08002B2CF9AE}" pid="7" name="ContentTypeId">
    <vt:lpwstr>0x010100EA97B91038054C99906057A708A1480A0010FCE28FA6316941A8E63DE5CBD60CA0</vt:lpwstr>
  </property>
  <property fmtid="{D5CDD505-2E9C-101B-9397-08002B2CF9AE}" pid="8" name="_dlc_DocIdItemGuid">
    <vt:lpwstr>3b9a41b5-f0f5-4916-9aeb-7a2e16b1424d</vt:lpwstr>
  </property>
  <property fmtid="{D5CDD505-2E9C-101B-9397-08002B2CF9AE}" pid="9" name="Procedure">
    <vt:lpwstr>2020/0060(COD)</vt:lpwstr>
  </property>
  <property fmtid="{D5CDD505-2E9C-101B-9397-08002B2CF9AE}" pid="10" name="AvailableTranslations">
    <vt:lpwstr>4;#EN|f2175f21-25d7-44a3-96da-d6a61b075e1b;#10;#DE|f6b31e5a-26fa-4935-b661-318e46daf27e;#36;#MT|7df99101-6854-4a26-b53a-b88c0da02c26;#11;#FR|d2afafd3-4c81-4f60-8f52-ee33f2f54ff3</vt:lpwstr>
  </property>
  <property fmtid="{D5CDD505-2E9C-101B-9397-08002B2CF9AE}" pid="11" name="DocumentType_0">
    <vt:lpwstr>PAC|719e5324-e7b4-48f6-9bbb-a2f1f3496a94</vt:lpwstr>
  </property>
  <property fmtid="{D5CDD505-2E9C-101B-9397-08002B2CF9AE}" pid="12" name="DossierName_0">
    <vt:lpwstr>INT|e1edfecb-ed43-427b-bb02-d45fe6645386</vt:lpwstr>
  </property>
  <property fmtid="{D5CDD505-2E9C-101B-9397-08002B2CF9AE}" pid="13" name="DocumentSource_0">
    <vt:lpwstr>EESC|422833ec-8d7e-4e65-8e4e-8bed07ffb729</vt:lpwstr>
  </property>
  <property fmtid="{D5CDD505-2E9C-101B-9397-08002B2CF9AE}" pid="14" name="DocumentNumber">
    <vt:i4>1752</vt:i4>
  </property>
  <property fmtid="{D5CDD505-2E9C-101B-9397-08002B2CF9AE}" pid="15" name="FicheYear">
    <vt:i4>2020</vt:i4>
  </property>
  <property fmtid="{D5CDD505-2E9C-101B-9397-08002B2CF9AE}" pid="16" name="DocumentVersion">
    <vt:i4>0</vt:i4>
  </property>
  <property fmtid="{D5CDD505-2E9C-101B-9397-08002B2CF9AE}" pid="17" name="DossierNumber">
    <vt:i4>907</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94;#INT|e1edfecb-ed43-427b-bb02-d45fe6645386</vt:lpwstr>
  </property>
  <property fmtid="{D5CDD505-2E9C-101B-9397-08002B2CF9AE}" pid="21" name="DocumentSource">
    <vt:lpwstr>1;#EESC|422833ec-8d7e-4e65-8e4e-8bed07ffb729</vt:lpwstr>
  </property>
  <property fmtid="{D5CDD505-2E9C-101B-9397-08002B2CF9AE}" pid="22" name="DocumentType">
    <vt:lpwstr>50;#PAC|719e5324-e7b4-48f6-9bbb-a2f1f3496a94</vt:lpwstr>
  </property>
  <property fmtid="{D5CDD505-2E9C-101B-9397-08002B2CF9AE}" pid="23" name="RequestingService">
    <vt:lpwstr>Marché unique, production, consommation</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50;#PAC|719e5324-e7b4-48f6-9bbb-a2f1f3496a94;#94;#INT|e1edfecb-ed43-427b-bb02-d45fe6645386;#6;#Final|ea5e6674-7b27-4bac-b091-73adbb394efe;#5;#Unrestricted|826e22d7-d029-4ec0-a450-0c28ff673572;#4;#EN|f2175f21-25d7-44a3-96da-d6a61b075e1b;#2;#TRA|150d2a88-14</vt:lpwstr>
  </property>
  <property fmtid="{D5CDD505-2E9C-101B-9397-08002B2CF9AE}" pid="33" name="Rapporteur">
    <vt:lpwstr>HEINISCH</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3339</vt:i4>
  </property>
  <property fmtid="{D5CDD505-2E9C-101B-9397-08002B2CF9AE}" pid="38" name="DocumentLanguage">
    <vt:lpwstr>10;#DE|f6b31e5a-26fa-4935-b661-318e46daf27e</vt:lpwstr>
  </property>
  <property fmtid="{D5CDD505-2E9C-101B-9397-08002B2CF9AE}" pid="39" name="_docset_NoMedatataSyncRequired">
    <vt:lpwstr>False</vt:lpwstr>
  </property>
</Properties>
</file>