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89" w:rsidRPr="00A92F9E" w:rsidRDefault="00207881" w:rsidP="00207881">
      <w:pPr>
        <w:jc w:val="center"/>
      </w:pPr>
      <w:r w:rsidRPr="00A92F9E">
        <w:rPr>
          <w:noProof/>
          <w:lang w:val="en-US"/>
        </w:rPr>
        <w:drawing>
          <wp:inline distT="0" distB="0" distL="0" distR="0" wp14:anchorId="08ADCF5B" wp14:editId="0EF89CF2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F9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A99CF1" wp14:editId="6FF6D01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4DE" w:rsidRPr="00260E65" w:rsidRDefault="00092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99CF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924DE" w:rsidRPr="00260E65" w:rsidRDefault="000924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7881" w:rsidRPr="00A92F9E" w:rsidRDefault="00207881" w:rsidP="00AF4606"/>
    <w:p w:rsidR="00B034C6" w:rsidRPr="00A92F9E" w:rsidRDefault="00A900FF" w:rsidP="00AF4606">
      <w:pPr>
        <w:jc w:val="right"/>
      </w:pPr>
      <w:r w:rsidRPr="00A92F9E">
        <w:rPr>
          <w:b/>
        </w:rPr>
        <w:t>ECO</w:t>
      </w:r>
      <w:r w:rsidR="00B034C6" w:rsidRPr="00A92F9E">
        <w:rPr>
          <w:b/>
        </w:rPr>
        <w:t>/</w:t>
      </w:r>
      <w:r w:rsidR="000C42B3" w:rsidRPr="00A92F9E">
        <w:rPr>
          <w:b/>
        </w:rPr>
        <w:t>51</w:t>
      </w:r>
      <w:r w:rsidR="00F029DE" w:rsidRPr="00A92F9E">
        <w:rPr>
          <w:b/>
        </w:rPr>
        <w:t>7</w:t>
      </w:r>
    </w:p>
    <w:p w:rsidR="00B034C6" w:rsidRPr="00A92F9E" w:rsidRDefault="00832888" w:rsidP="00AF4606">
      <w:pPr>
        <w:jc w:val="right"/>
        <w:rPr>
          <w:b/>
        </w:rPr>
      </w:pPr>
      <w:bookmarkStart w:id="0" w:name="_GoBack"/>
      <w:r w:rsidRPr="00A92F9E">
        <w:rPr>
          <w:b/>
        </w:rPr>
        <w:t xml:space="preserve">COVID-19: </w:t>
      </w:r>
      <w:r w:rsidR="00B579B7" w:rsidRPr="00A92F9E">
        <w:rPr>
          <w:b/>
        </w:rPr>
        <w:t>European Structural and Investment Funds - Exceptional flexibility</w:t>
      </w:r>
      <w:bookmarkEnd w:id="0"/>
    </w:p>
    <w:p w:rsidR="00EF2989" w:rsidRPr="00A92F9E" w:rsidRDefault="00EF2989" w:rsidP="00AF4606"/>
    <w:p w:rsidR="00EF2989" w:rsidRPr="00A92F9E" w:rsidRDefault="00EF2989" w:rsidP="00AF4606"/>
    <w:p w:rsidR="00051979" w:rsidRPr="00A92F9E" w:rsidRDefault="007E25DA" w:rsidP="00A900FF">
      <w:pPr>
        <w:jc w:val="center"/>
        <w:rPr>
          <w:b/>
          <w:sz w:val="28"/>
          <w:szCs w:val="28"/>
        </w:rPr>
      </w:pPr>
      <w:r w:rsidRPr="00A92F9E">
        <w:rPr>
          <w:b/>
          <w:sz w:val="28"/>
          <w:szCs w:val="28"/>
        </w:rPr>
        <w:t>POSITION PAPER</w:t>
      </w:r>
    </w:p>
    <w:p w:rsidR="00101B16" w:rsidRPr="00A92F9E" w:rsidRDefault="00101B16" w:rsidP="00A900FF">
      <w:pPr>
        <w:jc w:val="center"/>
      </w:pPr>
      <w:r w:rsidRPr="00A92F9E">
        <w:br/>
        <w:t>European Economic and Social Committee</w:t>
      </w:r>
      <w:r w:rsidRPr="00A92F9E">
        <w:br/>
      </w:r>
      <w:r w:rsidRPr="00A92F9E">
        <w:br/>
      </w:r>
      <w:r w:rsidR="00A900FF" w:rsidRPr="00A92F9E">
        <w:rPr>
          <w:b/>
        </w:rPr>
        <w:t xml:space="preserve">Proposal for a </w:t>
      </w:r>
      <w:r w:rsidR="004F7B5C" w:rsidRPr="00A92F9E">
        <w:rPr>
          <w:b/>
        </w:rPr>
        <w:t>Regulation of the European Parliament and of the Council</w:t>
      </w:r>
      <w:r w:rsidR="00A900FF" w:rsidRPr="00A92F9E">
        <w:rPr>
          <w:b/>
        </w:rPr>
        <w:t xml:space="preserve"> amendin</w:t>
      </w:r>
      <w:r w:rsidR="00E44145" w:rsidRPr="00A92F9E">
        <w:rPr>
          <w:b/>
        </w:rPr>
        <w:t xml:space="preserve">g Regulation (EU) No 1303/2013 and </w:t>
      </w:r>
      <w:r w:rsidR="00A900FF" w:rsidRPr="00A92F9E">
        <w:rPr>
          <w:b/>
        </w:rPr>
        <w:t>Regulation (EU) No 1301/2013</w:t>
      </w:r>
      <w:r w:rsidR="00F47306" w:rsidRPr="00A92F9E">
        <w:rPr>
          <w:b/>
        </w:rPr>
        <w:t xml:space="preserve"> </w:t>
      </w:r>
      <w:r w:rsidR="00A900FF" w:rsidRPr="00A92F9E">
        <w:rPr>
          <w:b/>
        </w:rPr>
        <w:t>as regards s</w:t>
      </w:r>
      <w:r w:rsidR="00FF5CEB" w:rsidRPr="00A92F9E">
        <w:rPr>
          <w:b/>
        </w:rPr>
        <w:t xml:space="preserve">pecific measures to provide exceptional </w:t>
      </w:r>
      <w:r w:rsidR="0023447B" w:rsidRPr="00A92F9E">
        <w:rPr>
          <w:b/>
        </w:rPr>
        <w:t>flexibility for the use of the European Structural and Investment Funds</w:t>
      </w:r>
      <w:r w:rsidR="00A900FF" w:rsidRPr="00A92F9E">
        <w:rPr>
          <w:b/>
        </w:rPr>
        <w:t xml:space="preserve"> in response to the COVID-19 outbreak</w:t>
      </w:r>
      <w:r w:rsidRPr="00A92F9E">
        <w:rPr>
          <w:b/>
        </w:rPr>
        <w:br/>
      </w:r>
      <w:r w:rsidRPr="00A92F9E">
        <w:t>[COM(</w:t>
      </w:r>
      <w:r w:rsidR="00A900FF" w:rsidRPr="00A92F9E">
        <w:t>2020</w:t>
      </w:r>
      <w:r w:rsidRPr="00A92F9E">
        <w:t>)</w:t>
      </w:r>
      <w:r w:rsidR="00466D90" w:rsidRPr="00A92F9E">
        <w:t xml:space="preserve"> 138 final – 2020/0054</w:t>
      </w:r>
      <w:r w:rsidR="00A900FF" w:rsidRPr="00A92F9E">
        <w:t xml:space="preserve"> (COD)</w:t>
      </w:r>
      <w:r w:rsidRPr="00A92F9E">
        <w:t>]</w:t>
      </w:r>
    </w:p>
    <w:p w:rsidR="00A23399" w:rsidRPr="00A92F9E" w:rsidRDefault="00A23399" w:rsidP="00AF4606">
      <w:pPr>
        <w:jc w:val="center"/>
        <w:rPr>
          <w:rFonts w:eastAsia="PMingLiU"/>
          <w:snapToGrid w:val="0"/>
          <w:szCs w:val="24"/>
          <w:lang w:eastAsia="zh-CN"/>
        </w:rPr>
      </w:pPr>
      <w:r w:rsidRPr="00A92F9E">
        <w:br/>
      </w:r>
      <w:r w:rsidRPr="00A92F9E">
        <w:rPr>
          <w:rFonts w:eastAsia="PMingLiU"/>
          <w:snapToGrid w:val="0"/>
          <w:szCs w:val="24"/>
          <w:lang w:eastAsia="zh-CN"/>
        </w:rPr>
        <w:t xml:space="preserve">Rapporteur-general: </w:t>
      </w:r>
      <w:r w:rsidR="00051979" w:rsidRPr="00A92F9E">
        <w:rPr>
          <w:rFonts w:eastAsia="PMingLiU"/>
          <w:snapToGrid w:val="0"/>
          <w:szCs w:val="24"/>
          <w:lang w:eastAsia="zh-CN"/>
        </w:rPr>
        <w:t xml:space="preserve">Alberto </w:t>
      </w:r>
      <w:r w:rsidR="00A92F9E" w:rsidRPr="00A92F9E">
        <w:rPr>
          <w:rFonts w:eastAsia="PMingLiU"/>
          <w:snapToGrid w:val="0"/>
          <w:szCs w:val="24"/>
          <w:lang w:eastAsia="zh-CN"/>
        </w:rPr>
        <w:t>Mazzola</w:t>
      </w: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9A2F50" w:rsidRPr="00A92F9E" w:rsidTr="00146AFA">
        <w:tc>
          <w:tcPr>
            <w:tcW w:w="3085" w:type="dxa"/>
          </w:tcPr>
          <w:p w:rsidR="009A2F50" w:rsidRPr="00A92F9E" w:rsidRDefault="009A2F50" w:rsidP="009A2F50">
            <w:pPr>
              <w:jc w:val="left"/>
            </w:pPr>
            <w:r w:rsidRPr="00A92F9E">
              <w:t>Document date</w:t>
            </w:r>
          </w:p>
        </w:tc>
        <w:tc>
          <w:tcPr>
            <w:tcW w:w="6204" w:type="dxa"/>
          </w:tcPr>
          <w:p w:rsidR="009A2F50" w:rsidRPr="00A92F9E" w:rsidRDefault="00A7611B" w:rsidP="009A2F50">
            <w:pPr>
              <w:jc w:val="left"/>
            </w:pPr>
            <w:r w:rsidRPr="00A92F9E">
              <w:t>1</w:t>
            </w:r>
            <w:r w:rsidR="00314679" w:rsidRPr="00A92F9E">
              <w:t>5</w:t>
            </w:r>
            <w:r w:rsidR="009A2F50" w:rsidRPr="00A92F9E">
              <w:t>/04/2020</w:t>
            </w:r>
          </w:p>
        </w:tc>
      </w:tr>
    </w:tbl>
    <w:p w:rsidR="00101B16" w:rsidRPr="00A92F9E" w:rsidRDefault="00101B16" w:rsidP="00AF4606"/>
    <w:p w:rsidR="00EF2989" w:rsidRPr="00A92F9E" w:rsidRDefault="00EF2989" w:rsidP="00AF4606">
      <w:pPr>
        <w:sectPr w:rsidR="00EF2989" w:rsidRPr="00A92F9E" w:rsidSect="003146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018"/>
      </w:tblGrid>
      <w:tr w:rsidR="00101B16" w:rsidRPr="00A92F9E" w:rsidTr="00E856EA">
        <w:tc>
          <w:tcPr>
            <w:tcW w:w="3055" w:type="dxa"/>
          </w:tcPr>
          <w:p w:rsidR="00101B16" w:rsidRPr="00A92F9E" w:rsidRDefault="00102ECF" w:rsidP="00AF4606">
            <w:pPr>
              <w:jc w:val="left"/>
            </w:pPr>
            <w:r w:rsidRPr="00A92F9E">
              <w:lastRenderedPageBreak/>
              <w:t>Referral</w:t>
            </w:r>
          </w:p>
        </w:tc>
        <w:tc>
          <w:tcPr>
            <w:tcW w:w="6018" w:type="dxa"/>
          </w:tcPr>
          <w:p w:rsidR="00101B16" w:rsidRPr="00A92F9E" w:rsidRDefault="00F011DF" w:rsidP="00AF4606">
            <w:pPr>
              <w:jc w:val="left"/>
            </w:pPr>
            <w:r w:rsidRPr="00A92F9E">
              <w:t>Council of the European Union</w:t>
            </w:r>
            <w:r w:rsidR="00101B16" w:rsidRPr="00A92F9E">
              <w:t xml:space="preserve">, </w:t>
            </w:r>
            <w:r w:rsidR="00BF5573" w:rsidRPr="00A92F9E">
              <w:t>08</w:t>
            </w:r>
            <w:r w:rsidR="009B6872" w:rsidRPr="00A92F9E">
              <w:t>/04/2020</w:t>
            </w:r>
          </w:p>
          <w:p w:rsidR="00F011DF" w:rsidRPr="00A92F9E" w:rsidRDefault="00F011DF" w:rsidP="002C2D18">
            <w:pPr>
              <w:jc w:val="left"/>
            </w:pPr>
            <w:r w:rsidRPr="00A92F9E">
              <w:t xml:space="preserve">European Parliament, </w:t>
            </w:r>
            <w:r w:rsidR="002C2D18" w:rsidRPr="00A92F9E">
              <w:t>16</w:t>
            </w:r>
            <w:r w:rsidR="00D24D59" w:rsidRPr="00A92F9E">
              <w:t>/04</w:t>
            </w:r>
            <w:r w:rsidR="00781C6B" w:rsidRPr="00A92F9E">
              <w:t>/2020</w:t>
            </w:r>
          </w:p>
        </w:tc>
      </w:tr>
      <w:tr w:rsidR="00101B16" w:rsidRPr="00A92F9E" w:rsidTr="00E856EA">
        <w:trPr>
          <w:trHeight w:val="251"/>
        </w:trPr>
        <w:tc>
          <w:tcPr>
            <w:tcW w:w="3055" w:type="dxa"/>
          </w:tcPr>
          <w:p w:rsidR="00101B16" w:rsidRPr="00A92F9E" w:rsidRDefault="00101B16" w:rsidP="00AF4606">
            <w:pPr>
              <w:jc w:val="left"/>
            </w:pPr>
            <w:r w:rsidRPr="00A92F9E">
              <w:t>Legal basis</w:t>
            </w:r>
          </w:p>
        </w:tc>
        <w:tc>
          <w:tcPr>
            <w:tcW w:w="6018" w:type="dxa"/>
          </w:tcPr>
          <w:p w:rsidR="00101B16" w:rsidRPr="00A92F9E" w:rsidRDefault="00101B16" w:rsidP="002C2D18">
            <w:pPr>
              <w:jc w:val="left"/>
            </w:pPr>
            <w:r w:rsidRPr="00A92F9E">
              <w:t>Article</w:t>
            </w:r>
            <w:r w:rsidR="00781C6B" w:rsidRPr="00A92F9E">
              <w:t>s 177, 178 and</w:t>
            </w:r>
            <w:r w:rsidR="00F011DF" w:rsidRPr="00A92F9E">
              <w:t xml:space="preserve"> 304</w:t>
            </w:r>
            <w:r w:rsidRPr="00A92F9E">
              <w:t xml:space="preserve"> of the Treaty on the Functioning of the European Union</w:t>
            </w:r>
          </w:p>
        </w:tc>
      </w:tr>
      <w:tr w:rsidR="00101B16" w:rsidRPr="00A92F9E" w:rsidTr="00E856EA">
        <w:tc>
          <w:tcPr>
            <w:tcW w:w="3055" w:type="dxa"/>
          </w:tcPr>
          <w:p w:rsidR="00101B16" w:rsidRPr="00A92F9E" w:rsidRDefault="00101B16" w:rsidP="00AF4606">
            <w:pPr>
              <w:jc w:val="left"/>
            </w:pPr>
            <w:r w:rsidRPr="00A92F9E">
              <w:t>Section responsible</w:t>
            </w:r>
          </w:p>
        </w:tc>
        <w:tc>
          <w:tcPr>
            <w:tcW w:w="6018" w:type="dxa"/>
          </w:tcPr>
          <w:p w:rsidR="00101B16" w:rsidRPr="00A92F9E" w:rsidRDefault="00F011DF" w:rsidP="00F011DF">
            <w:pPr>
              <w:jc w:val="left"/>
            </w:pPr>
            <w:r w:rsidRPr="00A92F9E">
              <w:t>Economic and Monetary Union and Economic and Social Cohesion</w:t>
            </w:r>
          </w:p>
        </w:tc>
      </w:tr>
    </w:tbl>
    <w:p w:rsidR="00101B16" w:rsidRPr="00A92F9E" w:rsidRDefault="00101B16" w:rsidP="00AF4606"/>
    <w:p w:rsidR="00101B16" w:rsidRPr="00A92F9E" w:rsidRDefault="00101B16" w:rsidP="00AF4606"/>
    <w:p w:rsidR="00082FF4" w:rsidRPr="00A92F9E" w:rsidRDefault="00082FF4">
      <w:pPr>
        <w:spacing w:line="240" w:lineRule="auto"/>
        <w:jc w:val="left"/>
      </w:pPr>
      <w:r w:rsidRPr="00A92F9E">
        <w:br w:type="page"/>
      </w:r>
    </w:p>
    <w:p w:rsidR="00082FF4" w:rsidRPr="00A92F9E" w:rsidRDefault="00082FF4" w:rsidP="00EC6A9F">
      <w:pPr>
        <w:pStyle w:val="Heading1"/>
      </w:pPr>
      <w:r w:rsidRPr="00A92F9E">
        <w:rPr>
          <w:b/>
        </w:rPr>
        <w:lastRenderedPageBreak/>
        <w:t>Conclusions and recommendations</w:t>
      </w:r>
    </w:p>
    <w:p w:rsidR="00082FF4" w:rsidRPr="00A92F9E" w:rsidRDefault="00082FF4" w:rsidP="00082FF4"/>
    <w:p w:rsidR="00EC6A9F" w:rsidRPr="00A92F9E" w:rsidRDefault="006B396E" w:rsidP="00DD06EC">
      <w:pPr>
        <w:pStyle w:val="Heading2"/>
      </w:pPr>
      <w:r w:rsidRPr="00A92F9E">
        <w:t>The evident cross-border dimension of</w:t>
      </w:r>
      <w:r w:rsidR="00EC0574" w:rsidRPr="00A92F9E">
        <w:t xml:space="preserve"> COVID-19</w:t>
      </w:r>
      <w:r w:rsidRPr="00A92F9E">
        <w:t xml:space="preserve"> </w:t>
      </w:r>
      <w:r w:rsidR="00EC0574" w:rsidRPr="00A92F9E">
        <w:t>(c</w:t>
      </w:r>
      <w:r w:rsidRPr="00A92F9E">
        <w:t>oronavirus</w:t>
      </w:r>
      <w:r w:rsidR="00EC0574" w:rsidRPr="00A92F9E">
        <w:t>)</w:t>
      </w:r>
      <w:r w:rsidRPr="00A92F9E">
        <w:t xml:space="preserve"> prevents any unilateral, national action from being truly effective</w:t>
      </w:r>
      <w:r w:rsidR="00DD06EC" w:rsidRPr="00A92F9E">
        <w:t xml:space="preserve"> and requires comprehensive </w:t>
      </w:r>
      <w:r w:rsidR="005F2FEB" w:rsidRPr="00A92F9E">
        <w:t xml:space="preserve">European </w:t>
      </w:r>
      <w:r w:rsidR="00DD06EC" w:rsidRPr="00A92F9E">
        <w:t>action</w:t>
      </w:r>
      <w:r w:rsidRPr="00A92F9E">
        <w:t xml:space="preserve">. Coordination </w:t>
      </w:r>
      <w:r w:rsidR="00CF49B9" w:rsidRPr="00A92F9E">
        <w:t xml:space="preserve">and cooperation </w:t>
      </w:r>
      <w:r w:rsidRPr="00A92F9E">
        <w:t xml:space="preserve">is therefore </w:t>
      </w:r>
      <w:r w:rsidR="001D125D" w:rsidRPr="00A92F9E">
        <w:t xml:space="preserve">vital </w:t>
      </w:r>
      <w:r w:rsidRPr="00A92F9E">
        <w:t>to</w:t>
      </w:r>
      <w:r w:rsidR="00DD06EC" w:rsidRPr="00A92F9E">
        <w:t xml:space="preserve"> deal with health emergency needs, to support economic activity and to prepare the ground for the recovery</w:t>
      </w:r>
      <w:r w:rsidRPr="00A92F9E">
        <w:t>.</w:t>
      </w:r>
      <w:r w:rsidR="009F5E71" w:rsidRPr="00A92F9E">
        <w:t xml:space="preserve"> </w:t>
      </w:r>
      <w:r w:rsidRPr="00A92F9E">
        <w:t>During the current</w:t>
      </w:r>
      <w:r w:rsidR="00EC0574" w:rsidRPr="00A92F9E">
        <w:t xml:space="preserve"> </w:t>
      </w:r>
      <w:r w:rsidRPr="00A92F9E">
        <w:t xml:space="preserve">pandemic crisis, the EU and its Member States should give a clear sign of solidarity </w:t>
      </w:r>
      <w:r w:rsidR="00A03878" w:rsidRPr="00A92F9E">
        <w:t>and subsidiarity</w:t>
      </w:r>
      <w:r w:rsidR="005F2FEB" w:rsidRPr="00A92F9E">
        <w:t>,</w:t>
      </w:r>
      <w:r w:rsidR="001F33F4" w:rsidRPr="00A92F9E">
        <w:t xml:space="preserve"> </w:t>
      </w:r>
      <w:r w:rsidRPr="00A92F9E">
        <w:t>and</w:t>
      </w:r>
      <w:r w:rsidR="001D125D" w:rsidRPr="00A92F9E">
        <w:t xml:space="preserve"> provide</w:t>
      </w:r>
      <w:r w:rsidRPr="00A92F9E">
        <w:t xml:space="preserve"> efficient help to people</w:t>
      </w:r>
      <w:r w:rsidR="001D125D" w:rsidRPr="00A92F9E">
        <w:t xml:space="preserve"> who are suffering</w:t>
      </w:r>
      <w:r w:rsidRPr="00A92F9E">
        <w:t>,</w:t>
      </w:r>
      <w:r w:rsidR="001D125D" w:rsidRPr="00A92F9E">
        <w:t xml:space="preserve"> to</w:t>
      </w:r>
      <w:r w:rsidRPr="00A92F9E">
        <w:t xml:space="preserve"> public health systems and vulnerable </w:t>
      </w:r>
      <w:r w:rsidR="001D125D" w:rsidRPr="00A92F9E">
        <w:t>businesses</w:t>
      </w:r>
      <w:r w:rsidR="00421619" w:rsidRPr="00A92F9E">
        <w:t>,</w:t>
      </w:r>
      <w:r w:rsidR="001D125D" w:rsidRPr="00A92F9E">
        <w:t xml:space="preserve"> </w:t>
      </w:r>
      <w:r w:rsidRPr="00A92F9E">
        <w:t xml:space="preserve">and to workers </w:t>
      </w:r>
      <w:r w:rsidR="001D125D" w:rsidRPr="00A92F9E">
        <w:t xml:space="preserve">who </w:t>
      </w:r>
      <w:r w:rsidRPr="00A92F9E">
        <w:t>will lose their jobs or see a sign</w:t>
      </w:r>
      <w:r w:rsidR="00EC6A9F" w:rsidRPr="00A92F9E">
        <w:t xml:space="preserve">ificant fall in their incomes. </w:t>
      </w:r>
    </w:p>
    <w:p w:rsidR="00EC6A9F" w:rsidRPr="00A92F9E" w:rsidRDefault="00EC6A9F" w:rsidP="00EC6A9F">
      <w:pPr>
        <w:pStyle w:val="Heading2"/>
        <w:numPr>
          <w:ilvl w:val="0"/>
          <w:numId w:val="0"/>
        </w:numPr>
        <w:ind w:left="567"/>
      </w:pPr>
    </w:p>
    <w:p w:rsidR="006B396E" w:rsidRPr="00A92F9E" w:rsidRDefault="00945521" w:rsidP="00DD06EC">
      <w:pPr>
        <w:pStyle w:val="Heading2"/>
      </w:pPr>
      <w:r w:rsidRPr="00A92F9E">
        <w:t>The</w:t>
      </w:r>
      <w:r w:rsidR="006B396E" w:rsidRPr="00A92F9E">
        <w:t xml:space="preserve"> EESC warmly wel</w:t>
      </w:r>
      <w:r w:rsidR="001F33F4" w:rsidRPr="00A92F9E">
        <w:t>come</w:t>
      </w:r>
      <w:r w:rsidR="00832888" w:rsidRPr="00A92F9E">
        <w:t>s</w:t>
      </w:r>
      <w:r w:rsidR="006B396E" w:rsidRPr="00A92F9E">
        <w:t xml:space="preserve"> the</w:t>
      </w:r>
      <w:r w:rsidR="007634AE" w:rsidRPr="00A92F9E">
        <w:t xml:space="preserve"> fact that the</w:t>
      </w:r>
      <w:r w:rsidR="006B396E" w:rsidRPr="00A92F9E">
        <w:t xml:space="preserve"> European Commission</w:t>
      </w:r>
      <w:r w:rsidR="007634AE" w:rsidRPr="00A92F9E">
        <w:t xml:space="preserve"> has responded by </w:t>
      </w:r>
      <w:r w:rsidR="006B396E" w:rsidRPr="00A92F9E">
        <w:t>establish</w:t>
      </w:r>
      <w:r w:rsidR="007634AE" w:rsidRPr="00A92F9E">
        <w:t>ing</w:t>
      </w:r>
      <w:r w:rsidR="006B396E" w:rsidRPr="00A92F9E">
        <w:t xml:space="preserve"> adjusted and efficient means of providing financial support to </w:t>
      </w:r>
      <w:r w:rsidR="00421619" w:rsidRPr="00A92F9E">
        <w:t>tackle</w:t>
      </w:r>
      <w:r w:rsidR="006B396E" w:rsidRPr="00A92F9E">
        <w:t xml:space="preserve"> the </w:t>
      </w:r>
      <w:r w:rsidR="00230BE0" w:rsidRPr="00A92F9E">
        <w:t>COVID</w:t>
      </w:r>
      <w:r w:rsidR="000F44A9" w:rsidRPr="00A92F9E">
        <w:t>-19</w:t>
      </w:r>
      <w:r w:rsidR="00832888" w:rsidRPr="00A92F9E">
        <w:t xml:space="preserve"> situation</w:t>
      </w:r>
      <w:r w:rsidR="00421619" w:rsidRPr="00A92F9E">
        <w:t>. The EESC also recognis</w:t>
      </w:r>
      <w:r w:rsidR="0029552E" w:rsidRPr="00A92F9E">
        <w:t xml:space="preserve">es that </w:t>
      </w:r>
      <w:r w:rsidR="000F44A9" w:rsidRPr="00A92F9E">
        <w:t>the direct and indirect effects of the COVID-19</w:t>
      </w:r>
      <w:r w:rsidR="00287F3E" w:rsidRPr="00A92F9E">
        <w:t xml:space="preserve"> outbreak continue to increase in all Member States</w:t>
      </w:r>
      <w:r w:rsidR="00DD06EC" w:rsidRPr="00A92F9E">
        <w:t xml:space="preserve"> and </w:t>
      </w:r>
      <w:r w:rsidR="00421619" w:rsidRPr="00A92F9E">
        <w:t xml:space="preserve">that </w:t>
      </w:r>
      <w:r w:rsidR="00DD06EC" w:rsidRPr="00A92F9E">
        <w:t>further action</w:t>
      </w:r>
      <w:r w:rsidR="00421619" w:rsidRPr="00A92F9E">
        <w:t xml:space="preserve"> is therefore required</w:t>
      </w:r>
      <w:r w:rsidR="00287F3E" w:rsidRPr="00A92F9E">
        <w:t>. The current situation is unprecedented and requires</w:t>
      </w:r>
      <w:r w:rsidR="00EF7A7B" w:rsidRPr="00A92F9E">
        <w:t xml:space="preserve"> all possible measures adapted to the situation </w:t>
      </w:r>
      <w:r w:rsidR="005F2FEB" w:rsidRPr="00A92F9E">
        <w:t xml:space="preserve">to </w:t>
      </w:r>
      <w:r w:rsidR="00EF7A7B" w:rsidRPr="00A92F9E">
        <w:t xml:space="preserve">be applied in these </w:t>
      </w:r>
      <w:r w:rsidR="00925B6B" w:rsidRPr="00A92F9E">
        <w:t>specific circumstances.</w:t>
      </w:r>
    </w:p>
    <w:p w:rsidR="006B396E" w:rsidRPr="00A92F9E" w:rsidRDefault="006B396E" w:rsidP="006B396E"/>
    <w:p w:rsidR="006B396E" w:rsidRPr="00A92F9E" w:rsidRDefault="006B396E" w:rsidP="00A94897">
      <w:pPr>
        <w:pStyle w:val="Heading2"/>
      </w:pPr>
      <w:r w:rsidRPr="00A92F9E">
        <w:t xml:space="preserve">The EESC </w:t>
      </w:r>
      <w:r w:rsidR="007634AE" w:rsidRPr="00A92F9E">
        <w:t xml:space="preserve">stresses </w:t>
      </w:r>
      <w:r w:rsidR="006E21AB" w:rsidRPr="00A92F9E">
        <w:t>the need for a</w:t>
      </w:r>
      <w:r w:rsidR="00832888" w:rsidRPr="00A92F9E">
        <w:t>n</w:t>
      </w:r>
      <w:r w:rsidR="006E21AB" w:rsidRPr="00A92F9E">
        <w:t xml:space="preserve"> </w:t>
      </w:r>
      <w:r w:rsidR="00035285" w:rsidRPr="00A92F9E">
        <w:t xml:space="preserve">immediate </w:t>
      </w:r>
      <w:r w:rsidR="006E21AB" w:rsidRPr="00A92F9E">
        <w:t>and effective</w:t>
      </w:r>
      <w:r w:rsidR="00F84082" w:rsidRPr="00A92F9E">
        <w:t xml:space="preserve"> response</w:t>
      </w:r>
      <w:r w:rsidR="00035285" w:rsidRPr="00A92F9E">
        <w:t xml:space="preserve"> </w:t>
      </w:r>
      <w:r w:rsidR="005F2FEB" w:rsidRPr="00A92F9E">
        <w:t>through a</w:t>
      </w:r>
      <w:r w:rsidR="006457C2" w:rsidRPr="00A92F9E">
        <w:t>ll means</w:t>
      </w:r>
      <w:r w:rsidR="005F2FEB" w:rsidRPr="00A92F9E">
        <w:t xml:space="preserve"> possible</w:t>
      </w:r>
      <w:r w:rsidR="00D14CB8" w:rsidRPr="00A92F9E">
        <w:t>.</w:t>
      </w:r>
      <w:r w:rsidR="00035285" w:rsidRPr="00A92F9E">
        <w:t xml:space="preserve"> It is therefore</w:t>
      </w:r>
      <w:r w:rsidR="006E21AB" w:rsidRPr="00A92F9E">
        <w:t xml:space="preserve"> necessary to go </w:t>
      </w:r>
      <w:r w:rsidR="00795963" w:rsidRPr="00A92F9E">
        <w:t xml:space="preserve">beyond what has already </w:t>
      </w:r>
      <w:r w:rsidR="00832888" w:rsidRPr="00A92F9E">
        <w:t xml:space="preserve">been </w:t>
      </w:r>
      <w:r w:rsidR="00795963" w:rsidRPr="00A92F9E">
        <w:t>agreed and provide</w:t>
      </w:r>
      <w:r w:rsidR="00FA731C" w:rsidRPr="00A92F9E">
        <w:t xml:space="preserve"> exceptional</w:t>
      </w:r>
      <w:r w:rsidR="000A019F" w:rsidRPr="00A92F9E">
        <w:t>,</w:t>
      </w:r>
      <w:r w:rsidR="00FA731C" w:rsidRPr="00A92F9E">
        <w:t xml:space="preserve"> additional flexibility to respond to the current unprecedented situation, which led</w:t>
      </w:r>
      <w:r w:rsidR="00886A3F" w:rsidRPr="00A92F9E">
        <w:t xml:space="preserve"> to the activation of the </w:t>
      </w:r>
      <w:r w:rsidR="00D9213C" w:rsidRPr="00A92F9E">
        <w:t>general escape clause under the Stability and Growth Pact.</w:t>
      </w:r>
    </w:p>
    <w:p w:rsidR="006B396E" w:rsidRPr="00A92F9E" w:rsidRDefault="006B396E" w:rsidP="006B396E"/>
    <w:p w:rsidR="006B396E" w:rsidRPr="00A92F9E" w:rsidRDefault="008C1EAE" w:rsidP="00697310">
      <w:pPr>
        <w:pStyle w:val="Heading2"/>
      </w:pPr>
      <w:r w:rsidRPr="00A92F9E">
        <w:t xml:space="preserve">The EESC </w:t>
      </w:r>
      <w:r w:rsidR="001A129A" w:rsidRPr="00A92F9E">
        <w:t xml:space="preserve">strongly welcomes </w:t>
      </w:r>
      <w:r w:rsidR="0026565A" w:rsidRPr="00A92F9E">
        <w:t>the temporary possibility of 100% co-financing from the EU</w:t>
      </w:r>
      <w:r w:rsidR="005C4731" w:rsidRPr="00A92F9E">
        <w:t xml:space="preserve"> budget for the implementation of cohesion policy programmes</w:t>
      </w:r>
      <w:r w:rsidR="00630A17" w:rsidRPr="00A92F9E">
        <w:t>. T</w:t>
      </w:r>
      <w:r w:rsidR="00B934C3" w:rsidRPr="00A92F9E">
        <w:t xml:space="preserve">he </w:t>
      </w:r>
      <w:r w:rsidR="000A019F" w:rsidRPr="00A92F9E">
        <w:t xml:space="preserve">possibility of </w:t>
      </w:r>
      <w:r w:rsidR="003C3878" w:rsidRPr="00A92F9E">
        <w:t>additional transfer</w:t>
      </w:r>
      <w:r w:rsidR="000A019F" w:rsidRPr="00A92F9E">
        <w:t>s</w:t>
      </w:r>
      <w:r w:rsidR="006F1F8F" w:rsidRPr="00A92F9E">
        <w:t xml:space="preserve"> between the European Regional Development Fund</w:t>
      </w:r>
      <w:r w:rsidR="00D44EEE" w:rsidRPr="00A92F9E">
        <w:t xml:space="preserve"> </w:t>
      </w:r>
      <w:r w:rsidR="006F1F8F" w:rsidRPr="00A92F9E">
        <w:t>(ERDF)</w:t>
      </w:r>
      <w:r w:rsidR="00D44EEE" w:rsidRPr="00A92F9E">
        <w:t>, the European Social Fund (ESF) and the Cohesion Fund</w:t>
      </w:r>
      <w:r w:rsidR="00421619" w:rsidRPr="00A92F9E">
        <w:t xml:space="preserve">, as well as </w:t>
      </w:r>
      <w:r w:rsidR="003331CB" w:rsidRPr="00A92F9E">
        <w:t>between categories of regions</w:t>
      </w:r>
      <w:r w:rsidR="008A0EA8" w:rsidRPr="00A92F9E">
        <w:t>,</w:t>
      </w:r>
      <w:r w:rsidR="00630A17" w:rsidRPr="00A92F9E">
        <w:t xml:space="preserve"> are also similarly welcomed</w:t>
      </w:r>
      <w:r w:rsidR="003331CB" w:rsidRPr="00A92F9E">
        <w:t>.</w:t>
      </w:r>
    </w:p>
    <w:p w:rsidR="006B396E" w:rsidRPr="00A92F9E" w:rsidRDefault="006B396E" w:rsidP="006B396E"/>
    <w:p w:rsidR="006B396E" w:rsidRPr="00A92F9E" w:rsidRDefault="006B396E" w:rsidP="00EC6A9F">
      <w:pPr>
        <w:pStyle w:val="Heading2"/>
      </w:pPr>
      <w:r w:rsidRPr="00A92F9E">
        <w:t xml:space="preserve">The EESC </w:t>
      </w:r>
      <w:r w:rsidR="00F32C95" w:rsidRPr="00A92F9E">
        <w:t xml:space="preserve">emphasises </w:t>
      </w:r>
      <w:r w:rsidRPr="00A92F9E">
        <w:t>that</w:t>
      </w:r>
      <w:r w:rsidR="00F32C95" w:rsidRPr="00A92F9E">
        <w:t>,</w:t>
      </w:r>
      <w:r w:rsidRPr="00A92F9E">
        <w:t xml:space="preserve"> </w:t>
      </w:r>
      <w:r w:rsidR="00630A17" w:rsidRPr="00A92F9E">
        <w:t xml:space="preserve">during </w:t>
      </w:r>
      <w:r w:rsidRPr="00A92F9E">
        <w:t>this crisis,</w:t>
      </w:r>
      <w:r w:rsidR="00F32C95" w:rsidRPr="00A92F9E">
        <w:t xml:space="preserve"> the</w:t>
      </w:r>
      <w:r w:rsidRPr="00A92F9E">
        <w:t xml:space="preserve"> solvency of </w:t>
      </w:r>
      <w:r w:rsidR="00F32C95" w:rsidRPr="00A92F9E">
        <w:t xml:space="preserve">businesses, </w:t>
      </w:r>
      <w:r w:rsidRPr="00A92F9E">
        <w:t>including social and health service providers</w:t>
      </w:r>
      <w:r w:rsidR="00F32C95" w:rsidRPr="00A92F9E">
        <w:t>,</w:t>
      </w:r>
      <w:r w:rsidRPr="00A92F9E">
        <w:t xml:space="preserve"> is </w:t>
      </w:r>
      <w:r w:rsidR="00A15B01" w:rsidRPr="00A92F9E">
        <w:t xml:space="preserve">fast </w:t>
      </w:r>
      <w:r w:rsidRPr="00A92F9E">
        <w:t xml:space="preserve">becoming a very important issue, especially </w:t>
      </w:r>
      <w:r w:rsidR="00AD55ED" w:rsidRPr="00A92F9E">
        <w:t>as</w:t>
      </w:r>
      <w:r w:rsidRPr="00A92F9E">
        <w:t xml:space="preserve"> the shutdown of the economy </w:t>
      </w:r>
      <w:r w:rsidR="008A0EA8" w:rsidRPr="00A92F9E">
        <w:t>is set to continue</w:t>
      </w:r>
      <w:r w:rsidRPr="00A92F9E">
        <w:t xml:space="preserve"> and </w:t>
      </w:r>
      <w:r w:rsidR="008A0EA8" w:rsidRPr="00A92F9E">
        <w:t>given</w:t>
      </w:r>
      <w:r w:rsidR="00AD55ED" w:rsidRPr="00A92F9E">
        <w:t xml:space="preserve"> the</w:t>
      </w:r>
      <w:r w:rsidR="0076557A" w:rsidRPr="00A92F9E">
        <w:t xml:space="preserve"> uncertain economic outlook. In this context</w:t>
      </w:r>
      <w:r w:rsidR="00933599" w:rsidRPr="00A92F9E">
        <w:t xml:space="preserve">, </w:t>
      </w:r>
      <w:r w:rsidR="00630A17" w:rsidRPr="00A92F9E">
        <w:t xml:space="preserve">the </w:t>
      </w:r>
      <w:r w:rsidR="00933599" w:rsidRPr="00A92F9E">
        <w:t xml:space="preserve">EESC welcomes the new provisions to allow </w:t>
      </w:r>
      <w:r w:rsidR="00630A17" w:rsidRPr="00A92F9E">
        <w:t xml:space="preserve">the </w:t>
      </w:r>
      <w:r w:rsidR="00933599" w:rsidRPr="00A92F9E">
        <w:t>ERDF to provide</w:t>
      </w:r>
      <w:r w:rsidR="004010D6" w:rsidRPr="00A92F9E">
        <w:t xml:space="preserve"> support </w:t>
      </w:r>
      <w:r w:rsidR="000A019F" w:rsidRPr="00A92F9E">
        <w:t>to</w:t>
      </w:r>
      <w:r w:rsidR="004010D6" w:rsidRPr="00A92F9E">
        <w:t xml:space="preserve"> businesses and </w:t>
      </w:r>
      <w:r w:rsidR="00074A9D" w:rsidRPr="00A92F9E">
        <w:t xml:space="preserve">employment </w:t>
      </w:r>
      <w:r w:rsidR="004010D6" w:rsidRPr="00A92F9E">
        <w:t xml:space="preserve">undertakings </w:t>
      </w:r>
      <w:r w:rsidR="009E3205" w:rsidRPr="00A92F9E">
        <w:t xml:space="preserve">facing </w:t>
      </w:r>
      <w:r w:rsidR="004010D6" w:rsidRPr="00A92F9E">
        <w:t xml:space="preserve">difficulties </w:t>
      </w:r>
      <w:r w:rsidR="00630A17" w:rsidRPr="00A92F9E">
        <w:t xml:space="preserve">due to </w:t>
      </w:r>
      <w:r w:rsidR="004010D6" w:rsidRPr="00A92F9E">
        <w:t xml:space="preserve">these specific circumstances </w:t>
      </w:r>
      <w:r w:rsidR="008A0EA8" w:rsidRPr="00A92F9E">
        <w:t>in a way that is consistent</w:t>
      </w:r>
      <w:r w:rsidR="004010D6" w:rsidRPr="00A92F9E">
        <w:t xml:space="preserve"> with the flexibility</w:t>
      </w:r>
      <w:r w:rsidR="008A0EA8" w:rsidRPr="00A92F9E">
        <w:t xml:space="preserve"> provided in S</w:t>
      </w:r>
      <w:r w:rsidR="008A4944" w:rsidRPr="00A92F9E">
        <w:t>tate aid rules.</w:t>
      </w:r>
    </w:p>
    <w:p w:rsidR="006B396E" w:rsidRPr="00A92F9E" w:rsidRDefault="006B396E" w:rsidP="006B396E"/>
    <w:p w:rsidR="006B396E" w:rsidRPr="00A92F9E" w:rsidRDefault="00F60C9C" w:rsidP="000924DE">
      <w:pPr>
        <w:pStyle w:val="Heading2"/>
      </w:pPr>
      <w:r w:rsidRPr="00A92F9E">
        <w:t xml:space="preserve">The EESC welcomes the proposal </w:t>
      </w:r>
      <w:r w:rsidR="00DF0F9C" w:rsidRPr="00A92F9E">
        <w:t>of the Commission to exempt Member States from the need to comply with thematic concentration</w:t>
      </w:r>
      <w:r w:rsidR="00427874" w:rsidRPr="00A92F9E">
        <w:t xml:space="preserve"> requirements, </w:t>
      </w:r>
      <w:r w:rsidR="009E3205" w:rsidRPr="00A92F9E">
        <w:t>allowing them</w:t>
      </w:r>
      <w:r w:rsidR="00427874" w:rsidRPr="00A92F9E">
        <w:t xml:space="preserve"> the </w:t>
      </w:r>
      <w:r w:rsidR="009E3205" w:rsidRPr="00A92F9E">
        <w:t xml:space="preserve">possibility </w:t>
      </w:r>
      <w:r w:rsidR="00427874" w:rsidRPr="00A92F9E">
        <w:t>to redirect their resources</w:t>
      </w:r>
      <w:r w:rsidR="00E769C8" w:rsidRPr="00A92F9E">
        <w:t xml:space="preserve"> to the areas most impacted by the current crisis.</w:t>
      </w:r>
      <w:r w:rsidR="009E3205" w:rsidRPr="00A92F9E">
        <w:t xml:space="preserve"> </w:t>
      </w:r>
      <w:r w:rsidR="005221A3" w:rsidRPr="00A92F9E">
        <w:t xml:space="preserve">The EESC also </w:t>
      </w:r>
      <w:r w:rsidR="00B860C7" w:rsidRPr="00A92F9E">
        <w:t>welc</w:t>
      </w:r>
      <w:r w:rsidR="008A0EA8" w:rsidRPr="00A92F9E">
        <w:t>omes the provision to allow</w:t>
      </w:r>
      <w:r w:rsidR="00866E1B" w:rsidRPr="00A92F9E">
        <w:t xml:space="preserve"> exceptional e</w:t>
      </w:r>
      <w:r w:rsidR="00B860C7" w:rsidRPr="00A92F9E">
        <w:t xml:space="preserve">xpenditure for completed or fully implemented </w:t>
      </w:r>
      <w:r w:rsidR="001315B0" w:rsidRPr="00A92F9E">
        <w:t xml:space="preserve">operations fostering crisis </w:t>
      </w:r>
      <w:r w:rsidR="001C4AED" w:rsidRPr="00A92F9E">
        <w:t>response capacity in the corona</w:t>
      </w:r>
      <w:r w:rsidR="001315B0" w:rsidRPr="00A92F9E">
        <w:t xml:space="preserve">virus outbreak </w:t>
      </w:r>
      <w:r w:rsidR="00B62730" w:rsidRPr="00A92F9E">
        <w:t>to be</w:t>
      </w:r>
      <w:r w:rsidR="001315B0" w:rsidRPr="00A92F9E">
        <w:t xml:space="preserve"> eligible</w:t>
      </w:r>
      <w:r w:rsidR="00A97285" w:rsidRPr="00A92F9E">
        <w:t>.</w:t>
      </w:r>
    </w:p>
    <w:p w:rsidR="009E3205" w:rsidRPr="00A92F9E" w:rsidRDefault="009E3205" w:rsidP="007D2974"/>
    <w:p w:rsidR="006B396E" w:rsidRPr="00A92F9E" w:rsidRDefault="00795A69" w:rsidP="009F5E71">
      <w:pPr>
        <w:pStyle w:val="Heading2"/>
      </w:pPr>
      <w:r w:rsidRPr="00A92F9E">
        <w:t>The EESC urges the Commission to encourage Member States to eliminate all possible administrative burden</w:t>
      </w:r>
      <w:r w:rsidR="00592AE9" w:rsidRPr="00A92F9E">
        <w:t>,</w:t>
      </w:r>
      <w:r w:rsidR="00786887" w:rsidRPr="00A92F9E">
        <w:t xml:space="preserve"> both on national and European public administration</w:t>
      </w:r>
      <w:r w:rsidR="00592AE9" w:rsidRPr="00A92F9E">
        <w:t>s,</w:t>
      </w:r>
      <w:r w:rsidR="00786887" w:rsidRPr="00A92F9E">
        <w:t xml:space="preserve"> </w:t>
      </w:r>
      <w:r w:rsidR="00A31D67" w:rsidRPr="00A92F9E">
        <w:t xml:space="preserve">so that </w:t>
      </w:r>
      <w:r w:rsidR="00973C4F" w:rsidRPr="00A92F9E">
        <w:t>energy can be</w:t>
      </w:r>
      <w:r w:rsidR="00A31D67" w:rsidRPr="00A92F9E">
        <w:t xml:space="preserve"> </w:t>
      </w:r>
      <w:r w:rsidR="007D66E9" w:rsidRPr="00A92F9E">
        <w:t>focused</w:t>
      </w:r>
      <w:r w:rsidR="00A31D67" w:rsidRPr="00A92F9E">
        <w:t xml:space="preserve"> on </w:t>
      </w:r>
      <w:r w:rsidR="00973C4F" w:rsidRPr="00A92F9E">
        <w:t xml:space="preserve">dealing with </w:t>
      </w:r>
      <w:r w:rsidR="00A31D67" w:rsidRPr="00A92F9E">
        <w:t xml:space="preserve">the </w:t>
      </w:r>
      <w:r w:rsidR="00973C4F" w:rsidRPr="00A92F9E">
        <w:t>problems relat</w:t>
      </w:r>
      <w:r w:rsidR="000A019F" w:rsidRPr="00A92F9E">
        <w:t>ing</w:t>
      </w:r>
      <w:r w:rsidR="00973C4F" w:rsidRPr="00A92F9E">
        <w:t xml:space="preserve"> to the </w:t>
      </w:r>
      <w:r w:rsidR="00A31D67" w:rsidRPr="00A92F9E">
        <w:t xml:space="preserve">epidemic. In this context, </w:t>
      </w:r>
      <w:r w:rsidR="00592AE9" w:rsidRPr="00A92F9E">
        <w:t>t</w:t>
      </w:r>
      <w:r w:rsidR="006B396E" w:rsidRPr="00A92F9E">
        <w:t xml:space="preserve">he EESC also stresses the need </w:t>
      </w:r>
      <w:r w:rsidR="00B70168" w:rsidRPr="00A92F9E">
        <w:t>to</w:t>
      </w:r>
      <w:r w:rsidR="006B396E" w:rsidRPr="00A92F9E">
        <w:t xml:space="preserve"> </w:t>
      </w:r>
      <w:r w:rsidR="000A019F" w:rsidRPr="00A92F9E">
        <w:t xml:space="preserve">more actively </w:t>
      </w:r>
      <w:r w:rsidR="006B396E" w:rsidRPr="00A92F9E">
        <w:t>involve</w:t>
      </w:r>
      <w:r w:rsidR="00AF735F" w:rsidRPr="00A92F9E">
        <w:t xml:space="preserve"> </w:t>
      </w:r>
      <w:r w:rsidR="006B396E" w:rsidRPr="00A92F9E">
        <w:t xml:space="preserve">the social partners at </w:t>
      </w:r>
      <w:r w:rsidR="00B70168" w:rsidRPr="00A92F9E">
        <w:t xml:space="preserve">EU </w:t>
      </w:r>
      <w:r w:rsidR="006B396E" w:rsidRPr="00A92F9E">
        <w:t xml:space="preserve">and national level, as well as relevant civil society </w:t>
      </w:r>
      <w:r w:rsidR="00B70168" w:rsidRPr="00A92F9E">
        <w:t>organisations</w:t>
      </w:r>
      <w:r w:rsidR="006B396E" w:rsidRPr="00A92F9E">
        <w:t>, to ensure the effective management of the COVID-19 crisis.</w:t>
      </w:r>
    </w:p>
    <w:p w:rsidR="00A15B01" w:rsidRPr="00A92F9E" w:rsidRDefault="00A15B01" w:rsidP="007D2974"/>
    <w:p w:rsidR="009F5E71" w:rsidRPr="00A92F9E" w:rsidRDefault="00C95C08" w:rsidP="007D2974">
      <w:pPr>
        <w:pStyle w:val="Heading2"/>
      </w:pPr>
      <w:r w:rsidRPr="00A92F9E">
        <w:lastRenderedPageBreak/>
        <w:t>The EESC</w:t>
      </w:r>
      <w:r w:rsidR="00924BE5" w:rsidRPr="00A92F9E">
        <w:t xml:space="preserve"> </w:t>
      </w:r>
      <w:r w:rsidR="00351F3E" w:rsidRPr="00A92F9E">
        <w:t>acknowledges</w:t>
      </w:r>
      <w:r w:rsidR="0079792C" w:rsidRPr="00A92F9E">
        <w:t xml:space="preserve"> that all possible measures should be taken under the current </w:t>
      </w:r>
      <w:r w:rsidR="00592AE9" w:rsidRPr="00A92F9E">
        <w:t>m</w:t>
      </w:r>
      <w:r w:rsidR="00973C4F" w:rsidRPr="00A92F9E">
        <w:t>ultiannual financial framework (</w:t>
      </w:r>
      <w:r w:rsidR="0079792C" w:rsidRPr="00A92F9E">
        <w:t>MFF</w:t>
      </w:r>
      <w:r w:rsidR="00973C4F" w:rsidRPr="00A92F9E">
        <w:t>)</w:t>
      </w:r>
      <w:r w:rsidR="0079792C" w:rsidRPr="00A92F9E">
        <w:t xml:space="preserve"> (2014-2020). </w:t>
      </w:r>
      <w:r w:rsidR="00EC71E7" w:rsidRPr="00A92F9E">
        <w:t>In this context</w:t>
      </w:r>
      <w:r w:rsidR="00592AE9" w:rsidRPr="00A92F9E">
        <w:t>,</w:t>
      </w:r>
      <w:r w:rsidR="00536393" w:rsidRPr="00A92F9E">
        <w:t xml:space="preserve"> the Committee agrees with the intention of the Commission to amend the </w:t>
      </w:r>
      <w:r w:rsidR="00592AE9" w:rsidRPr="00A92F9E">
        <w:t>MFF Regulation so that the flexibility i</w:t>
      </w:r>
      <w:r w:rsidR="00784658" w:rsidRPr="00A92F9E">
        <w:t xml:space="preserve">nstrument and the </w:t>
      </w:r>
      <w:r w:rsidR="00592AE9" w:rsidRPr="00A92F9E">
        <w:t>c</w:t>
      </w:r>
      <w:r w:rsidR="007D66E9" w:rsidRPr="00A92F9E">
        <w:t>ontingency</w:t>
      </w:r>
      <w:r w:rsidR="00592AE9" w:rsidRPr="00A92F9E">
        <w:t xml:space="preserve"> m</w:t>
      </w:r>
      <w:r w:rsidR="00784658" w:rsidRPr="00A92F9E">
        <w:t xml:space="preserve">argin can </w:t>
      </w:r>
      <w:r w:rsidR="006D167A" w:rsidRPr="00A92F9E">
        <w:t>be used for dealing with the epidemic.</w:t>
      </w:r>
    </w:p>
    <w:p w:rsidR="00AE1D13" w:rsidRPr="00A92F9E" w:rsidRDefault="00AE1D13" w:rsidP="00AE1D13"/>
    <w:p w:rsidR="00F56B64" w:rsidRPr="00A92F9E" w:rsidRDefault="00F56B64" w:rsidP="00F56B64">
      <w:pPr>
        <w:pStyle w:val="Heading2"/>
      </w:pPr>
      <w:r w:rsidRPr="00A92F9E">
        <w:t xml:space="preserve">The EESC urges the Commission to develop and propose to </w:t>
      </w:r>
      <w:r w:rsidR="00592AE9" w:rsidRPr="00A92F9E">
        <w:t>the other EU institutions a EU recovery p</w:t>
      </w:r>
      <w:r w:rsidR="001948CD" w:rsidRPr="00A92F9E">
        <w:t>lan</w:t>
      </w:r>
      <w:r w:rsidRPr="00A92F9E">
        <w:t xml:space="preserve"> commensurate </w:t>
      </w:r>
      <w:r w:rsidR="00592AE9" w:rsidRPr="00A92F9E">
        <w:t>with</w:t>
      </w:r>
      <w:r w:rsidRPr="00A92F9E">
        <w:t xml:space="preserve"> the needs</w:t>
      </w:r>
      <w:r w:rsidR="00592AE9" w:rsidRPr="00A92F9E">
        <w:t xml:space="preserve"> and</w:t>
      </w:r>
      <w:r w:rsidRPr="00A92F9E">
        <w:t xml:space="preserve"> in line with the EU</w:t>
      </w:r>
      <w:r w:rsidR="00592AE9" w:rsidRPr="00A92F9E">
        <w:t>'s</w:t>
      </w:r>
      <w:r w:rsidRPr="00A92F9E">
        <w:t xml:space="preserve"> priorities, using all the program</w:t>
      </w:r>
      <w:r w:rsidR="00592AE9" w:rsidRPr="00A92F9E">
        <w:t>me</w:t>
      </w:r>
      <w:r w:rsidRPr="00A92F9E">
        <w:t xml:space="preserve">s of a revised MFF 2021-2027, adding new innovative financial tools, incorporating both European own resources as well </w:t>
      </w:r>
      <w:r w:rsidR="00592AE9" w:rsidRPr="00A92F9E">
        <w:t>as national contributions, t</w:t>
      </w:r>
      <w:r w:rsidRPr="00A92F9E">
        <w:t>hrough investments to support businesses</w:t>
      </w:r>
      <w:r w:rsidR="009B74CF" w:rsidRPr="00A92F9E">
        <w:t>,</w:t>
      </w:r>
      <w:r w:rsidRPr="00A92F9E">
        <w:t xml:space="preserve"> </w:t>
      </w:r>
      <w:r w:rsidR="002A055D" w:rsidRPr="00A92F9E">
        <w:t xml:space="preserve">to defend employment </w:t>
      </w:r>
      <w:r w:rsidRPr="00A92F9E">
        <w:t xml:space="preserve">and </w:t>
      </w:r>
      <w:r w:rsidR="0089575D" w:rsidRPr="00A92F9E">
        <w:t xml:space="preserve">to boost </w:t>
      </w:r>
      <w:r w:rsidR="00592AE9" w:rsidRPr="00A92F9E">
        <w:t xml:space="preserve">the creation of </w:t>
      </w:r>
      <w:r w:rsidRPr="00A92F9E">
        <w:t>high quality job</w:t>
      </w:r>
      <w:r w:rsidR="00592AE9" w:rsidRPr="00A92F9E">
        <w:t xml:space="preserve">s, in order </w:t>
      </w:r>
      <w:r w:rsidRPr="00A92F9E">
        <w:t xml:space="preserve">to overcome the effects </w:t>
      </w:r>
      <w:r w:rsidR="00592AE9" w:rsidRPr="00A92F9E">
        <w:t xml:space="preserve">of </w:t>
      </w:r>
      <w:r w:rsidR="000A019F" w:rsidRPr="00A92F9E">
        <w:t>COVID-19</w:t>
      </w:r>
      <w:r w:rsidR="00592AE9" w:rsidRPr="00A92F9E">
        <w:t xml:space="preserve"> </w:t>
      </w:r>
      <w:r w:rsidRPr="00A92F9E">
        <w:t>on our societies and economies.</w:t>
      </w:r>
    </w:p>
    <w:p w:rsidR="00F56B64" w:rsidRPr="00A92F9E" w:rsidRDefault="00F56B64" w:rsidP="00AE1D13"/>
    <w:p w:rsidR="006B396E" w:rsidRPr="00A92F9E" w:rsidRDefault="006B396E" w:rsidP="00210A68">
      <w:pPr>
        <w:pStyle w:val="Heading2"/>
      </w:pPr>
      <w:r w:rsidRPr="00A92F9E">
        <w:t xml:space="preserve">The EESC calls upon the Council and the European Parliament to swiftly </w:t>
      </w:r>
      <w:r w:rsidR="000924DE" w:rsidRPr="00A92F9E">
        <w:t xml:space="preserve">approve </w:t>
      </w:r>
      <w:r w:rsidRPr="00A92F9E">
        <w:t xml:space="preserve">the Regulation so that it can be adopted as soon as possible. The </w:t>
      </w:r>
      <w:r w:rsidR="000924DE" w:rsidRPr="00A92F9E">
        <w:t xml:space="preserve">scale </w:t>
      </w:r>
      <w:r w:rsidRPr="00A92F9E">
        <w:t>of the challenge requires a collective and more coordinated response.</w:t>
      </w:r>
    </w:p>
    <w:p w:rsidR="006B396E" w:rsidRPr="00A92F9E" w:rsidRDefault="006B396E" w:rsidP="006B396E"/>
    <w:p w:rsidR="006B396E" w:rsidRPr="00A92F9E" w:rsidRDefault="006B396E" w:rsidP="009A68F7">
      <w:pPr>
        <w:pStyle w:val="Heading1"/>
        <w:keepNext/>
        <w:keepLines/>
      </w:pPr>
      <w:r w:rsidRPr="00A92F9E">
        <w:rPr>
          <w:b/>
        </w:rPr>
        <w:t>General comments</w:t>
      </w:r>
    </w:p>
    <w:p w:rsidR="006B396E" w:rsidRPr="00A92F9E" w:rsidRDefault="006B396E" w:rsidP="009A68F7">
      <w:pPr>
        <w:keepNext/>
        <w:keepLines/>
      </w:pPr>
    </w:p>
    <w:p w:rsidR="006B396E" w:rsidRPr="00A92F9E" w:rsidRDefault="006B396E" w:rsidP="00EC6A9F">
      <w:pPr>
        <w:pStyle w:val="Heading2"/>
      </w:pPr>
      <w:r w:rsidRPr="00A92F9E">
        <w:t xml:space="preserve">The </w:t>
      </w:r>
      <w:r w:rsidR="000924DE" w:rsidRPr="00A92F9E">
        <w:t xml:space="preserve">COVID-19 </w:t>
      </w:r>
      <w:r w:rsidRPr="00A92F9E">
        <w:t xml:space="preserve">crisis has affected the EU and many parts of the world in a sudden and dramatic manner, with a major potential impact on </w:t>
      </w:r>
      <w:r w:rsidR="00F54F14" w:rsidRPr="00A92F9E">
        <w:t>EU citizens</w:t>
      </w:r>
      <w:r w:rsidRPr="00A92F9E">
        <w:t xml:space="preserve">, the common market, health and social systems and </w:t>
      </w:r>
      <w:r w:rsidR="000924DE" w:rsidRPr="00A92F9E">
        <w:t xml:space="preserve">the </w:t>
      </w:r>
      <w:r w:rsidRPr="00A92F9E">
        <w:t xml:space="preserve">economy. It </w:t>
      </w:r>
      <w:r w:rsidR="00551527" w:rsidRPr="00A92F9E">
        <w:t xml:space="preserve">is </w:t>
      </w:r>
      <w:r w:rsidRPr="00A92F9E">
        <w:t>hamper</w:t>
      </w:r>
      <w:r w:rsidR="00551527" w:rsidRPr="00A92F9E">
        <w:t>ing</w:t>
      </w:r>
      <w:r w:rsidRPr="00A92F9E">
        <w:t xml:space="preserve"> the </w:t>
      </w:r>
      <w:r w:rsidR="000924DE" w:rsidRPr="00A92F9E">
        <w:t>sustainability</w:t>
      </w:r>
      <w:r w:rsidRPr="00A92F9E">
        <w:t xml:space="preserve"> </w:t>
      </w:r>
      <w:r w:rsidR="00F54F14" w:rsidRPr="00A92F9E">
        <w:t xml:space="preserve">of these systems </w:t>
      </w:r>
      <w:r w:rsidRPr="00A92F9E">
        <w:t>and lead</w:t>
      </w:r>
      <w:r w:rsidR="00551527" w:rsidRPr="00A92F9E">
        <w:t>ing</w:t>
      </w:r>
      <w:r w:rsidRPr="00A92F9E">
        <w:t xml:space="preserve"> to liquidity constraints as businesses struggle to pay their suppliers and employees.</w:t>
      </w:r>
    </w:p>
    <w:p w:rsidR="006B396E" w:rsidRPr="00A92F9E" w:rsidRDefault="006B396E" w:rsidP="006B396E"/>
    <w:p w:rsidR="006B396E" w:rsidRPr="00A92F9E" w:rsidRDefault="006B396E" w:rsidP="00355D16">
      <w:pPr>
        <w:pStyle w:val="Heading2"/>
      </w:pPr>
      <w:r w:rsidRPr="00A92F9E">
        <w:t xml:space="preserve">The EESC fully agrees that this crisis has created an exceptional situation </w:t>
      </w:r>
      <w:r w:rsidR="00551527" w:rsidRPr="00A92F9E">
        <w:t xml:space="preserve">that </w:t>
      </w:r>
      <w:r w:rsidR="00A15B01" w:rsidRPr="00A92F9E">
        <w:t xml:space="preserve">urgently </w:t>
      </w:r>
      <w:r w:rsidRPr="00A92F9E">
        <w:t>needs to be addressed with specific measures to support and protect Member States</w:t>
      </w:r>
      <w:r w:rsidR="00F54F14" w:rsidRPr="00A92F9E">
        <w:t>'</w:t>
      </w:r>
      <w:r w:rsidRPr="00A92F9E">
        <w:t xml:space="preserve"> economies,</w:t>
      </w:r>
      <w:r w:rsidR="00F54F14" w:rsidRPr="00A92F9E">
        <w:t xml:space="preserve"> businesses </w:t>
      </w:r>
      <w:r w:rsidRPr="00A92F9E">
        <w:t>and workers.</w:t>
      </w:r>
      <w:r w:rsidR="00503E91" w:rsidRPr="00A92F9E">
        <w:t xml:space="preserve"> </w:t>
      </w:r>
      <w:r w:rsidR="009A64D3" w:rsidRPr="00A92F9E">
        <w:t xml:space="preserve">The second </w:t>
      </w:r>
      <w:r w:rsidR="005A110D" w:rsidRPr="00A92F9E">
        <w:t xml:space="preserve">package </w:t>
      </w:r>
      <w:r w:rsidR="009A64D3" w:rsidRPr="00A92F9E">
        <w:t xml:space="preserve">of measures is essential </w:t>
      </w:r>
      <w:r w:rsidR="005A110D" w:rsidRPr="00A92F9E">
        <w:t>and necessary</w:t>
      </w:r>
      <w:r w:rsidR="00355D16" w:rsidRPr="00A92F9E">
        <w:t>, even though not yet sufficient,</w:t>
      </w:r>
      <w:r w:rsidR="005A110D" w:rsidRPr="00A92F9E">
        <w:t xml:space="preserve"> </w:t>
      </w:r>
      <w:r w:rsidR="009A64D3" w:rsidRPr="00A92F9E">
        <w:t xml:space="preserve">in order to tackle the extraordinary situation </w:t>
      </w:r>
      <w:r w:rsidR="00973C4F" w:rsidRPr="00A92F9E">
        <w:t xml:space="preserve">created by </w:t>
      </w:r>
      <w:r w:rsidR="009A64D3" w:rsidRPr="00A92F9E">
        <w:t>the COVID</w:t>
      </w:r>
      <w:r w:rsidR="005A110D" w:rsidRPr="00A92F9E">
        <w:t>-19</w:t>
      </w:r>
      <w:r w:rsidR="00592AE9" w:rsidRPr="00A92F9E">
        <w:t xml:space="preserve"> outbreak</w:t>
      </w:r>
      <w:r w:rsidR="005A110D" w:rsidRPr="00A92F9E">
        <w:t>.</w:t>
      </w:r>
    </w:p>
    <w:p w:rsidR="006B6DDB" w:rsidRPr="00A92F9E" w:rsidRDefault="006B6DDB" w:rsidP="006B6DDB"/>
    <w:p w:rsidR="00CF4035" w:rsidRPr="00A92F9E" w:rsidRDefault="00D408A3" w:rsidP="007D2974">
      <w:pPr>
        <w:pStyle w:val="Heading2"/>
      </w:pPr>
      <w:r w:rsidRPr="00A92F9E">
        <w:t xml:space="preserve">The </w:t>
      </w:r>
      <w:r w:rsidR="00CF4035" w:rsidRPr="00A92F9E">
        <w:t>EESC welcomes the postponement of all procedural requirements</w:t>
      </w:r>
      <w:r w:rsidR="00367DD7" w:rsidRPr="00A92F9E">
        <w:t xml:space="preserve"> linked to the deadlines for sub</w:t>
      </w:r>
      <w:r w:rsidR="003761C7" w:rsidRPr="00A92F9E">
        <w:t xml:space="preserve">mission of annual implementation reports in 2020 as well as the deadline for Commission reports based on those. The EESC also </w:t>
      </w:r>
      <w:r w:rsidR="00167F78" w:rsidRPr="00A92F9E">
        <w:t xml:space="preserve">suggests that all audits and financial instruments be </w:t>
      </w:r>
      <w:r w:rsidR="00DD128E" w:rsidRPr="00A92F9E">
        <w:t xml:space="preserve">simplified in order to provide an effective response to the COVID-19 </w:t>
      </w:r>
      <w:r w:rsidRPr="00A92F9E">
        <w:t>outbreak.</w:t>
      </w:r>
    </w:p>
    <w:p w:rsidR="006B396E" w:rsidRPr="00A92F9E" w:rsidRDefault="006B396E" w:rsidP="006B396E"/>
    <w:p w:rsidR="006B396E" w:rsidRPr="00A92F9E" w:rsidRDefault="006B396E" w:rsidP="00210A68">
      <w:pPr>
        <w:pStyle w:val="Heading2"/>
      </w:pPr>
      <w:r w:rsidRPr="00A92F9E">
        <w:t xml:space="preserve">The EESC urges the Commission to </w:t>
      </w:r>
      <w:r w:rsidR="00F54F14" w:rsidRPr="00A92F9E">
        <w:t xml:space="preserve">examine </w:t>
      </w:r>
      <w:r w:rsidRPr="00A92F9E">
        <w:t xml:space="preserve">all the additional funds and </w:t>
      </w:r>
      <w:r w:rsidR="00A15B01" w:rsidRPr="00A92F9E">
        <w:t xml:space="preserve">to </w:t>
      </w:r>
      <w:r w:rsidRPr="00A92F9E">
        <w:t xml:space="preserve">also explore other </w:t>
      </w:r>
      <w:r w:rsidR="00F54F14" w:rsidRPr="00A92F9E">
        <w:t xml:space="preserve">potential funding options </w:t>
      </w:r>
      <w:r w:rsidR="00973C4F" w:rsidRPr="00A92F9E">
        <w:t xml:space="preserve">to </w:t>
      </w:r>
      <w:r w:rsidR="00F54F14" w:rsidRPr="00A92F9E">
        <w:t xml:space="preserve">meet </w:t>
      </w:r>
      <w:r w:rsidRPr="00A92F9E">
        <w:t>the</w:t>
      </w:r>
      <w:r w:rsidR="00F54F14" w:rsidRPr="00A92F9E">
        <w:t xml:space="preserve"> </w:t>
      </w:r>
      <w:r w:rsidR="00467DD1" w:rsidRPr="00A92F9E">
        <w:t xml:space="preserve">urgent </w:t>
      </w:r>
      <w:r w:rsidR="00F54F14" w:rsidRPr="00A92F9E">
        <w:t>economic</w:t>
      </w:r>
      <w:r w:rsidRPr="00A92F9E">
        <w:t xml:space="preserve"> needs</w:t>
      </w:r>
      <w:r w:rsidR="00F54F14" w:rsidRPr="00A92F9E">
        <w:t xml:space="preserve"> in order </w:t>
      </w:r>
      <w:r w:rsidRPr="00A92F9E">
        <w:t xml:space="preserve">to </w:t>
      </w:r>
      <w:r w:rsidR="00F54F14" w:rsidRPr="00A92F9E">
        <w:t xml:space="preserve">tackle </w:t>
      </w:r>
      <w:r w:rsidRPr="00A92F9E">
        <w:t>the crisis immediately.</w:t>
      </w:r>
      <w:r w:rsidR="009C2080" w:rsidRPr="00A92F9E">
        <w:t xml:space="preserve"> All measures from the second package</w:t>
      </w:r>
      <w:r w:rsidR="00214966" w:rsidRPr="00A92F9E">
        <w:t xml:space="preserve"> of the Commission </w:t>
      </w:r>
      <w:r w:rsidR="00514C07" w:rsidRPr="00A92F9E">
        <w:t xml:space="preserve">are on the right </w:t>
      </w:r>
      <w:r w:rsidR="00973C4F" w:rsidRPr="00A92F9E">
        <w:t xml:space="preserve">track </w:t>
      </w:r>
      <w:r w:rsidR="00514C07" w:rsidRPr="00A92F9E">
        <w:t>to</w:t>
      </w:r>
      <w:r w:rsidR="002B294C" w:rsidRPr="00A92F9E">
        <w:t>wards</w:t>
      </w:r>
      <w:r w:rsidR="00514C07" w:rsidRPr="00A92F9E">
        <w:t xml:space="preserve"> </w:t>
      </w:r>
      <w:r w:rsidR="00973C4F" w:rsidRPr="00A92F9E">
        <w:t xml:space="preserve">ensuring </w:t>
      </w:r>
      <w:r w:rsidR="00514C07" w:rsidRPr="00A92F9E">
        <w:t xml:space="preserve">the necessary flexibility </w:t>
      </w:r>
      <w:r w:rsidR="00FE4E03" w:rsidRPr="00A92F9E">
        <w:t>related to</w:t>
      </w:r>
      <w:r w:rsidR="002B294C" w:rsidRPr="00A92F9E">
        <w:t xml:space="preserve"> the</w:t>
      </w:r>
      <w:r w:rsidR="00FE4E03" w:rsidRPr="00A92F9E">
        <w:t xml:space="preserve"> </w:t>
      </w:r>
      <w:r w:rsidR="007D66E9" w:rsidRPr="00A92F9E">
        <w:t>COVID</w:t>
      </w:r>
      <w:r w:rsidR="00FE4E03" w:rsidRPr="00A92F9E">
        <w:t>-19</w:t>
      </w:r>
      <w:r w:rsidR="00273C53" w:rsidRPr="00A92F9E">
        <w:t xml:space="preserve"> outbreak.</w:t>
      </w:r>
    </w:p>
    <w:p w:rsidR="006B396E" w:rsidRPr="00A92F9E" w:rsidRDefault="006B396E" w:rsidP="006B396E"/>
    <w:p w:rsidR="00DF0A0E" w:rsidRPr="00A92F9E" w:rsidRDefault="006B15F0" w:rsidP="00274886">
      <w:pPr>
        <w:pStyle w:val="Heading2"/>
      </w:pPr>
      <w:r w:rsidRPr="00A92F9E">
        <w:t>T</w:t>
      </w:r>
      <w:r w:rsidR="006B396E" w:rsidRPr="00A92F9E">
        <w:t xml:space="preserve">o avoid a further investment gap and </w:t>
      </w:r>
      <w:r w:rsidRPr="00A92F9E">
        <w:t xml:space="preserve">the resulting </w:t>
      </w:r>
      <w:r w:rsidR="006B396E" w:rsidRPr="00A92F9E">
        <w:t xml:space="preserve">negative consequences following </w:t>
      </w:r>
      <w:r w:rsidR="002D4197" w:rsidRPr="00A92F9E">
        <w:t xml:space="preserve">the </w:t>
      </w:r>
      <w:r w:rsidR="006B396E" w:rsidRPr="00A92F9E">
        <w:t>late take</w:t>
      </w:r>
      <w:r w:rsidRPr="00A92F9E">
        <w:t>-</w:t>
      </w:r>
      <w:r w:rsidR="006B396E" w:rsidRPr="00A92F9E">
        <w:t>up of the spending programmes of the upcoming</w:t>
      </w:r>
      <w:r w:rsidR="002D4197" w:rsidRPr="00A92F9E">
        <w:t xml:space="preserve"> 2021-2027</w:t>
      </w:r>
      <w:r w:rsidR="006B396E" w:rsidRPr="00A92F9E">
        <w:t xml:space="preserve"> MFF, the EESC calls for swift adoption of </w:t>
      </w:r>
      <w:r w:rsidR="00FD25DC" w:rsidRPr="00A92F9E">
        <w:t>the new financial framework</w:t>
      </w:r>
      <w:r w:rsidR="00866E1B" w:rsidRPr="00A92F9E">
        <w:t xml:space="preserve">, which should nevertheless be adapted to the new </w:t>
      </w:r>
      <w:r w:rsidR="00274886" w:rsidRPr="00A92F9E">
        <w:t>circumstances</w:t>
      </w:r>
      <w:r w:rsidR="00FD25DC" w:rsidRPr="00A92F9E">
        <w:t xml:space="preserve">. </w:t>
      </w:r>
      <w:r w:rsidR="00DF0A0E" w:rsidRPr="00A92F9E">
        <w:t xml:space="preserve">As for the current MFF, the </w:t>
      </w:r>
      <w:r w:rsidR="0051485E" w:rsidRPr="00A92F9E">
        <w:t>Committee</w:t>
      </w:r>
      <w:r w:rsidR="00DF0A0E" w:rsidRPr="00A92F9E">
        <w:t xml:space="preserve"> asks the Commission to explore all possible ways </w:t>
      </w:r>
      <w:r w:rsidR="00467DD1" w:rsidRPr="00A92F9E">
        <w:t xml:space="preserve">of finding </w:t>
      </w:r>
      <w:r w:rsidR="0051485E" w:rsidRPr="00A92F9E">
        <w:t xml:space="preserve">resources so that Member States can </w:t>
      </w:r>
      <w:r w:rsidR="00A910B5" w:rsidRPr="00A92F9E">
        <w:t>better</w:t>
      </w:r>
      <w:r w:rsidR="0051485E" w:rsidRPr="00A92F9E">
        <w:t xml:space="preserve"> deal with the </w:t>
      </w:r>
      <w:r w:rsidR="001B3B31" w:rsidRPr="00A92F9E">
        <w:t>exceptional situation.</w:t>
      </w:r>
    </w:p>
    <w:p w:rsidR="001B3B31" w:rsidRPr="00A92F9E" w:rsidRDefault="001B3B31" w:rsidP="001B3B31"/>
    <w:p w:rsidR="001B3B31" w:rsidRPr="00A92F9E" w:rsidRDefault="001B3B31" w:rsidP="007D2974">
      <w:pPr>
        <w:pStyle w:val="Heading2"/>
      </w:pPr>
      <w:r w:rsidRPr="00A92F9E">
        <w:lastRenderedPageBreak/>
        <w:t xml:space="preserve">In this </w:t>
      </w:r>
      <w:r w:rsidR="00A910B5" w:rsidRPr="00A92F9E">
        <w:t>context</w:t>
      </w:r>
      <w:r w:rsidRPr="00A92F9E">
        <w:t xml:space="preserve">, </w:t>
      </w:r>
      <w:r w:rsidR="00A910B5" w:rsidRPr="00A92F9E">
        <w:t xml:space="preserve">the </w:t>
      </w:r>
      <w:r w:rsidRPr="00A92F9E">
        <w:t xml:space="preserve">EESC agrees with </w:t>
      </w:r>
      <w:r w:rsidR="00B13747" w:rsidRPr="00A92F9E">
        <w:t>the Commission</w:t>
      </w:r>
      <w:r w:rsidR="001C4AED" w:rsidRPr="00A92F9E">
        <w:t>'</w:t>
      </w:r>
      <w:r w:rsidR="00B13747" w:rsidRPr="00A92F9E">
        <w:t xml:space="preserve">s proposal to </w:t>
      </w:r>
      <w:r w:rsidR="009B2110" w:rsidRPr="00A92F9E">
        <w:t>amend the current MFF Regulation</w:t>
      </w:r>
      <w:r w:rsidR="006567D6" w:rsidRPr="00A92F9E">
        <w:t xml:space="preserve"> in order to remove the limitations </w:t>
      </w:r>
      <w:r w:rsidR="001C4AED" w:rsidRPr="00A92F9E">
        <w:t>in the scope of the g</w:t>
      </w:r>
      <w:r w:rsidR="006567D6" w:rsidRPr="00A92F9E">
        <w:t xml:space="preserve">lobal </w:t>
      </w:r>
      <w:r w:rsidR="001C4AED" w:rsidRPr="00A92F9E">
        <w:t>m</w:t>
      </w:r>
      <w:r w:rsidR="006567D6" w:rsidRPr="00A92F9E">
        <w:t xml:space="preserve">argin for </w:t>
      </w:r>
      <w:r w:rsidR="001C4AED" w:rsidRPr="00A92F9E">
        <w:t>c</w:t>
      </w:r>
      <w:r w:rsidR="006567D6" w:rsidRPr="00A92F9E">
        <w:t>ommitments</w:t>
      </w:r>
      <w:r w:rsidR="00316AF2" w:rsidRPr="00A92F9E">
        <w:t xml:space="preserve"> so as to allow </w:t>
      </w:r>
      <w:r w:rsidR="001C4AED" w:rsidRPr="00A92F9E">
        <w:t xml:space="preserve">for </w:t>
      </w:r>
      <w:r w:rsidR="00316AF2" w:rsidRPr="00A92F9E">
        <w:t>the full financing of the EUR 3</w:t>
      </w:r>
      <w:r w:rsidR="001C4AED" w:rsidRPr="00A92F9E">
        <w:t>.</w:t>
      </w:r>
      <w:r w:rsidR="00316AF2" w:rsidRPr="00A92F9E">
        <w:t xml:space="preserve">0 billion for the </w:t>
      </w:r>
      <w:r w:rsidR="007D66E9" w:rsidRPr="00A92F9E">
        <w:t xml:space="preserve">COVID-19 </w:t>
      </w:r>
      <w:r w:rsidR="007C6162" w:rsidRPr="00A92F9E">
        <w:t xml:space="preserve">outbreak response proposed </w:t>
      </w:r>
      <w:r w:rsidR="00EB54E1" w:rsidRPr="00A92F9E">
        <w:t xml:space="preserve">in the draft amending budget </w:t>
      </w:r>
      <w:r w:rsidR="00C175B1" w:rsidRPr="00A92F9E">
        <w:t>No 2/2020 presented by the Commission.</w:t>
      </w:r>
    </w:p>
    <w:p w:rsidR="00DF0A0E" w:rsidRPr="00A92F9E" w:rsidRDefault="00DF0A0E" w:rsidP="00DF0A0E"/>
    <w:p w:rsidR="00DF0A0E" w:rsidRPr="00A92F9E" w:rsidRDefault="00FF1B0D" w:rsidP="007D2974">
      <w:pPr>
        <w:pStyle w:val="Heading2"/>
      </w:pPr>
      <w:r w:rsidRPr="00A92F9E">
        <w:t xml:space="preserve">The EESC </w:t>
      </w:r>
      <w:r w:rsidR="001C4AED" w:rsidRPr="00A92F9E">
        <w:t>calls for</w:t>
      </w:r>
      <w:r w:rsidRPr="00A92F9E">
        <w:t xml:space="preserve"> maximum flexibility at all levels from the beginning </w:t>
      </w:r>
      <w:r w:rsidR="000748D9" w:rsidRPr="00A92F9E">
        <w:t xml:space="preserve">until the closure of programmes in order to ensure </w:t>
      </w:r>
      <w:r w:rsidR="000B443D" w:rsidRPr="00A92F9E">
        <w:t xml:space="preserve">that </w:t>
      </w:r>
      <w:r w:rsidR="00866E1B" w:rsidRPr="00A92F9E">
        <w:t xml:space="preserve">the </w:t>
      </w:r>
      <w:r w:rsidR="000B443D" w:rsidRPr="00A92F9E">
        <w:t xml:space="preserve">available resources are used to the </w:t>
      </w:r>
      <w:r w:rsidR="00A910B5" w:rsidRPr="00A92F9E">
        <w:t xml:space="preserve">greatest </w:t>
      </w:r>
      <w:r w:rsidR="000B443D" w:rsidRPr="00A92F9E">
        <w:t>exten</w:t>
      </w:r>
      <w:r w:rsidR="00A910B5" w:rsidRPr="00A92F9E">
        <w:t>t possible</w:t>
      </w:r>
      <w:r w:rsidR="000B443D" w:rsidRPr="00A92F9E">
        <w:t>.</w:t>
      </w:r>
    </w:p>
    <w:p w:rsidR="006B396E" w:rsidRPr="00A92F9E" w:rsidRDefault="006B396E" w:rsidP="006B396E"/>
    <w:p w:rsidR="006B396E" w:rsidRPr="00A92F9E" w:rsidRDefault="006B396E" w:rsidP="00210A68">
      <w:pPr>
        <w:pStyle w:val="Heading2"/>
      </w:pPr>
      <w:r w:rsidRPr="00A92F9E">
        <w:t xml:space="preserve">Since the </w:t>
      </w:r>
      <w:r w:rsidR="00606E75" w:rsidRPr="00A92F9E">
        <w:t>EU</w:t>
      </w:r>
      <w:r w:rsidRPr="00A92F9E">
        <w:t xml:space="preserve"> </w:t>
      </w:r>
      <w:r w:rsidR="001C4AED" w:rsidRPr="00A92F9E">
        <w:t xml:space="preserve">is </w:t>
      </w:r>
      <w:r w:rsidRPr="00A92F9E">
        <w:t>fac</w:t>
      </w:r>
      <w:r w:rsidR="001C4AED" w:rsidRPr="00A92F9E">
        <w:t>ing</w:t>
      </w:r>
      <w:r w:rsidRPr="00A92F9E">
        <w:t xml:space="preserve"> an unprecedented crisis, an unprecedented response is required. The proposal must be adopted as soo</w:t>
      </w:r>
      <w:r w:rsidR="000B443D" w:rsidRPr="00A92F9E">
        <w:t xml:space="preserve">n as possible so that the resources </w:t>
      </w:r>
      <w:r w:rsidRPr="00A92F9E">
        <w:t>can be used in the most</w:t>
      </w:r>
      <w:r w:rsidR="007476CA" w:rsidRPr="00A92F9E">
        <w:t xml:space="preserve"> flexible and</w:t>
      </w:r>
      <w:r w:rsidRPr="00A92F9E">
        <w:t xml:space="preserve"> effective way to address the </w:t>
      </w:r>
      <w:r w:rsidR="00351F3E" w:rsidRPr="00A92F9E">
        <w:t xml:space="preserve">mass </w:t>
      </w:r>
      <w:r w:rsidRPr="00A92F9E">
        <w:t xml:space="preserve">impact </w:t>
      </w:r>
      <w:r w:rsidR="00606E75" w:rsidRPr="00A92F9E">
        <w:t>that COVID-19 is having</w:t>
      </w:r>
      <w:r w:rsidR="001948CD" w:rsidRPr="00A92F9E">
        <w:t xml:space="preserve"> </w:t>
      </w:r>
      <w:r w:rsidRPr="00A92F9E">
        <w:t xml:space="preserve">and will continue to </w:t>
      </w:r>
      <w:r w:rsidR="00606E75" w:rsidRPr="00A92F9E">
        <w:t>have</w:t>
      </w:r>
      <w:r w:rsidRPr="00A92F9E">
        <w:t>.</w:t>
      </w:r>
    </w:p>
    <w:p w:rsidR="00AE1D13" w:rsidRPr="00A92F9E" w:rsidRDefault="00AE1D13" w:rsidP="00AE1D13"/>
    <w:p w:rsidR="00AE1D13" w:rsidRPr="00A92F9E" w:rsidRDefault="00AE1D13" w:rsidP="00AE1D13"/>
    <w:p w:rsidR="00B32D10" w:rsidRPr="00A92F9E" w:rsidRDefault="00B32D10" w:rsidP="00AF4606">
      <w:pPr>
        <w:tabs>
          <w:tab w:val="left" w:pos="4621"/>
        </w:tabs>
        <w:jc w:val="left"/>
      </w:pPr>
    </w:p>
    <w:p w:rsidR="007E699E" w:rsidRPr="00A92F9E" w:rsidRDefault="007E699E" w:rsidP="003D4B29">
      <w:pPr>
        <w:keepNext/>
        <w:jc w:val="left"/>
        <w:rPr>
          <w:rFonts w:ascii="TimesNewRomanPSMT" w:hAnsi="TimesNewRomanPSMT"/>
          <w:color w:val="000000"/>
        </w:rPr>
      </w:pPr>
      <w:r w:rsidRPr="00A92F9E">
        <w:rPr>
          <w:rFonts w:ascii="TimesNewRomanPSMT" w:hAnsi="TimesNewRomanPSMT"/>
          <w:color w:val="000000"/>
        </w:rPr>
        <w:t xml:space="preserve">Luca </w:t>
      </w:r>
      <w:r w:rsidR="00A92F9E" w:rsidRPr="00A92F9E">
        <w:rPr>
          <w:rFonts w:ascii="TimesNewRomanPSMT" w:hAnsi="TimesNewRomanPSMT"/>
          <w:color w:val="000000"/>
        </w:rPr>
        <w:t>Jahier</w:t>
      </w:r>
      <w:r w:rsidRPr="00A92F9E">
        <w:rPr>
          <w:rFonts w:ascii="TimesNewRomanPSMT" w:hAnsi="TimesNewRomanPSMT"/>
          <w:color w:val="000000"/>
        </w:rPr>
        <w:br/>
      </w:r>
      <w:r w:rsidR="00A92F9E">
        <w:rPr>
          <w:rFonts w:ascii="TimesNewRomanPSMT" w:hAnsi="TimesNewRomanPSMT"/>
          <w:color w:val="000000"/>
        </w:rPr>
        <w:t>The p</w:t>
      </w:r>
      <w:r w:rsidRPr="00A92F9E">
        <w:rPr>
          <w:rFonts w:ascii="TimesNewRomanPSMT" w:hAnsi="TimesNewRomanPSMT"/>
          <w:color w:val="000000"/>
        </w:rPr>
        <w:t>resident of the European Economic and Social Committee</w:t>
      </w:r>
    </w:p>
    <w:p w:rsidR="00D37E17" w:rsidRPr="00A92F9E" w:rsidRDefault="00D37E17" w:rsidP="00AF4606">
      <w:pPr>
        <w:jc w:val="center"/>
      </w:pPr>
    </w:p>
    <w:p w:rsidR="00EF2989" w:rsidRPr="00A92F9E" w:rsidRDefault="00EF2989" w:rsidP="00AF4606">
      <w:pPr>
        <w:jc w:val="center"/>
      </w:pPr>
      <w:r w:rsidRPr="00A92F9E">
        <w:t>_____________</w:t>
      </w:r>
    </w:p>
    <w:sectPr w:rsidR="00EF2989" w:rsidRPr="00A92F9E" w:rsidSect="003146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7E" w:rsidRDefault="0074737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4737E" w:rsidRDefault="0074737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74737E" w:rsidRDefault="007473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79" w:rsidRPr="00314679" w:rsidRDefault="00314679" w:rsidP="00314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314679" w:rsidP="00314679">
    <w:pPr>
      <w:pStyle w:val="Footer"/>
    </w:pPr>
    <w:r>
      <w:t xml:space="preserve">ECO/517 – EESC-2020-01749-00-01-PAC-TRA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6D1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4737E">
      <w:fldChar w:fldCharType="begin"/>
    </w:r>
    <w:r w:rsidR="0074737E">
      <w:instrText xml:space="preserve"> NUMPAGES </w:instrText>
    </w:r>
    <w:r w:rsidR="0074737E">
      <w:fldChar w:fldCharType="separate"/>
    </w:r>
    <w:r w:rsidR="001F6D1E">
      <w:rPr>
        <w:noProof/>
      </w:rPr>
      <w:instrText>5</w:instrText>
    </w:r>
    <w:r w:rsidR="0074737E">
      <w:rPr>
        <w:noProof/>
      </w:rPr>
      <w:fldChar w:fldCharType="end"/>
    </w:r>
    <w:r>
      <w:instrText xml:space="preserve"> </w:instrText>
    </w:r>
    <w:r>
      <w:fldChar w:fldCharType="separate"/>
    </w:r>
    <w:r w:rsidR="001F6D1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79" w:rsidRPr="00314679" w:rsidRDefault="00314679" w:rsidP="003146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0924DE" w:rsidP="0031467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314679" w:rsidP="00314679">
    <w:pPr>
      <w:pStyle w:val="Footer"/>
    </w:pPr>
    <w:r>
      <w:t xml:space="preserve">ECO/517 – EESC-2020-01749-00-01-PAC-TRA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6D1E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4737E">
      <w:fldChar w:fldCharType="begin"/>
    </w:r>
    <w:r w:rsidR="0074737E">
      <w:instrText xml:space="preserve"> NUMPAGES </w:instrText>
    </w:r>
    <w:r w:rsidR="0074737E">
      <w:fldChar w:fldCharType="separate"/>
    </w:r>
    <w:r w:rsidR="001F6D1E">
      <w:rPr>
        <w:noProof/>
      </w:rPr>
      <w:instrText>5</w:instrText>
    </w:r>
    <w:r w:rsidR="0074737E">
      <w:rPr>
        <w:noProof/>
      </w:rPr>
      <w:fldChar w:fldCharType="end"/>
    </w:r>
    <w:r>
      <w:instrText xml:space="preserve"> </w:instrText>
    </w:r>
    <w:r>
      <w:fldChar w:fldCharType="separate"/>
    </w:r>
    <w:r w:rsidR="001F6D1E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0924DE" w:rsidP="00314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7E" w:rsidRDefault="0074737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4737E" w:rsidRDefault="0074737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74737E" w:rsidRDefault="007473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79" w:rsidRPr="00314679" w:rsidRDefault="00314679" w:rsidP="0031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79" w:rsidRPr="00314679" w:rsidRDefault="00314679" w:rsidP="00314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79" w:rsidRPr="00314679" w:rsidRDefault="00314679" w:rsidP="003146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0924DE" w:rsidP="003146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0924DE" w:rsidP="003146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DE" w:rsidRPr="00314679" w:rsidRDefault="000924DE" w:rsidP="00314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AC56566"/>
    <w:multiLevelType w:val="hybridMultilevel"/>
    <w:tmpl w:val="A50C394E"/>
    <w:lvl w:ilvl="0" w:tplc="87125F4E">
      <w:start w:val="1"/>
      <w:numFmt w:val="bullet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63133"/>
    <w:multiLevelType w:val="hybridMultilevel"/>
    <w:tmpl w:val="37BA42EA"/>
    <w:lvl w:ilvl="0" w:tplc="61429412">
      <w:start w:val="1"/>
      <w:numFmt w:val="bullet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2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7"/>
    </w:lvlOverride>
  </w:num>
  <w:num w:numId="7">
    <w:abstractNumId w:val="0"/>
    <w:lvlOverride w:ilvl="0">
      <w:startOverride w:val="1"/>
    </w:lvlOverride>
    <w:lvlOverride w:ilvl="1">
      <w:startOverride w:val="9"/>
    </w:lvlOverride>
  </w:num>
  <w:num w:numId="8">
    <w:abstractNumId w:val="0"/>
    <w:lvlOverride w:ilvl="0">
      <w:startOverride w:val="2"/>
    </w:lvlOverride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3"/>
    <w:rsid w:val="00003D15"/>
    <w:rsid w:val="00003D2E"/>
    <w:rsid w:val="00005B58"/>
    <w:rsid w:val="000076D0"/>
    <w:rsid w:val="00015227"/>
    <w:rsid w:val="00016725"/>
    <w:rsid w:val="00035285"/>
    <w:rsid w:val="00042A27"/>
    <w:rsid w:val="00046F0F"/>
    <w:rsid w:val="00050E8E"/>
    <w:rsid w:val="00051979"/>
    <w:rsid w:val="000552B2"/>
    <w:rsid w:val="000569CC"/>
    <w:rsid w:val="00060AA7"/>
    <w:rsid w:val="00060BCC"/>
    <w:rsid w:val="000631EC"/>
    <w:rsid w:val="00063AF1"/>
    <w:rsid w:val="00066FCE"/>
    <w:rsid w:val="00071D31"/>
    <w:rsid w:val="000748D9"/>
    <w:rsid w:val="00074A9D"/>
    <w:rsid w:val="00080135"/>
    <w:rsid w:val="00081FFD"/>
    <w:rsid w:val="00082FF4"/>
    <w:rsid w:val="00083122"/>
    <w:rsid w:val="000900CD"/>
    <w:rsid w:val="000924DE"/>
    <w:rsid w:val="0009464E"/>
    <w:rsid w:val="00097887"/>
    <w:rsid w:val="000A019F"/>
    <w:rsid w:val="000A55DE"/>
    <w:rsid w:val="000B0262"/>
    <w:rsid w:val="000B0E1C"/>
    <w:rsid w:val="000B1FB1"/>
    <w:rsid w:val="000B443D"/>
    <w:rsid w:val="000C276F"/>
    <w:rsid w:val="000C42B3"/>
    <w:rsid w:val="000C5BC0"/>
    <w:rsid w:val="000D090E"/>
    <w:rsid w:val="000D58EA"/>
    <w:rsid w:val="000E7D3B"/>
    <w:rsid w:val="000F44A9"/>
    <w:rsid w:val="00101237"/>
    <w:rsid w:val="00101B16"/>
    <w:rsid w:val="00102ECF"/>
    <w:rsid w:val="0011473F"/>
    <w:rsid w:val="0011701F"/>
    <w:rsid w:val="001229D3"/>
    <w:rsid w:val="00126DC8"/>
    <w:rsid w:val="00131468"/>
    <w:rsid w:val="001315B0"/>
    <w:rsid w:val="0013678A"/>
    <w:rsid w:val="0014174B"/>
    <w:rsid w:val="00141B54"/>
    <w:rsid w:val="00146AFA"/>
    <w:rsid w:val="00152619"/>
    <w:rsid w:val="00153A15"/>
    <w:rsid w:val="00157B2B"/>
    <w:rsid w:val="00161581"/>
    <w:rsid w:val="00163AD8"/>
    <w:rsid w:val="00165E91"/>
    <w:rsid w:val="001662F0"/>
    <w:rsid w:val="00166FE9"/>
    <w:rsid w:val="00167F78"/>
    <w:rsid w:val="00171266"/>
    <w:rsid w:val="001775E8"/>
    <w:rsid w:val="00191F1C"/>
    <w:rsid w:val="00193419"/>
    <w:rsid w:val="001948CD"/>
    <w:rsid w:val="001A129A"/>
    <w:rsid w:val="001A16D7"/>
    <w:rsid w:val="001A1BED"/>
    <w:rsid w:val="001A3309"/>
    <w:rsid w:val="001B3B31"/>
    <w:rsid w:val="001B4276"/>
    <w:rsid w:val="001C4AED"/>
    <w:rsid w:val="001C4DA4"/>
    <w:rsid w:val="001C4E68"/>
    <w:rsid w:val="001C50AD"/>
    <w:rsid w:val="001D06D3"/>
    <w:rsid w:val="001D125D"/>
    <w:rsid w:val="001D174C"/>
    <w:rsid w:val="001E1BED"/>
    <w:rsid w:val="001E24AA"/>
    <w:rsid w:val="001E2A8A"/>
    <w:rsid w:val="001E54AF"/>
    <w:rsid w:val="001E7C55"/>
    <w:rsid w:val="001F0210"/>
    <w:rsid w:val="001F33F4"/>
    <w:rsid w:val="001F6D1E"/>
    <w:rsid w:val="0020147A"/>
    <w:rsid w:val="00201894"/>
    <w:rsid w:val="002031AE"/>
    <w:rsid w:val="002058A4"/>
    <w:rsid w:val="00207881"/>
    <w:rsid w:val="00210A68"/>
    <w:rsid w:val="0021120F"/>
    <w:rsid w:val="00213F4C"/>
    <w:rsid w:val="00214966"/>
    <w:rsid w:val="0021796E"/>
    <w:rsid w:val="00230BE0"/>
    <w:rsid w:val="00232AE0"/>
    <w:rsid w:val="0023447B"/>
    <w:rsid w:val="00237BE7"/>
    <w:rsid w:val="00242530"/>
    <w:rsid w:val="00251E7D"/>
    <w:rsid w:val="002524F6"/>
    <w:rsid w:val="00265591"/>
    <w:rsid w:val="0026565A"/>
    <w:rsid w:val="0026566F"/>
    <w:rsid w:val="002736B7"/>
    <w:rsid w:val="002739CA"/>
    <w:rsid w:val="00273C53"/>
    <w:rsid w:val="00274886"/>
    <w:rsid w:val="00281A69"/>
    <w:rsid w:val="002844B6"/>
    <w:rsid w:val="002846AA"/>
    <w:rsid w:val="00287403"/>
    <w:rsid w:val="00287F3E"/>
    <w:rsid w:val="0029552E"/>
    <w:rsid w:val="00297787"/>
    <w:rsid w:val="00297CE7"/>
    <w:rsid w:val="002A055D"/>
    <w:rsid w:val="002A16D6"/>
    <w:rsid w:val="002A44FA"/>
    <w:rsid w:val="002B294C"/>
    <w:rsid w:val="002B38D6"/>
    <w:rsid w:val="002C14F1"/>
    <w:rsid w:val="002C1D72"/>
    <w:rsid w:val="002C2D18"/>
    <w:rsid w:val="002C615A"/>
    <w:rsid w:val="002C7F07"/>
    <w:rsid w:val="002D4197"/>
    <w:rsid w:val="002D5112"/>
    <w:rsid w:val="002E118E"/>
    <w:rsid w:val="002E3DC9"/>
    <w:rsid w:val="002E538D"/>
    <w:rsid w:val="00301230"/>
    <w:rsid w:val="00313881"/>
    <w:rsid w:val="00313DB7"/>
    <w:rsid w:val="00314679"/>
    <w:rsid w:val="00316AF2"/>
    <w:rsid w:val="00326C6D"/>
    <w:rsid w:val="003331CB"/>
    <w:rsid w:val="00340FFF"/>
    <w:rsid w:val="00346A8F"/>
    <w:rsid w:val="00346C8F"/>
    <w:rsid w:val="00351F3E"/>
    <w:rsid w:val="0035227E"/>
    <w:rsid w:val="00355D16"/>
    <w:rsid w:val="00367DD7"/>
    <w:rsid w:val="003713D7"/>
    <w:rsid w:val="00373B48"/>
    <w:rsid w:val="00374658"/>
    <w:rsid w:val="003761C7"/>
    <w:rsid w:val="003801EF"/>
    <w:rsid w:val="00393351"/>
    <w:rsid w:val="00393721"/>
    <w:rsid w:val="003953DF"/>
    <w:rsid w:val="0039540C"/>
    <w:rsid w:val="00397C61"/>
    <w:rsid w:val="003A087F"/>
    <w:rsid w:val="003A1278"/>
    <w:rsid w:val="003A36EB"/>
    <w:rsid w:val="003B23A7"/>
    <w:rsid w:val="003B390F"/>
    <w:rsid w:val="003C08B9"/>
    <w:rsid w:val="003C12B7"/>
    <w:rsid w:val="003C2A89"/>
    <w:rsid w:val="003C3878"/>
    <w:rsid w:val="003C50F3"/>
    <w:rsid w:val="003D0ECA"/>
    <w:rsid w:val="003D366E"/>
    <w:rsid w:val="003D4B29"/>
    <w:rsid w:val="003D75B1"/>
    <w:rsid w:val="003E072E"/>
    <w:rsid w:val="003E53FD"/>
    <w:rsid w:val="003F0B81"/>
    <w:rsid w:val="003F3EE1"/>
    <w:rsid w:val="003F48E5"/>
    <w:rsid w:val="003F6E7C"/>
    <w:rsid w:val="003F7F49"/>
    <w:rsid w:val="004010D6"/>
    <w:rsid w:val="004049FD"/>
    <w:rsid w:val="0040639C"/>
    <w:rsid w:val="0041462C"/>
    <w:rsid w:val="0041583F"/>
    <w:rsid w:val="00421619"/>
    <w:rsid w:val="004223E9"/>
    <w:rsid w:val="00422ACA"/>
    <w:rsid w:val="00427874"/>
    <w:rsid w:val="004319A8"/>
    <w:rsid w:val="00433F80"/>
    <w:rsid w:val="00437DE7"/>
    <w:rsid w:val="00466D90"/>
    <w:rsid w:val="00467DD1"/>
    <w:rsid w:val="004705BB"/>
    <w:rsid w:val="00470DF9"/>
    <w:rsid w:val="00473680"/>
    <w:rsid w:val="0047424E"/>
    <w:rsid w:val="004840D8"/>
    <w:rsid w:val="00491425"/>
    <w:rsid w:val="004A291E"/>
    <w:rsid w:val="004A2DA2"/>
    <w:rsid w:val="004A3135"/>
    <w:rsid w:val="004A35F0"/>
    <w:rsid w:val="004A5D51"/>
    <w:rsid w:val="004A688C"/>
    <w:rsid w:val="004B0A25"/>
    <w:rsid w:val="004B5E60"/>
    <w:rsid w:val="004C1975"/>
    <w:rsid w:val="004C2B95"/>
    <w:rsid w:val="004C3A7D"/>
    <w:rsid w:val="004D4B79"/>
    <w:rsid w:val="004D77F7"/>
    <w:rsid w:val="004E17A3"/>
    <w:rsid w:val="004E2AD6"/>
    <w:rsid w:val="004E2B7D"/>
    <w:rsid w:val="004E43E0"/>
    <w:rsid w:val="004E6D87"/>
    <w:rsid w:val="004F00D0"/>
    <w:rsid w:val="004F200B"/>
    <w:rsid w:val="004F4B73"/>
    <w:rsid w:val="004F7B5C"/>
    <w:rsid w:val="00500FF3"/>
    <w:rsid w:val="00501012"/>
    <w:rsid w:val="00502AEE"/>
    <w:rsid w:val="00503E91"/>
    <w:rsid w:val="00507116"/>
    <w:rsid w:val="00507865"/>
    <w:rsid w:val="005103E1"/>
    <w:rsid w:val="0051386A"/>
    <w:rsid w:val="0051485E"/>
    <w:rsid w:val="00514C07"/>
    <w:rsid w:val="005161F4"/>
    <w:rsid w:val="005221A3"/>
    <w:rsid w:val="005244AB"/>
    <w:rsid w:val="00535657"/>
    <w:rsid w:val="00536393"/>
    <w:rsid w:val="005433FD"/>
    <w:rsid w:val="005475BC"/>
    <w:rsid w:val="0055116F"/>
    <w:rsid w:val="00551527"/>
    <w:rsid w:val="00551B5A"/>
    <w:rsid w:val="00554074"/>
    <w:rsid w:val="005560EF"/>
    <w:rsid w:val="00562CC4"/>
    <w:rsid w:val="00580346"/>
    <w:rsid w:val="00582F0B"/>
    <w:rsid w:val="00583CC8"/>
    <w:rsid w:val="00584C1A"/>
    <w:rsid w:val="00592AE9"/>
    <w:rsid w:val="005A110D"/>
    <w:rsid w:val="005A2D98"/>
    <w:rsid w:val="005C16DE"/>
    <w:rsid w:val="005C4731"/>
    <w:rsid w:val="005C7551"/>
    <w:rsid w:val="005D2A8F"/>
    <w:rsid w:val="005E099F"/>
    <w:rsid w:val="005E4102"/>
    <w:rsid w:val="005F2FEB"/>
    <w:rsid w:val="005F7DC6"/>
    <w:rsid w:val="00606E75"/>
    <w:rsid w:val="00610211"/>
    <w:rsid w:val="00611EBC"/>
    <w:rsid w:val="006168BE"/>
    <w:rsid w:val="0062067E"/>
    <w:rsid w:val="00620ECD"/>
    <w:rsid w:val="00626852"/>
    <w:rsid w:val="00627A72"/>
    <w:rsid w:val="00630A17"/>
    <w:rsid w:val="00637440"/>
    <w:rsid w:val="00637938"/>
    <w:rsid w:val="0064398A"/>
    <w:rsid w:val="006457C2"/>
    <w:rsid w:val="00645ADF"/>
    <w:rsid w:val="0064709E"/>
    <w:rsid w:val="0065147D"/>
    <w:rsid w:val="0065228A"/>
    <w:rsid w:val="006567D6"/>
    <w:rsid w:val="00657988"/>
    <w:rsid w:val="00665CE2"/>
    <w:rsid w:val="00667C39"/>
    <w:rsid w:val="006746D8"/>
    <w:rsid w:val="00676C5B"/>
    <w:rsid w:val="006836BC"/>
    <w:rsid w:val="00697310"/>
    <w:rsid w:val="006A27EC"/>
    <w:rsid w:val="006A4370"/>
    <w:rsid w:val="006A564A"/>
    <w:rsid w:val="006B15F0"/>
    <w:rsid w:val="006B396E"/>
    <w:rsid w:val="006B5B2F"/>
    <w:rsid w:val="006B6DDB"/>
    <w:rsid w:val="006C3F77"/>
    <w:rsid w:val="006C584B"/>
    <w:rsid w:val="006C6EF3"/>
    <w:rsid w:val="006C7C3D"/>
    <w:rsid w:val="006D167A"/>
    <w:rsid w:val="006E21AB"/>
    <w:rsid w:val="006E43C4"/>
    <w:rsid w:val="006E44EB"/>
    <w:rsid w:val="006E7BAB"/>
    <w:rsid w:val="006F1F8F"/>
    <w:rsid w:val="00704145"/>
    <w:rsid w:val="0070743D"/>
    <w:rsid w:val="007107BB"/>
    <w:rsid w:val="00714FC2"/>
    <w:rsid w:val="007247BE"/>
    <w:rsid w:val="0074737E"/>
    <w:rsid w:val="007476CA"/>
    <w:rsid w:val="00756BCA"/>
    <w:rsid w:val="00761A35"/>
    <w:rsid w:val="00762F26"/>
    <w:rsid w:val="007634AE"/>
    <w:rsid w:val="0076557A"/>
    <w:rsid w:val="00765847"/>
    <w:rsid w:val="007713DA"/>
    <w:rsid w:val="007714DD"/>
    <w:rsid w:val="00777879"/>
    <w:rsid w:val="00781C6B"/>
    <w:rsid w:val="00784658"/>
    <w:rsid w:val="00784CC0"/>
    <w:rsid w:val="007855B8"/>
    <w:rsid w:val="00786887"/>
    <w:rsid w:val="00791924"/>
    <w:rsid w:val="00793A93"/>
    <w:rsid w:val="00795963"/>
    <w:rsid w:val="00795A69"/>
    <w:rsid w:val="0079792C"/>
    <w:rsid w:val="007A26EC"/>
    <w:rsid w:val="007A75FD"/>
    <w:rsid w:val="007B5272"/>
    <w:rsid w:val="007C0521"/>
    <w:rsid w:val="007C10D9"/>
    <w:rsid w:val="007C30D5"/>
    <w:rsid w:val="007C5B53"/>
    <w:rsid w:val="007C6162"/>
    <w:rsid w:val="007D08EC"/>
    <w:rsid w:val="007D2974"/>
    <w:rsid w:val="007D4CFA"/>
    <w:rsid w:val="007D66E9"/>
    <w:rsid w:val="007E25DA"/>
    <w:rsid w:val="007E5FC4"/>
    <w:rsid w:val="007E699E"/>
    <w:rsid w:val="007E6B72"/>
    <w:rsid w:val="007F1A4B"/>
    <w:rsid w:val="007F2ACD"/>
    <w:rsid w:val="00803D73"/>
    <w:rsid w:val="008049AC"/>
    <w:rsid w:val="0080709D"/>
    <w:rsid w:val="008219DC"/>
    <w:rsid w:val="00821D6A"/>
    <w:rsid w:val="00821FB1"/>
    <w:rsid w:val="00823B6F"/>
    <w:rsid w:val="00825441"/>
    <w:rsid w:val="00825623"/>
    <w:rsid w:val="00832888"/>
    <w:rsid w:val="008344C9"/>
    <w:rsid w:val="0084220E"/>
    <w:rsid w:val="00843861"/>
    <w:rsid w:val="00845B8F"/>
    <w:rsid w:val="00847D40"/>
    <w:rsid w:val="00850018"/>
    <w:rsid w:val="008502D8"/>
    <w:rsid w:val="00855D28"/>
    <w:rsid w:val="00855F2F"/>
    <w:rsid w:val="008575A8"/>
    <w:rsid w:val="00861422"/>
    <w:rsid w:val="00866E1B"/>
    <w:rsid w:val="00867F8A"/>
    <w:rsid w:val="008712B4"/>
    <w:rsid w:val="008724B2"/>
    <w:rsid w:val="00872590"/>
    <w:rsid w:val="00875BAB"/>
    <w:rsid w:val="00875BE6"/>
    <w:rsid w:val="00876BC4"/>
    <w:rsid w:val="00886A3F"/>
    <w:rsid w:val="00892459"/>
    <w:rsid w:val="0089255D"/>
    <w:rsid w:val="00893BED"/>
    <w:rsid w:val="00893E77"/>
    <w:rsid w:val="0089575D"/>
    <w:rsid w:val="008970AA"/>
    <w:rsid w:val="008A0EA8"/>
    <w:rsid w:val="008A2609"/>
    <w:rsid w:val="008A4944"/>
    <w:rsid w:val="008A7314"/>
    <w:rsid w:val="008B1C74"/>
    <w:rsid w:val="008B389E"/>
    <w:rsid w:val="008C1EAE"/>
    <w:rsid w:val="008D0DD4"/>
    <w:rsid w:val="008D464B"/>
    <w:rsid w:val="008D61C5"/>
    <w:rsid w:val="008E6858"/>
    <w:rsid w:val="008F6234"/>
    <w:rsid w:val="008F7BB9"/>
    <w:rsid w:val="00911E1F"/>
    <w:rsid w:val="009147E1"/>
    <w:rsid w:val="009176B2"/>
    <w:rsid w:val="00924BE5"/>
    <w:rsid w:val="00925B6B"/>
    <w:rsid w:val="00926512"/>
    <w:rsid w:val="00933599"/>
    <w:rsid w:val="00945521"/>
    <w:rsid w:val="00951A2E"/>
    <w:rsid w:val="00952831"/>
    <w:rsid w:val="009570FC"/>
    <w:rsid w:val="00960072"/>
    <w:rsid w:val="00960FEA"/>
    <w:rsid w:val="00973C4F"/>
    <w:rsid w:val="00993D10"/>
    <w:rsid w:val="009941FE"/>
    <w:rsid w:val="00995A2A"/>
    <w:rsid w:val="009A2F50"/>
    <w:rsid w:val="009A64D3"/>
    <w:rsid w:val="009A68F7"/>
    <w:rsid w:val="009B105B"/>
    <w:rsid w:val="009B2110"/>
    <w:rsid w:val="009B6872"/>
    <w:rsid w:val="009B6EEA"/>
    <w:rsid w:val="009B74CF"/>
    <w:rsid w:val="009B778B"/>
    <w:rsid w:val="009C2080"/>
    <w:rsid w:val="009C32BD"/>
    <w:rsid w:val="009C4604"/>
    <w:rsid w:val="009C4B1D"/>
    <w:rsid w:val="009C5823"/>
    <w:rsid w:val="009C6576"/>
    <w:rsid w:val="009D3AEB"/>
    <w:rsid w:val="009E3205"/>
    <w:rsid w:val="009F5E71"/>
    <w:rsid w:val="009F62CE"/>
    <w:rsid w:val="009F6E45"/>
    <w:rsid w:val="00A02B60"/>
    <w:rsid w:val="00A03878"/>
    <w:rsid w:val="00A05CBC"/>
    <w:rsid w:val="00A07DF8"/>
    <w:rsid w:val="00A123A4"/>
    <w:rsid w:val="00A15B01"/>
    <w:rsid w:val="00A16FF3"/>
    <w:rsid w:val="00A23399"/>
    <w:rsid w:val="00A25121"/>
    <w:rsid w:val="00A26B6E"/>
    <w:rsid w:val="00A3107A"/>
    <w:rsid w:val="00A31C6A"/>
    <w:rsid w:val="00A31D67"/>
    <w:rsid w:val="00A36B80"/>
    <w:rsid w:val="00A41A31"/>
    <w:rsid w:val="00A433D4"/>
    <w:rsid w:val="00A47171"/>
    <w:rsid w:val="00A52747"/>
    <w:rsid w:val="00A63583"/>
    <w:rsid w:val="00A649AC"/>
    <w:rsid w:val="00A66134"/>
    <w:rsid w:val="00A727BC"/>
    <w:rsid w:val="00A7611B"/>
    <w:rsid w:val="00A8089D"/>
    <w:rsid w:val="00A82D74"/>
    <w:rsid w:val="00A900FF"/>
    <w:rsid w:val="00A910B5"/>
    <w:rsid w:val="00A92F9E"/>
    <w:rsid w:val="00A94897"/>
    <w:rsid w:val="00A97285"/>
    <w:rsid w:val="00AA34BD"/>
    <w:rsid w:val="00AA6FEC"/>
    <w:rsid w:val="00AA79A6"/>
    <w:rsid w:val="00AB0534"/>
    <w:rsid w:val="00AB7F39"/>
    <w:rsid w:val="00AC35CB"/>
    <w:rsid w:val="00AC7A56"/>
    <w:rsid w:val="00AD2FF1"/>
    <w:rsid w:val="00AD55ED"/>
    <w:rsid w:val="00AD6B79"/>
    <w:rsid w:val="00AE1D13"/>
    <w:rsid w:val="00AE3EA4"/>
    <w:rsid w:val="00AF27BB"/>
    <w:rsid w:val="00AF4606"/>
    <w:rsid w:val="00AF4A62"/>
    <w:rsid w:val="00AF64E4"/>
    <w:rsid w:val="00AF735F"/>
    <w:rsid w:val="00B01489"/>
    <w:rsid w:val="00B034C6"/>
    <w:rsid w:val="00B10309"/>
    <w:rsid w:val="00B1090C"/>
    <w:rsid w:val="00B13747"/>
    <w:rsid w:val="00B24479"/>
    <w:rsid w:val="00B25D60"/>
    <w:rsid w:val="00B3042A"/>
    <w:rsid w:val="00B30E48"/>
    <w:rsid w:val="00B32204"/>
    <w:rsid w:val="00B32508"/>
    <w:rsid w:val="00B32D10"/>
    <w:rsid w:val="00B36AA4"/>
    <w:rsid w:val="00B37F3D"/>
    <w:rsid w:val="00B41551"/>
    <w:rsid w:val="00B549A8"/>
    <w:rsid w:val="00B579B7"/>
    <w:rsid w:val="00B61BDC"/>
    <w:rsid w:val="00B62730"/>
    <w:rsid w:val="00B658CB"/>
    <w:rsid w:val="00B66441"/>
    <w:rsid w:val="00B70168"/>
    <w:rsid w:val="00B723A4"/>
    <w:rsid w:val="00B72422"/>
    <w:rsid w:val="00B7432E"/>
    <w:rsid w:val="00B743B4"/>
    <w:rsid w:val="00B7655A"/>
    <w:rsid w:val="00B765A9"/>
    <w:rsid w:val="00B80BBF"/>
    <w:rsid w:val="00B83604"/>
    <w:rsid w:val="00B83E7A"/>
    <w:rsid w:val="00B8512F"/>
    <w:rsid w:val="00B853A7"/>
    <w:rsid w:val="00B860C7"/>
    <w:rsid w:val="00B86311"/>
    <w:rsid w:val="00B91C87"/>
    <w:rsid w:val="00B92439"/>
    <w:rsid w:val="00B934C3"/>
    <w:rsid w:val="00B93565"/>
    <w:rsid w:val="00B96EC1"/>
    <w:rsid w:val="00BA0178"/>
    <w:rsid w:val="00BA1FBF"/>
    <w:rsid w:val="00BA36EF"/>
    <w:rsid w:val="00BA5486"/>
    <w:rsid w:val="00BA6174"/>
    <w:rsid w:val="00BA6B0F"/>
    <w:rsid w:val="00BB0DFF"/>
    <w:rsid w:val="00BB6A6C"/>
    <w:rsid w:val="00BB79D5"/>
    <w:rsid w:val="00BC71E3"/>
    <w:rsid w:val="00BE7446"/>
    <w:rsid w:val="00BE7920"/>
    <w:rsid w:val="00BE7A13"/>
    <w:rsid w:val="00BF17A0"/>
    <w:rsid w:val="00BF1D45"/>
    <w:rsid w:val="00BF337A"/>
    <w:rsid w:val="00BF5324"/>
    <w:rsid w:val="00BF5573"/>
    <w:rsid w:val="00BF5F2F"/>
    <w:rsid w:val="00C066E7"/>
    <w:rsid w:val="00C15C7E"/>
    <w:rsid w:val="00C175B1"/>
    <w:rsid w:val="00C22FB8"/>
    <w:rsid w:val="00C270D2"/>
    <w:rsid w:val="00C41F38"/>
    <w:rsid w:val="00C4326D"/>
    <w:rsid w:val="00C478C9"/>
    <w:rsid w:val="00C505B5"/>
    <w:rsid w:val="00C52983"/>
    <w:rsid w:val="00C62083"/>
    <w:rsid w:val="00C65B19"/>
    <w:rsid w:val="00C6742B"/>
    <w:rsid w:val="00C71FC9"/>
    <w:rsid w:val="00C86E31"/>
    <w:rsid w:val="00C95C08"/>
    <w:rsid w:val="00C95E95"/>
    <w:rsid w:val="00CA1A8F"/>
    <w:rsid w:val="00CA7C54"/>
    <w:rsid w:val="00CB2D5D"/>
    <w:rsid w:val="00CC5CB1"/>
    <w:rsid w:val="00CD34DE"/>
    <w:rsid w:val="00CD6CCF"/>
    <w:rsid w:val="00CF1102"/>
    <w:rsid w:val="00CF3120"/>
    <w:rsid w:val="00CF4035"/>
    <w:rsid w:val="00CF49B9"/>
    <w:rsid w:val="00D01056"/>
    <w:rsid w:val="00D0267E"/>
    <w:rsid w:val="00D05A92"/>
    <w:rsid w:val="00D10FCD"/>
    <w:rsid w:val="00D116E3"/>
    <w:rsid w:val="00D133E7"/>
    <w:rsid w:val="00D14CB8"/>
    <w:rsid w:val="00D1585C"/>
    <w:rsid w:val="00D24D59"/>
    <w:rsid w:val="00D31542"/>
    <w:rsid w:val="00D36296"/>
    <w:rsid w:val="00D37CED"/>
    <w:rsid w:val="00D37E17"/>
    <w:rsid w:val="00D408A3"/>
    <w:rsid w:val="00D41C25"/>
    <w:rsid w:val="00D44EEE"/>
    <w:rsid w:val="00D51BAB"/>
    <w:rsid w:val="00D526BA"/>
    <w:rsid w:val="00D5496C"/>
    <w:rsid w:val="00D55591"/>
    <w:rsid w:val="00D56797"/>
    <w:rsid w:val="00D652C9"/>
    <w:rsid w:val="00D72BE5"/>
    <w:rsid w:val="00D779B7"/>
    <w:rsid w:val="00D9213C"/>
    <w:rsid w:val="00DA28D4"/>
    <w:rsid w:val="00DA414C"/>
    <w:rsid w:val="00DA511F"/>
    <w:rsid w:val="00DB0A78"/>
    <w:rsid w:val="00DB348F"/>
    <w:rsid w:val="00DB392A"/>
    <w:rsid w:val="00DB3FCB"/>
    <w:rsid w:val="00DB4537"/>
    <w:rsid w:val="00DB774B"/>
    <w:rsid w:val="00DC4B9B"/>
    <w:rsid w:val="00DC6456"/>
    <w:rsid w:val="00DC789E"/>
    <w:rsid w:val="00DD06EC"/>
    <w:rsid w:val="00DD128E"/>
    <w:rsid w:val="00DD37AF"/>
    <w:rsid w:val="00DD597F"/>
    <w:rsid w:val="00DE2416"/>
    <w:rsid w:val="00DE3BD7"/>
    <w:rsid w:val="00DF0A0E"/>
    <w:rsid w:val="00DF0F4C"/>
    <w:rsid w:val="00DF0F9C"/>
    <w:rsid w:val="00DF2D35"/>
    <w:rsid w:val="00DF42D6"/>
    <w:rsid w:val="00DF4D92"/>
    <w:rsid w:val="00DF4DDC"/>
    <w:rsid w:val="00E018B2"/>
    <w:rsid w:val="00E03014"/>
    <w:rsid w:val="00E0380D"/>
    <w:rsid w:val="00E07A60"/>
    <w:rsid w:val="00E10D67"/>
    <w:rsid w:val="00E12058"/>
    <w:rsid w:val="00E1384F"/>
    <w:rsid w:val="00E1391F"/>
    <w:rsid w:val="00E13CF0"/>
    <w:rsid w:val="00E1465B"/>
    <w:rsid w:val="00E215A8"/>
    <w:rsid w:val="00E3184B"/>
    <w:rsid w:val="00E32BF5"/>
    <w:rsid w:val="00E35CFD"/>
    <w:rsid w:val="00E3757F"/>
    <w:rsid w:val="00E44145"/>
    <w:rsid w:val="00E46D45"/>
    <w:rsid w:val="00E5033C"/>
    <w:rsid w:val="00E50D51"/>
    <w:rsid w:val="00E50E4B"/>
    <w:rsid w:val="00E5220F"/>
    <w:rsid w:val="00E749AC"/>
    <w:rsid w:val="00E769C8"/>
    <w:rsid w:val="00E76FF2"/>
    <w:rsid w:val="00E856EA"/>
    <w:rsid w:val="00EA07EC"/>
    <w:rsid w:val="00EB1D36"/>
    <w:rsid w:val="00EB4FB3"/>
    <w:rsid w:val="00EB54E1"/>
    <w:rsid w:val="00EC0574"/>
    <w:rsid w:val="00EC0C5B"/>
    <w:rsid w:val="00EC5DBD"/>
    <w:rsid w:val="00EC63FF"/>
    <w:rsid w:val="00EC6A9F"/>
    <w:rsid w:val="00EC71E7"/>
    <w:rsid w:val="00EF1D55"/>
    <w:rsid w:val="00EF1E55"/>
    <w:rsid w:val="00EF2989"/>
    <w:rsid w:val="00EF7A7B"/>
    <w:rsid w:val="00F004D4"/>
    <w:rsid w:val="00F01182"/>
    <w:rsid w:val="00F011DF"/>
    <w:rsid w:val="00F01712"/>
    <w:rsid w:val="00F029DE"/>
    <w:rsid w:val="00F038FD"/>
    <w:rsid w:val="00F065A4"/>
    <w:rsid w:val="00F07198"/>
    <w:rsid w:val="00F077ED"/>
    <w:rsid w:val="00F07CF9"/>
    <w:rsid w:val="00F1460D"/>
    <w:rsid w:val="00F207A5"/>
    <w:rsid w:val="00F26DBF"/>
    <w:rsid w:val="00F309B6"/>
    <w:rsid w:val="00F32C95"/>
    <w:rsid w:val="00F32EDC"/>
    <w:rsid w:val="00F339BE"/>
    <w:rsid w:val="00F42F6E"/>
    <w:rsid w:val="00F45CAF"/>
    <w:rsid w:val="00F47306"/>
    <w:rsid w:val="00F52D0C"/>
    <w:rsid w:val="00F54F14"/>
    <w:rsid w:val="00F56B64"/>
    <w:rsid w:val="00F60C9C"/>
    <w:rsid w:val="00F62EE9"/>
    <w:rsid w:val="00F73BBF"/>
    <w:rsid w:val="00F76269"/>
    <w:rsid w:val="00F83D5D"/>
    <w:rsid w:val="00F84082"/>
    <w:rsid w:val="00F91817"/>
    <w:rsid w:val="00F93534"/>
    <w:rsid w:val="00F93FE9"/>
    <w:rsid w:val="00F94B9C"/>
    <w:rsid w:val="00F953AD"/>
    <w:rsid w:val="00FA60D1"/>
    <w:rsid w:val="00FA731C"/>
    <w:rsid w:val="00FB25CB"/>
    <w:rsid w:val="00FB3E6A"/>
    <w:rsid w:val="00FC0AA3"/>
    <w:rsid w:val="00FC7591"/>
    <w:rsid w:val="00FD2458"/>
    <w:rsid w:val="00FD25DC"/>
    <w:rsid w:val="00FD2DFC"/>
    <w:rsid w:val="00FE4E03"/>
    <w:rsid w:val="00FF1B0D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978BA6-2721-42B5-8C4A-5D00FC4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B1"/>
    <w:pPr>
      <w:spacing w:line="288" w:lineRule="auto"/>
      <w:jc w:val="both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C5CB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C5CB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CC5CB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CC5CB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CC5CB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CC5CB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CC5CB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CC5CB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CC5CB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CC5CB1"/>
  </w:style>
  <w:style w:type="paragraph" w:styleId="FootnoteText">
    <w:name w:val="footnote text"/>
    <w:basedOn w:val="Normal"/>
    <w:qFormat/>
    <w:rsid w:val="00CC5CB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CC5CB1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CC5CB1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quotes">
    <w:name w:val="quotes"/>
    <w:basedOn w:val="Normal"/>
    <w:next w:val="Normal"/>
    <w:rsid w:val="00CC5CB1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CC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CB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D55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5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55E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5ED"/>
    <w:rPr>
      <w:rFonts w:eastAsia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CF403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s-cdr.eu.int\dfs\softwlib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VV634QRNENMJ-2004427339-2220</_dlc_DocId>
    <_dlc_DocIdUrl xmlns="cda99570-6012-4083-bfeb-7d32ad1ce1a3">
      <Url>http://dm2016/eesc/2020/_layouts/15/DocIdRedir.aspx?ID=VV634QRNENMJ-2004427339-2220</Url>
      <Description>VV634QRNENMJ-2004427339-2220</Description>
    </_dlc_DocIdUrl>
    <Procedure xmlns="cda99570-6012-4083-bfeb-7d32ad1ce1a3">2020/0054(COD)</Procedure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PAC</TermName>
          <TermId xmlns="http://schemas.microsoft.com/office/infopath/2007/PartnerControls">719e5324-e7b4-48f6-9bbb-a2f1f3496a94</TermId>
        </TermInfo>
      </Terms>
    </DocumentTyp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2020-04-10T12:00:00+00:00</ProductionDate>
    <FicheYear xmlns="cda99570-6012-4083-bfeb-7d32ad1ce1a3">2020</FicheYear>
    <DocumentNumber xmlns="0381fa04-922e-4f8c-89b0-7415d369da52">1749</DocumentNumber>
    <DocumentVersion xmlns="cda99570-6012-4083-bfeb-7d32ad1ce1a3">0</DocumentVersion>
    <DossierNumber xmlns="cda99570-6012-4083-bfeb-7d32ad1ce1a3">517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50</Value>
      <Value>80</Value>
      <Value>11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cda99570-6012-4083-bfeb-7d32ad1ce1a3">MAZZOLA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3330</FicheNumber>
    <DocumentPart xmlns="cda99570-6012-4083-bfeb-7d32ad1ce1a3">0</DocumentPart>
    <AdoptionDate xmlns="cda99570-6012-4083-bfeb-7d32ad1ce1a3" xsi:nil="true"/>
    <RequestingService xmlns="cda99570-6012-4083-bfeb-7d32ad1ce1a3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BC3B-A618-49C5-A0DB-872B585A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0381fa04-922e-4f8c-89b0-7415d369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12AA9-7BF3-4ED2-A72E-7DEE51B682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96AEBE-5D49-45CD-ADCF-8DE42471D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8251C-5AF7-47E3-B2ED-D5A000E2090A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0381fa04-922e-4f8c-89b0-7415d369da52"/>
  </ds:schemaRefs>
</ds:datastoreItem>
</file>

<file path=customXml/itemProps5.xml><?xml version="1.0" encoding="utf-8"?>
<ds:datastoreItem xmlns:ds="http://schemas.openxmlformats.org/officeDocument/2006/customXml" ds:itemID="{A3F6C5D1-40BE-4FC5-ACAF-21060BB0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COVID-19: European Structural and Investment Funds - Exceptional flexibility</vt:lpstr>
    </vt:vector>
  </TitlesOfParts>
  <Company>CESE-CdR</Company>
  <LinksUpToDate>false</LinksUpToDate>
  <CharactersWithSpaces>8125</CharactersWithSpaces>
  <SharedDoc>false</SharedDoc>
  <HLinks>
    <vt:vector size="24" baseType="variant"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http://eur-lex.europa.eu/legal-content/EN/TXT/HTML/?uri=OJ:C:2015:291:FULL&amp;from=EN</vt:lpwstr>
      </vt:variant>
      <vt:variant>
        <vt:lpwstr/>
      </vt:variant>
      <vt:variant>
        <vt:i4>2359333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http://eur-lex.europa.eu/LexUriServ/LexUriServ.do?uri=OJ:C:2014:424:SOM:EN:HTML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http://eur-lex.europa.eu/LexUriServ/LexUriServ.do?uri=OJ:C:2013:271:SOM:EN:HTML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European Structural and Investment Funds - Exceptional flexibility</dc:title>
  <dc:subject>Draft Committee opinion</dc:subject>
  <dc:creator>Emma Nieddu</dc:creator>
  <cp:keywords>EESC-2020-01749-00-00-PAC-TRA-EN</cp:keywords>
  <dc:description>Rapporteur: - MAZZOLA Original language: - EN Date of document: - 10/04/2020 Date of meeting: -  External documents: - COM(2020)138 Administrator responsible: -  MELEAS Georgios</dc:description>
  <cp:lastModifiedBy>Nimal Muriel</cp:lastModifiedBy>
  <cp:revision>2</cp:revision>
  <cp:lastPrinted>2020-03-24T11:29:00Z</cp:lastPrinted>
  <dcterms:created xsi:type="dcterms:W3CDTF">2020-04-15T15:11:00Z</dcterms:created>
  <dcterms:modified xsi:type="dcterms:W3CDTF">2020-04-15T15:11:00Z</dcterms:modified>
  <cp:category>ECO/517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15/04/2020, 10/04/2020, 12/05/2016, 12/05/2016</vt:lpwstr>
  </property>
  <property fmtid="{D5CDD505-2E9C-101B-9397-08002B2CF9AE}" pid="4" name="Pref_Time">
    <vt:lpwstr>15:33:48, 17:10:52, 14:28:24, 13:59:28</vt:lpwstr>
  </property>
  <property fmtid="{D5CDD505-2E9C-101B-9397-08002B2CF9AE}" pid="5" name="Pref_User">
    <vt:lpwstr>enied, enied, jhvi, ssex</vt:lpwstr>
  </property>
  <property fmtid="{D5CDD505-2E9C-101B-9397-08002B2CF9AE}" pid="6" name="Pref_FileName">
    <vt:lpwstr>EESC-2020-01749-00-01-PAC-ORI.docx, EESC-2020-01749-00-00-PAC-ORI_omt.docx, EESC-2016-02804-00-00-PAC-TRA-EN-CRR.docx, EESC-2016-02804-00-00-PAC-CRR-EN.docx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0cbe0356-c752-4e34-b963-f2faebf01791</vt:lpwstr>
  </property>
  <property fmtid="{D5CDD505-2E9C-101B-9397-08002B2CF9AE}" pid="9" name="Procedure">
    <vt:lpwstr>2020/0054(COD)</vt:lpwstr>
  </property>
  <property fmtid="{D5CDD505-2E9C-101B-9397-08002B2CF9AE}" pid="10" name="AvailableTranslations">
    <vt:lpwstr>11;#FR|d2afafd3-4c81-4f60-8f52-ee33f2f54ff3;#4;#EN|f2175f21-25d7-44a3-96da-d6a61b075e1b</vt:lpwstr>
  </property>
  <property fmtid="{D5CDD505-2E9C-101B-9397-08002B2CF9AE}" pid="11" name="DocumentType_0">
    <vt:lpwstr>PAC|719e5324-e7b4-48f6-9bbb-a2f1f3496a94</vt:lpwstr>
  </property>
  <property fmtid="{D5CDD505-2E9C-101B-9397-08002B2CF9AE}" pid="12" name="DossierName_0">
    <vt:lpwstr>ECO|8df351f5-c957-404c-8cf3-8ffb22c9cba2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1749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ssierNumber">
    <vt:i4>517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80;#ECO|8df351f5-c957-404c-8cf3-8ffb22c9cba2</vt:lpwstr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50;#PAC|719e5324-e7b4-48f6-9bbb-a2f1f3496a94</vt:lpwstr>
  </property>
  <property fmtid="{D5CDD505-2E9C-101B-9397-08002B2CF9AE}" pid="23" name="RequestingService">
    <vt:lpwstr>Union économique et monétaire et cohésion économique et sociale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50;#PAC|719e5324-e7b4-48f6-9bbb-a2f1f3496a94;#80;#ECO|8df351f5-c957-404c-8cf3-8ffb22c9cba2;#6;#Final|ea5e6674-7b27-4bac-b091-73adbb394efe;#5;#Unrestricted|826e22d7-d029-4ec0-a450-0c28ff673572;#4;#EN|f2175f21-25d7-44a3-96da-d6a61b075e1b;#2;#TRA|150d2a88-14</vt:lpwstr>
  </property>
  <property fmtid="{D5CDD505-2E9C-101B-9397-08002B2CF9AE}" pid="33" name="Rapporteur">
    <vt:lpwstr>MAZZOLA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2020</vt:i4>
  </property>
  <property fmtid="{D5CDD505-2E9C-101B-9397-08002B2CF9AE}" pid="37" name="FicheNumber">
    <vt:i4>3330</vt:i4>
  </property>
  <property fmtid="{D5CDD505-2E9C-101B-9397-08002B2CF9AE}" pid="38" name="DocumentLanguage">
    <vt:lpwstr>4;#EN|f2175f21-25d7-44a3-96da-d6a61b075e1b</vt:lpwstr>
  </property>
  <property fmtid="{D5CDD505-2E9C-101B-9397-08002B2CF9AE}" pid="39" name="_docset_NoMedatataSyncRequired">
    <vt:lpwstr>False</vt:lpwstr>
  </property>
</Properties>
</file>