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B5" w:rsidRPr="00C3394F" w:rsidRDefault="007D0E35" w:rsidP="00984479">
      <w:pPr>
        <w:spacing w:after="0" w:line="288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5BA7D4F7" wp14:editId="5F03E75C">
            <wp:extent cx="5745375" cy="155511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497" cy="1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C1079E" wp14:editId="304E1F5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B5" w:rsidRPr="00EB31FE" w:rsidRDefault="00EB31FE" w:rsidP="00EA79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079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LM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MhsCzL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EA79B5" w:rsidRPr="00EB31FE" w:rsidRDefault="00EB31FE" w:rsidP="00EA79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9B5" w:rsidRPr="00C3394F" w:rsidRDefault="00EA79B5" w:rsidP="00984479">
      <w:pPr>
        <w:spacing w:after="0" w:line="288" w:lineRule="auto"/>
        <w:jc w:val="center"/>
        <w:rPr>
          <w:rFonts w:ascii="Times New Roman" w:hAnsi="Times New Roman" w:cs="Times New Roman"/>
          <w:lang w:val="fr-BE"/>
        </w:rPr>
      </w:pPr>
    </w:p>
    <w:p w:rsidR="00EA79B5" w:rsidRPr="00C3394F" w:rsidRDefault="00EA79B5" w:rsidP="00984479">
      <w:pPr>
        <w:spacing w:after="0" w:line="288" w:lineRule="auto"/>
        <w:jc w:val="center"/>
        <w:rPr>
          <w:rFonts w:ascii="Times New Roman" w:hAnsi="Times New Roman" w:cs="Times New Roman"/>
          <w:lang w:val="fr-BE"/>
        </w:rPr>
      </w:pPr>
    </w:p>
    <w:p w:rsidR="007E000B" w:rsidRPr="002645D0" w:rsidRDefault="007E000B" w:rsidP="0098447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Doroczne posiedzenie przewodniczących i sekretarzy generalnych EKES-u </w:t>
      </w:r>
      <w:r w:rsidR="00411293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oraz rad społeczno-gospodarczych UE</w:t>
      </w:r>
    </w:p>
    <w:p w:rsidR="007E000B" w:rsidRPr="002645D0" w:rsidRDefault="007D0E35" w:rsidP="0098447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Paryż, 22–23 listopada 2021 r.</w:t>
      </w:r>
    </w:p>
    <w:p w:rsidR="00EA79B5" w:rsidRPr="002645D0" w:rsidRDefault="00EA79B5" w:rsidP="00984479">
      <w:pPr>
        <w:spacing w:after="0" w:line="288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A79B5" w:rsidRPr="001C28D1" w:rsidRDefault="00EA79B5" w:rsidP="00984479">
      <w:pPr>
        <w:spacing w:after="0" w:line="288" w:lineRule="auto"/>
        <w:jc w:val="center"/>
        <w:rPr>
          <w:rFonts w:ascii="Times New Roman" w:hAnsi="Times New Roman" w:cs="Times New Roman"/>
          <w:i/>
          <w:color w:val="000099"/>
          <w:lang w:val="en-US"/>
        </w:rPr>
      </w:pPr>
    </w:p>
    <w:p w:rsidR="00824453" w:rsidRPr="001C28D1" w:rsidRDefault="007E000B" w:rsidP="00984479">
      <w:pPr>
        <w:spacing w:after="0" w:line="288" w:lineRule="auto"/>
        <w:jc w:val="center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/>
          <w:b/>
          <w:color w:val="000099"/>
        </w:rPr>
        <w:t xml:space="preserve">„Demokracja uczestnicząca i jej rola w kształtowaniu odpornej </w:t>
      </w:r>
      <w:r w:rsidR="00411293">
        <w:rPr>
          <w:rFonts w:ascii="Times New Roman" w:hAnsi="Times New Roman"/>
          <w:b/>
          <w:color w:val="000099"/>
        </w:rPr>
        <w:br/>
      </w:r>
      <w:r>
        <w:rPr>
          <w:rFonts w:ascii="Times New Roman" w:hAnsi="Times New Roman"/>
          <w:b/>
          <w:color w:val="000099"/>
        </w:rPr>
        <w:t>i dostosowanej do przyszłych wyzwań UE”</w:t>
      </w:r>
    </w:p>
    <w:p w:rsidR="00824453" w:rsidRPr="001C28D1" w:rsidRDefault="00824453" w:rsidP="00984479">
      <w:pPr>
        <w:spacing w:after="0" w:line="288" w:lineRule="auto"/>
        <w:jc w:val="center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/>
          <w:b/>
          <w:color w:val="000099"/>
        </w:rPr>
        <w:t xml:space="preserve">Wkład Europejskiego Komitetu Ekonomiczno-Społecznego i krajowych rad </w:t>
      </w:r>
      <w:r w:rsidR="00411293">
        <w:rPr>
          <w:rFonts w:ascii="Times New Roman" w:hAnsi="Times New Roman"/>
          <w:b/>
          <w:color w:val="000099"/>
        </w:rPr>
        <w:br/>
      </w:r>
      <w:r>
        <w:rPr>
          <w:rFonts w:ascii="Times New Roman" w:hAnsi="Times New Roman"/>
          <w:b/>
          <w:color w:val="000099"/>
        </w:rPr>
        <w:t>społeczno-gospodarczych w Konferencję w sprawie przyszłości Europy</w:t>
      </w:r>
    </w:p>
    <w:p w:rsidR="00EA79B5" w:rsidRPr="002645D0" w:rsidRDefault="00EA79B5" w:rsidP="00984479">
      <w:pP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EA79B5" w:rsidRPr="002645D0" w:rsidRDefault="00EA79B5" w:rsidP="00984479">
      <w:pP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EA79B5" w:rsidRPr="002645D0" w:rsidRDefault="00EA79B5" w:rsidP="0098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EA79B5" w:rsidRPr="002645D0" w:rsidRDefault="00EA79B5" w:rsidP="0098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WNIOSKI</w:t>
      </w:r>
    </w:p>
    <w:p w:rsidR="00EA79B5" w:rsidRPr="002645D0" w:rsidRDefault="00EA79B5" w:rsidP="0098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EA79B5" w:rsidRPr="002645D0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2854C4" w:rsidRPr="002645D0" w:rsidRDefault="002854C4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EA79B5" w:rsidRPr="002645D0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824453" w:rsidRPr="002645D0" w:rsidRDefault="00824453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t>W dniach 22 i 23 listopada 2021 r. w Paryżu odbyło się posiedzenie przewodniczących i sekretarzy generalnych Europejskiego Komitetu Ekonomiczno-Społecznego (EKES-u) oraz krajowych rad społeczno-gospodarczych UE.</w:t>
      </w:r>
    </w:p>
    <w:p w:rsidR="00824453" w:rsidRPr="002645D0" w:rsidRDefault="00824453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824453" w:rsidRPr="002645D0" w:rsidRDefault="00824453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t>Po pogłębionej i owocnej debacie przedstawili oni następujące wnioski, wyrażające pełne poparcie dla ambitnych celów Konferencji w sprawie przyszłości Europy, która przyniesie konkretne rezultaty i sprawi, że Unia Europejska będzie silniejsza, lepiej przygotowana na przyszłe wyzwania i bliższa swoim obywatelom. Realizacja tego celu wymaga od UE, by wsłuchała się w przesłania i propozycje europejskiego i krajowego zorganizowanego społeczeństwa obywa</w:t>
      </w:r>
      <w:r w:rsidR="0012234F">
        <w:rPr>
          <w:rFonts w:ascii="Times New Roman" w:hAnsi="Times New Roman"/>
          <w:b/>
          <w:i/>
          <w:shd w:val="clear" w:color="auto" w:fill="FFFFFF"/>
        </w:rPr>
        <w:t>telskiego i podjęła w związku z </w:t>
      </w:r>
      <w:r>
        <w:rPr>
          <w:rFonts w:ascii="Times New Roman" w:hAnsi="Times New Roman"/>
          <w:b/>
          <w:i/>
          <w:shd w:val="clear" w:color="auto" w:fill="FFFFFF"/>
        </w:rPr>
        <w:t>nimi działania.</w:t>
      </w:r>
    </w:p>
    <w:p w:rsidR="003A15CF" w:rsidRPr="002645D0" w:rsidRDefault="003A15CF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411293" w:rsidRDefault="00411293" w:rsidP="00984479">
      <w:pPr>
        <w:spacing w:after="0" w:line="288" w:lineRule="auto"/>
        <w:jc w:val="both"/>
        <w:rPr>
          <w:rFonts w:ascii="Times New Roman" w:hAnsi="Times New Roman"/>
          <w:b/>
          <w:color w:val="000099"/>
          <w:sz w:val="28"/>
        </w:rPr>
        <w:sectPr w:rsidR="00411293" w:rsidSect="00EB31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3A15CF" w:rsidRPr="001C28D1" w:rsidRDefault="001C28D1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99"/>
          <w:sz w:val="28"/>
        </w:rPr>
        <w:lastRenderedPageBreak/>
        <w:t>Wprowadzenie</w:t>
      </w:r>
    </w:p>
    <w:p w:rsidR="003A15CF" w:rsidRPr="0038319C" w:rsidRDefault="003A15CF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1C28D1" w:rsidRPr="0038319C" w:rsidTr="001C28D1">
        <w:tc>
          <w:tcPr>
            <w:tcW w:w="9062" w:type="dxa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 w:rsidR="001C28D1" w:rsidRPr="0038319C" w:rsidRDefault="001C28D1" w:rsidP="00984479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bCs/>
                <w:i/>
                <w:iCs/>
                <w:shd w:val="clear" w:color="auto" w:fill="FFFFFF"/>
              </w:rPr>
            </w:pPr>
            <w:r w:rsidRPr="0038319C">
              <w:t xml:space="preserve">Europejski Komitet Ekonomiczno-Społeczny (EKES) i krajowe rady społeczno-gospodarcze (RSG) postrzegają pokonanie pandemii jako możliwość </w:t>
            </w:r>
            <w:r w:rsidRPr="0038319C">
              <w:rPr>
                <w:b/>
              </w:rPr>
              <w:t>rozwoju i ulepszenia społeczeństw</w:t>
            </w:r>
            <w:r w:rsidRPr="0038319C">
              <w:t xml:space="preserve"> w celu zbudowania silniejszej Unii Europejskiej, która będzie sprzyjać pozytywnej konwergencji, większej spójności i solidarności, a zarazem będzie gwarancją silniejszej tożsamości europejskiej. </w:t>
            </w:r>
            <w:r w:rsidRPr="0038319C">
              <w:rPr>
                <w:b/>
              </w:rPr>
              <w:t>Ta wizja Europy łączy w sobie trwały dobrobyt, sprawiedliwość społeczną, włączenie społeczne oraz sprawiedliwą transformację ekologiczną i cyfrową, promując jednocześnie poszanowanie praw podstawowych i praworządność.</w:t>
            </w:r>
          </w:p>
        </w:tc>
      </w:tr>
    </w:tbl>
    <w:p w:rsidR="003A15CF" w:rsidRPr="0038319C" w:rsidRDefault="003A15CF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75673" w:rsidRPr="0038319C" w:rsidTr="00975673">
        <w:tc>
          <w:tcPr>
            <w:tcW w:w="9062" w:type="dxa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 w:rsidR="00975673" w:rsidRPr="0038319C" w:rsidRDefault="00975673" w:rsidP="00984479">
            <w:pPr>
              <w:pStyle w:val="ListParagraph"/>
              <w:numPr>
                <w:ilvl w:val="0"/>
                <w:numId w:val="8"/>
              </w:numPr>
              <w:ind w:left="567" w:hanging="567"/>
            </w:pPr>
            <w:r w:rsidRPr="0038319C">
              <w:t xml:space="preserve">Realizacja tego celu wymaga od Unii Europejskiej wykorzystania jej </w:t>
            </w:r>
            <w:r w:rsidRPr="0038319C">
              <w:rPr>
                <w:b/>
              </w:rPr>
              <w:t>kluczowych atutów</w:t>
            </w:r>
            <w:r w:rsidRPr="0038319C">
              <w:t xml:space="preserve">, do których należą: </w:t>
            </w:r>
            <w:r w:rsidRPr="0038319C">
              <w:rPr>
                <w:b/>
              </w:rPr>
              <w:t>rozbudowany rynek wewnętrzny, silna baza przemysłowa, pozycja na międzynarodowej arenie gospodarczej, dobrze prosperujące społeczeństwo obywatelskie i nadzwyczajna solidarność</w:t>
            </w:r>
            <w:r w:rsidRPr="0038319C">
              <w:t xml:space="preserve">, co znalazło swój wyraz w nowym narzędziu służącym odbudowie – </w:t>
            </w:r>
            <w:r w:rsidRPr="0038319C">
              <w:rPr>
                <w:b/>
              </w:rPr>
              <w:t>NextGenerationEU</w:t>
            </w:r>
            <w:r w:rsidRPr="0038319C">
              <w:t>. EKES i krajowe RSG podkreślają, jak istotne jest rzeczywiste włączenie zorganizowanego społeczeństwa obywatelskiego w realizację i</w:t>
            </w:r>
            <w:r w:rsidR="0012234F">
              <w:t> </w:t>
            </w:r>
            <w:r w:rsidRPr="0038319C">
              <w:t>ocenę krajowych planów odbudowy i zwiększania odporności. Wskazują na potrzebę priorytetowego traktowania wymiaru społecznego w polityce, a zwłaszcza rozwoju idei zdrowej Europy we wszystkich jej wymiarach.</w:t>
            </w:r>
          </w:p>
          <w:p w:rsidR="00975673" w:rsidRPr="0038319C" w:rsidRDefault="00975673" w:rsidP="00984479">
            <w:pPr>
              <w:pStyle w:val="ListParagraph"/>
              <w:ind w:left="360"/>
              <w:rPr>
                <w:lang w:val="en-US"/>
              </w:rPr>
            </w:pPr>
          </w:p>
          <w:p w:rsidR="00975673" w:rsidRPr="0038319C" w:rsidRDefault="00975673" w:rsidP="00984479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38319C">
              <w:rPr>
                <w:rFonts w:ascii="Times New Roman" w:hAnsi="Times New Roman" w:cs="Times New Roman"/>
                <w:b/>
              </w:rPr>
              <w:t>Zielony Ład dla Europy</w:t>
            </w:r>
            <w:r w:rsidRPr="0038319C">
              <w:rPr>
                <w:rFonts w:ascii="Times New Roman" w:hAnsi="Times New Roman" w:cs="Times New Roman"/>
              </w:rPr>
              <w:t>, którego celem jest osiągnięcie neutralności emisyjnej do 2050 r., jest nową europejską strategią wzrostu opartego na dobrobycie, zrównoważonym rozwoju i</w:t>
            </w:r>
            <w:r w:rsidR="0012234F">
              <w:rPr>
                <w:rFonts w:ascii="Times New Roman" w:hAnsi="Times New Roman" w:cs="Times New Roman"/>
              </w:rPr>
              <w:t> </w:t>
            </w:r>
            <w:r w:rsidRPr="0038319C">
              <w:rPr>
                <w:rFonts w:ascii="Times New Roman" w:hAnsi="Times New Roman" w:cs="Times New Roman"/>
              </w:rPr>
              <w:t xml:space="preserve">sprawiedliwości społecznej. W kontekście </w:t>
            </w:r>
            <w:r w:rsidRPr="0038319C">
              <w:rPr>
                <w:rFonts w:ascii="Times New Roman" w:hAnsi="Times New Roman" w:cs="Times New Roman"/>
                <w:b/>
              </w:rPr>
              <w:t>transformacji cyfrowej</w:t>
            </w:r>
            <w:r w:rsidRPr="0038319C">
              <w:rPr>
                <w:rFonts w:ascii="Times New Roman" w:hAnsi="Times New Roman" w:cs="Times New Roman"/>
              </w:rPr>
              <w:t xml:space="preserve"> oznacza to również wzmocnienie pozycji obywateli i przedsiębiorstw, aby mogli współtworzyć ukierunkowaną na człowieka, zrównoważoną i dostatniejszą przyszłość cyfrową. </w:t>
            </w:r>
            <w:r w:rsidRPr="0038319C">
              <w:rPr>
                <w:rFonts w:ascii="Times New Roman" w:hAnsi="Times New Roman" w:cs="Times New Roman"/>
                <w:b/>
              </w:rPr>
              <w:t>Dwadzieścia zasad Europejskiego filaru praw socjalnych</w:t>
            </w:r>
            <w:r w:rsidRPr="0038319C">
              <w:rPr>
                <w:rFonts w:ascii="Times New Roman" w:hAnsi="Times New Roman" w:cs="Times New Roman"/>
              </w:rPr>
              <w:t xml:space="preserve"> wskazuje kierunek ku Europie socjalnej, która sprzyja włączeniu społecznemu i oferuje wiele możliwości.</w:t>
            </w:r>
          </w:p>
        </w:tc>
      </w:tr>
    </w:tbl>
    <w:p w:rsidR="003A15CF" w:rsidRPr="0038319C" w:rsidRDefault="003A15CF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75673" w:rsidRPr="0038319C" w:rsidTr="00975673">
        <w:tc>
          <w:tcPr>
            <w:tcW w:w="9062" w:type="dxa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 w:rsidR="00975673" w:rsidRPr="0038319C" w:rsidRDefault="00975673" w:rsidP="00984479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bCs/>
              </w:rPr>
            </w:pPr>
            <w:r w:rsidRPr="0038319C">
              <w:t xml:space="preserve">W okresie, w którym Unia Europejska wymaga przebudowy i przygotowania do przyszłych wyzwań, </w:t>
            </w:r>
            <w:r w:rsidRPr="0038319C">
              <w:rPr>
                <w:b/>
              </w:rPr>
              <w:t>kluczowymi podmiotami są partnerzy społeczni i organizacje społeczeństwa obywatelskiego, a także EKES i RSG państw członkowskich</w:t>
            </w:r>
            <w:r w:rsidRPr="0038319C">
              <w:t>.</w:t>
            </w:r>
          </w:p>
          <w:p w:rsidR="00975673" w:rsidRPr="0038319C" w:rsidRDefault="00975673" w:rsidP="00984479">
            <w:pPr>
              <w:pStyle w:val="ListParagraph"/>
              <w:ind w:left="360"/>
              <w:rPr>
                <w:lang w:val="en-US"/>
              </w:rPr>
            </w:pPr>
          </w:p>
          <w:p w:rsidR="00975673" w:rsidRPr="0038319C" w:rsidRDefault="00975673" w:rsidP="00984479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38319C">
              <w:rPr>
                <w:rFonts w:ascii="Times New Roman" w:hAnsi="Times New Roman" w:cs="Times New Roman"/>
              </w:rPr>
              <w:t xml:space="preserve">EKES i RSG państw członkowskich UE potwierdzają </w:t>
            </w:r>
            <w:r w:rsidRPr="0038319C">
              <w:rPr>
                <w:rFonts w:ascii="Times New Roman" w:hAnsi="Times New Roman" w:cs="Times New Roman"/>
                <w:b/>
              </w:rPr>
              <w:t>gotowość do aktywnego uczestnictwa w procesie planowania, kształtowania i wdrażania obecnych reform</w:t>
            </w:r>
            <w:r w:rsidRPr="0038319C">
              <w:rPr>
                <w:rFonts w:ascii="Times New Roman" w:hAnsi="Times New Roman" w:cs="Times New Roman"/>
              </w:rPr>
              <w:t xml:space="preserve">, aby zapewnić pełne dostosowanie polityki do potrzeb i oczekiwań obywateli oraz wzbudzić większe poczucie współodpowiedzialności. Podkreślają potrzebę wzmocnienia polityki publicznej na rzecz osób znajdujących się w najtrudniejszej sytuacji oraz konieczność europejskiej konwergencji w zakresie polityki młodzieżowej. EKES i krajowe RSG dysponują obszerną wiedzą w tej dziedzinie i są jedynymi w swoim rodzaju stałymi forami dialogu obywatelskiego, które mogą zaoferować </w:t>
            </w:r>
            <w:r w:rsidRPr="0038319C">
              <w:rPr>
                <w:rFonts w:ascii="Times New Roman" w:hAnsi="Times New Roman" w:cs="Times New Roman"/>
                <w:b/>
              </w:rPr>
              <w:t>rozwiązania oparte na konsensusie</w:t>
            </w:r>
            <w:r w:rsidRPr="0038319C">
              <w:rPr>
                <w:rFonts w:ascii="Times New Roman" w:hAnsi="Times New Roman" w:cs="Times New Roman"/>
              </w:rPr>
              <w:t xml:space="preserve"> między różnymi zainteresowanymi stronami.</w:t>
            </w:r>
            <w:r w:rsidRPr="0038319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975673" w:rsidRPr="0038319C" w:rsidRDefault="00975673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75673" w:rsidRPr="0038319C" w:rsidTr="00975673">
        <w:tc>
          <w:tcPr>
            <w:tcW w:w="9062" w:type="dxa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 w:rsidR="00975673" w:rsidRPr="0038319C" w:rsidRDefault="00975673" w:rsidP="00984479">
            <w:pPr>
              <w:pStyle w:val="ListParagraph"/>
              <w:numPr>
                <w:ilvl w:val="0"/>
                <w:numId w:val="8"/>
              </w:numPr>
              <w:ind w:left="567" w:hanging="567"/>
            </w:pPr>
            <w:r w:rsidRPr="0038319C">
              <w:lastRenderedPageBreak/>
              <w:t xml:space="preserve">Zarówno EKES, jak i krajowe RSG postrzegają </w:t>
            </w:r>
            <w:r w:rsidRPr="0038319C">
              <w:rPr>
                <w:b/>
              </w:rPr>
              <w:t>Konferencję w sprawie przyszłości Europy jako historyczną szansę</w:t>
            </w:r>
            <w:r w:rsidRPr="0038319C">
              <w:t>, aby ożywić projekt integracji europejskiej i rozwinąć demokrację uczestniczącą. Uważają, że Konferencja musi skoncentrować się na Europejczykach, zapewnić udział obywatelek i obywateli i organizacji</w:t>
            </w:r>
            <w:r w:rsidR="0012234F">
              <w:t xml:space="preserve"> społeczeństwa obywatelskiego z </w:t>
            </w:r>
            <w:r w:rsidRPr="0038319C">
              <w:t>27</w:t>
            </w:r>
            <w:r w:rsidR="0012234F">
              <w:t> </w:t>
            </w:r>
            <w:r w:rsidRPr="0038319C">
              <w:t>państw członkowskich UE w debatach oraz osiągnąć konkretne, widoczne i wymierne rezultaty.</w:t>
            </w:r>
          </w:p>
          <w:p w:rsidR="00975673" w:rsidRPr="0038319C" w:rsidRDefault="00975673" w:rsidP="00984479">
            <w:pPr>
              <w:pStyle w:val="ListParagraph"/>
              <w:spacing w:after="240"/>
              <w:ind w:left="360"/>
              <w:rPr>
                <w:lang w:val="en-US"/>
              </w:rPr>
            </w:pPr>
          </w:p>
          <w:p w:rsidR="00975673" w:rsidRPr="0038319C" w:rsidRDefault="00975673" w:rsidP="00984479">
            <w:pPr>
              <w:pStyle w:val="ListParagraph"/>
              <w:ind w:left="567"/>
              <w:contextualSpacing w:val="0"/>
              <w:rPr>
                <w:spacing w:val="-2"/>
              </w:rPr>
            </w:pPr>
            <w:r w:rsidRPr="0038319C">
              <w:t xml:space="preserve">Jej fundamentem musi być </w:t>
            </w:r>
            <w:r w:rsidRPr="0038319C">
              <w:rPr>
                <w:b/>
              </w:rPr>
              <w:t>przejrzysty, oddolny proces i osiągnięcie wymiernych wyników</w:t>
            </w:r>
            <w:r w:rsidRPr="0038319C">
              <w:t xml:space="preserve">. W celu zapewnienia przejrzystości i rozliczalności należy opracować internetowy </w:t>
            </w:r>
            <w:r w:rsidRPr="0038319C">
              <w:rPr>
                <w:b/>
                <w:bCs/>
              </w:rPr>
              <w:t>zestaw narzędzi</w:t>
            </w:r>
            <w:r w:rsidRPr="0038319C">
              <w:t>, aby informować obywateli o tym, w jaki sposób instytucje Unii rozpatrują ich wnioski, czy podjęte środki mające na celu przeprowadzenie reform wynikają z ustaleń Konferencji w sprawie przyszłości Europy oraz jaki jest harmonogram ich realizacji. Jeżeli w odniesieniu do niektórych pomysłów nie zostaną podjęte żadne działania, należy wyjaśnić przyczynę takiego stanu rzeczy.</w:t>
            </w:r>
          </w:p>
          <w:p w:rsidR="00975673" w:rsidRPr="0038319C" w:rsidRDefault="00975673" w:rsidP="00984479">
            <w:pPr>
              <w:pStyle w:val="ListParagraph"/>
              <w:ind w:left="360"/>
              <w:rPr>
                <w:lang w:val="en-US"/>
              </w:rPr>
            </w:pPr>
          </w:p>
          <w:p w:rsidR="00975673" w:rsidRPr="0038319C" w:rsidRDefault="00975673" w:rsidP="00984479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38319C">
              <w:rPr>
                <w:rFonts w:ascii="Times New Roman" w:hAnsi="Times New Roman" w:cs="Times New Roman"/>
              </w:rPr>
              <w:t xml:space="preserve">EKES i krajowe RSG, z racji swojego składu i sieci kontaktów, są szczególnie dobrze przygotowane do </w:t>
            </w:r>
            <w:r w:rsidRPr="0038319C">
              <w:rPr>
                <w:rFonts w:ascii="Times New Roman" w:hAnsi="Times New Roman" w:cs="Times New Roman"/>
                <w:b/>
              </w:rPr>
              <w:t>nawiązywania relacji z obywatelami</w:t>
            </w:r>
            <w:r w:rsidRPr="0038319C">
              <w:rPr>
                <w:rFonts w:ascii="Times New Roman" w:hAnsi="Times New Roman" w:cs="Times New Roman"/>
              </w:rPr>
              <w:t xml:space="preserve"> i przekazywania ich propozycji organom zarządzającym Konferencji. Obecnie istotne jest przejście od wspólnej wizji do konkretnych działań europejskiego zorganizowanego społeczeństwa obywatelskiego, co jest głównym budulcem wiary w przyszłość UE.</w:t>
            </w:r>
          </w:p>
        </w:tc>
      </w:tr>
    </w:tbl>
    <w:p w:rsidR="00975673" w:rsidRPr="0038319C" w:rsidRDefault="00975673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975673" w:rsidRPr="0038319C" w:rsidRDefault="00975673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en-US"/>
        </w:rPr>
      </w:pPr>
    </w:p>
    <w:p w:rsidR="007366DC" w:rsidRPr="0038319C" w:rsidRDefault="007366DC" w:rsidP="00984479">
      <w:pPr>
        <w:pStyle w:val="ListParagraph"/>
        <w:numPr>
          <w:ilvl w:val="0"/>
          <w:numId w:val="1"/>
        </w:numPr>
        <w:ind w:left="567" w:hanging="567"/>
        <w:rPr>
          <w:b/>
          <w:bCs/>
          <w:smallCaps/>
          <w:color w:val="000099"/>
          <w:u w:val="single"/>
        </w:rPr>
      </w:pPr>
      <w:r w:rsidRPr="0038319C">
        <w:rPr>
          <w:b/>
          <w:smallCaps/>
          <w:color w:val="000099"/>
          <w:u w:val="single"/>
        </w:rPr>
        <w:t>Europa jutra – wizja EKES-u i krajowych RSG</w:t>
      </w:r>
    </w:p>
    <w:p w:rsidR="007366DC" w:rsidRPr="0038319C" w:rsidRDefault="007366DC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EA79B5" w:rsidRPr="0038319C" w:rsidRDefault="000C2CB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W procesie odbudowy należy uwzględnić skutki pandemii, a także </w:t>
      </w:r>
      <w:r w:rsidRPr="0038319C">
        <w:rPr>
          <w:rFonts w:ascii="Times New Roman" w:hAnsi="Times New Roman" w:cs="Times New Roman"/>
          <w:b/>
        </w:rPr>
        <w:t>wyzwania i przemiany</w:t>
      </w:r>
      <w:r w:rsidRPr="0038319C">
        <w:rPr>
          <w:rFonts w:ascii="Times New Roman" w:hAnsi="Times New Roman" w:cs="Times New Roman"/>
        </w:rPr>
        <w:t>, przed którymi stoimy, takie jak dwojaka transformacja – technologiczna i ekologiczna, starzenie się społeczeństwa i globalizacja.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0C2CB8" w:rsidRPr="0038319C" w:rsidRDefault="000C2CB8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8319C">
        <w:rPr>
          <w:rFonts w:ascii="Times New Roman" w:hAnsi="Times New Roman" w:cs="Times New Roman"/>
        </w:rPr>
        <w:t xml:space="preserve">Nie da się tak zwyczajnie wrócić do sytuacji sprzed kryzysu: trzeba </w:t>
      </w:r>
      <w:r w:rsidRPr="0038319C">
        <w:rPr>
          <w:rFonts w:ascii="Times New Roman" w:hAnsi="Times New Roman" w:cs="Times New Roman"/>
          <w:b/>
        </w:rPr>
        <w:t>iść naprzód</w:t>
      </w:r>
      <w:r w:rsidRPr="0038319C">
        <w:rPr>
          <w:rFonts w:ascii="Times New Roman" w:hAnsi="Times New Roman" w:cs="Times New Roman"/>
        </w:rPr>
        <w:t xml:space="preserve">, przeorganizować i rozwijać społeczeństwa. W tym celu należy dążyć do zbudowania silniejszej Unii Europejskiej, wspierającej </w:t>
      </w:r>
      <w:r w:rsidRPr="0038319C">
        <w:rPr>
          <w:rFonts w:ascii="Times New Roman" w:hAnsi="Times New Roman" w:cs="Times New Roman"/>
          <w:b/>
        </w:rPr>
        <w:t>pozytywną konwergencję, większą spójność i solidarność</w:t>
      </w:r>
      <w:r w:rsidRPr="0038319C">
        <w:rPr>
          <w:rFonts w:ascii="Times New Roman" w:hAnsi="Times New Roman" w:cs="Times New Roman"/>
        </w:rPr>
        <w:t xml:space="preserve">. Taka wizja Europy łączy w sobie </w:t>
      </w:r>
      <w:r w:rsidRPr="0038319C">
        <w:rPr>
          <w:rFonts w:ascii="Times New Roman" w:hAnsi="Times New Roman" w:cs="Times New Roman"/>
          <w:b/>
        </w:rPr>
        <w:t>trwały dobrobyt, sprawiedliwość społeczną, włączenie społeczne oraz sprawiedliwą transformację ekologiczną i cyfrową, promując jednocześnie poszanowanie praw podstawowych i praworządność</w:t>
      </w:r>
      <w:r w:rsidRPr="0038319C">
        <w:rPr>
          <w:rFonts w:ascii="Times New Roman" w:hAnsi="Times New Roman" w:cs="Times New Roman"/>
        </w:rPr>
        <w:t>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EA79B5" w:rsidRPr="0038319C" w:rsidRDefault="000C2CB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Dlatego też państwa członkowskie powinny wspierać </w:t>
      </w:r>
      <w:r w:rsidRPr="0038319C">
        <w:rPr>
          <w:rFonts w:ascii="Times New Roman" w:hAnsi="Times New Roman" w:cs="Times New Roman"/>
          <w:b/>
        </w:rPr>
        <w:t>konkurencyjność</w:t>
      </w:r>
      <w:r w:rsidRPr="0038319C">
        <w:rPr>
          <w:rFonts w:ascii="Times New Roman" w:hAnsi="Times New Roman" w:cs="Times New Roman"/>
        </w:rPr>
        <w:t xml:space="preserve"> europejskiej gospodarki i przedsiębiorstw niezależnie od ich wielkości i formy, w szczególności MŚP i gospodarki społecznej, a także </w:t>
      </w:r>
      <w:r w:rsidRPr="0038319C">
        <w:rPr>
          <w:rFonts w:ascii="Times New Roman" w:hAnsi="Times New Roman" w:cs="Times New Roman"/>
          <w:b/>
        </w:rPr>
        <w:t>przedsiębiorczość</w:t>
      </w:r>
      <w:r w:rsidRPr="0038319C">
        <w:rPr>
          <w:rFonts w:ascii="Times New Roman" w:hAnsi="Times New Roman" w:cs="Times New Roman"/>
        </w:rPr>
        <w:t>, która powinna również sprzyjać tworzeniu wysokiej jakości miejsc pracy.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EA79B5" w:rsidRPr="0038319C" w:rsidRDefault="000C2CB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Europa potrzebuje jednocześnie </w:t>
      </w:r>
      <w:r w:rsidRPr="0038319C">
        <w:rPr>
          <w:rFonts w:ascii="Times New Roman" w:hAnsi="Times New Roman" w:cs="Times New Roman"/>
          <w:b/>
        </w:rPr>
        <w:t>podejścia społecznego, dzięki które</w:t>
      </w:r>
      <w:r w:rsidR="0012234F">
        <w:rPr>
          <w:rFonts w:ascii="Times New Roman" w:hAnsi="Times New Roman" w:cs="Times New Roman"/>
          <w:b/>
        </w:rPr>
        <w:t>mu nikt nie pozostanie w tyle i </w:t>
      </w:r>
      <w:r w:rsidRPr="0038319C">
        <w:rPr>
          <w:rFonts w:ascii="Times New Roman" w:hAnsi="Times New Roman" w:cs="Times New Roman"/>
          <w:b/>
        </w:rPr>
        <w:t>które pozwoli zwalczać ubóstwo</w:t>
      </w:r>
      <w:r w:rsidRPr="0038319C">
        <w:rPr>
          <w:rFonts w:ascii="Times New Roman" w:hAnsi="Times New Roman" w:cs="Times New Roman"/>
        </w:rPr>
        <w:t>. W tym celu należy zwiększyć inwestycje infrastrukturalne i</w:t>
      </w:r>
      <w:r w:rsidR="0012234F">
        <w:rPr>
          <w:rFonts w:ascii="Times New Roman" w:hAnsi="Times New Roman" w:cs="Times New Roman"/>
        </w:rPr>
        <w:t> </w:t>
      </w:r>
      <w:r w:rsidRPr="0038319C">
        <w:rPr>
          <w:rFonts w:ascii="Times New Roman" w:hAnsi="Times New Roman" w:cs="Times New Roman"/>
        </w:rPr>
        <w:t>społeczne, między innymi w ochronę socjalną oraz innowacje i umiejętności dostosowane do przyszłych wyzwań.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0C2CB8" w:rsidRPr="0038319C" w:rsidRDefault="000C2CB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lastRenderedPageBreak/>
        <w:t xml:space="preserve">W szczególności musimy </w:t>
      </w:r>
      <w:r w:rsidRPr="0038319C">
        <w:rPr>
          <w:rFonts w:ascii="Times New Roman" w:hAnsi="Times New Roman" w:cs="Times New Roman"/>
          <w:b/>
        </w:rPr>
        <w:t>chronić osoby najbardziej narażone w społeczeństwie</w:t>
      </w:r>
      <w:r w:rsidRPr="0038319C">
        <w:rPr>
          <w:rFonts w:ascii="Times New Roman" w:hAnsi="Times New Roman" w:cs="Times New Roman"/>
        </w:rPr>
        <w:t>, które zostały szczególnie dotknięte kryzysem związanym z COVID-19 (np. osoby z niepełnosprawnościami oraz osoby wywodzące się ze środowisk migracyjnych lub mniejszości etnicznych). W duchu sprawiedliwości międzypokoleniowej należy zwrócić szczególną uwagę na młodych ludzi, którzy zasługują na lepszą przyszłość. EKES i krajowe RSG doceniają uwagę, jaką w ramach Konferencji w</w:t>
      </w:r>
      <w:r w:rsidR="0012234F">
        <w:rPr>
          <w:rFonts w:ascii="Times New Roman" w:hAnsi="Times New Roman" w:cs="Times New Roman"/>
        </w:rPr>
        <w:t> </w:t>
      </w:r>
      <w:r w:rsidRPr="0038319C">
        <w:rPr>
          <w:rFonts w:ascii="Times New Roman" w:hAnsi="Times New Roman" w:cs="Times New Roman"/>
        </w:rPr>
        <w:t>sprawie przyszłości Europy poświęca się młodzieży, oraz fakt, że rok 2022 został ogłoszony Europejskim Rokiem Młodzieży.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  <w:color w:val="424242"/>
          <w:shd w:val="clear" w:color="auto" w:fill="FFFFFF"/>
        </w:rPr>
      </w:pPr>
      <w:r w:rsidRPr="0038319C">
        <w:rPr>
          <w:rFonts w:ascii="Times New Roman" w:hAnsi="Times New Roman" w:cs="Times New Roman"/>
          <w:color w:val="424242"/>
          <w:shd w:val="clear" w:color="auto" w:fill="FFFFFF"/>
        </w:rPr>
        <w:t xml:space="preserve">Niezbędne będzie wzmocnienie </w:t>
      </w:r>
      <w:r w:rsidRPr="0038319C">
        <w:rPr>
          <w:rFonts w:ascii="Times New Roman" w:hAnsi="Times New Roman" w:cs="Times New Roman"/>
          <w:b/>
          <w:color w:val="424242"/>
          <w:shd w:val="clear" w:color="auto" w:fill="FFFFFF"/>
        </w:rPr>
        <w:t>systemów opieki zdrowotnej</w:t>
      </w:r>
      <w:r w:rsidRPr="0038319C">
        <w:rPr>
          <w:rFonts w:ascii="Times New Roman" w:hAnsi="Times New Roman" w:cs="Times New Roman"/>
          <w:color w:val="424242"/>
          <w:shd w:val="clear" w:color="auto" w:fill="FFFFFF"/>
        </w:rPr>
        <w:t xml:space="preserve"> państw członkowskich, dalsze zwiększanie unijnej koordynacji w dziedzinie zdrowia oraz skuteczniejsze zapobieganie transgranicznym zagrożeniom dla zdrowia. Unia Europejska powinna wykazać się ambitnym podejściem do Europejskiej Unii Zdrowotnej oraz Urzędu ds. Gotowości i Reagowania na Stany Zagrożenia Zdrowia (HERA). </w:t>
      </w: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EKES i krajowe RSG przypominają też o pilnej potrzebie podjęcia działań w obliczu kryzysu klimatycznego, do którego doprowadziła działalność człowieka i który wywiera niezaprzeczalny wpływ na każdy skrawek lądu, powietrza i morza na naszej planecie. Należy dążyć do osiągnięcia neutralności emisyjnej do 2050 r. Gospodarka dobrobytu powinna chronić ekosystemy, zachować różnorodność biologiczną i zapewnić sprawiedliwe przejście do neutralnego pod względem klimatu sposobu życia w całej UE, jak również wspierać zrównoważoną przedsiębiorczość.</w:t>
      </w: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Unia Europejska musi też bronić </w:t>
      </w:r>
      <w:r w:rsidRPr="0038319C">
        <w:rPr>
          <w:rFonts w:ascii="Times New Roman" w:hAnsi="Times New Roman" w:cs="Times New Roman"/>
          <w:b/>
        </w:rPr>
        <w:t>równości płci, różnorodności, pokoju, praw podstawowych, praworządności, demokracji, dialogu społecznego i sprawowania rządów uwzględniającego wszystkie podmioty</w:t>
      </w:r>
      <w:r w:rsidRPr="0038319C">
        <w:rPr>
          <w:rFonts w:ascii="Times New Roman" w:hAnsi="Times New Roman" w:cs="Times New Roman"/>
        </w:rPr>
        <w:t>.</w:t>
      </w:r>
    </w:p>
    <w:p w:rsidR="007D0E35" w:rsidRPr="0038319C" w:rsidRDefault="007D0E35" w:rsidP="00984479">
      <w:pPr>
        <w:spacing w:after="0" w:line="288" w:lineRule="auto"/>
        <w:rPr>
          <w:rFonts w:ascii="Times New Roman" w:hAnsi="Times New Roman" w:cs="Times New Roman"/>
          <w:lang w:val="en-US"/>
        </w:rPr>
      </w:pPr>
    </w:p>
    <w:p w:rsidR="00EA79B5" w:rsidRPr="0038319C" w:rsidRDefault="00456709" w:rsidP="00984479">
      <w:pPr>
        <w:pStyle w:val="ListParagraph"/>
        <w:numPr>
          <w:ilvl w:val="0"/>
          <w:numId w:val="1"/>
        </w:numPr>
        <w:ind w:left="567" w:hanging="567"/>
        <w:rPr>
          <w:b/>
          <w:bCs/>
          <w:smallCaps/>
          <w:color w:val="000099"/>
          <w:u w:val="single"/>
        </w:rPr>
      </w:pPr>
      <w:r w:rsidRPr="0038319C">
        <w:rPr>
          <w:b/>
          <w:smallCaps/>
          <w:color w:val="000099"/>
          <w:u w:val="single"/>
        </w:rPr>
        <w:t xml:space="preserve">Realizacja wspólnej wizji w oparciu o atuty </w:t>
      </w:r>
    </w:p>
    <w:p w:rsidR="00456709" w:rsidRPr="0038319C" w:rsidRDefault="00456709" w:rsidP="00984479">
      <w:pPr>
        <w:pStyle w:val="ListParagraph"/>
        <w:ind w:left="360"/>
        <w:rPr>
          <w:lang w:val="en-US"/>
        </w:rPr>
      </w:pP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Unia Europejska może wykorzystać </w:t>
      </w:r>
      <w:r w:rsidRPr="0038319C">
        <w:rPr>
          <w:rFonts w:ascii="Times New Roman" w:hAnsi="Times New Roman" w:cs="Times New Roman"/>
          <w:b/>
        </w:rPr>
        <w:t>kluczowe atuty</w:t>
      </w:r>
      <w:r w:rsidRPr="0038319C">
        <w:rPr>
          <w:rFonts w:ascii="Times New Roman" w:hAnsi="Times New Roman" w:cs="Times New Roman"/>
        </w:rPr>
        <w:t xml:space="preserve">, takie jak: </w:t>
      </w:r>
      <w:r w:rsidRPr="0038319C">
        <w:rPr>
          <w:rFonts w:ascii="Times New Roman" w:hAnsi="Times New Roman" w:cs="Times New Roman"/>
          <w:b/>
        </w:rPr>
        <w:t>rozbudowany rynek wewnętrzny, silna baza przemysłowa i nadzwyczajna solidarność</w:t>
      </w:r>
      <w:r w:rsidRPr="0038319C">
        <w:rPr>
          <w:rFonts w:ascii="Times New Roman" w:hAnsi="Times New Roman" w:cs="Times New Roman"/>
        </w:rPr>
        <w:t xml:space="preserve">, co znalazło swój wyraz w nowym narzędziu służącym odbudowie – NextGenerationEU. </w:t>
      </w: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Musi też odgrywać </w:t>
      </w:r>
      <w:r w:rsidRPr="0038319C">
        <w:rPr>
          <w:rFonts w:ascii="Times New Roman" w:hAnsi="Times New Roman" w:cs="Times New Roman"/>
          <w:b/>
        </w:rPr>
        <w:t>ważną rolę na międzynarodowej arenie gospodarczej</w:t>
      </w:r>
      <w:r w:rsidRPr="0038319C">
        <w:rPr>
          <w:rFonts w:ascii="Times New Roman" w:hAnsi="Times New Roman" w:cs="Times New Roman"/>
        </w:rPr>
        <w:t xml:space="preserve">, aby chronić swoje </w:t>
      </w:r>
      <w:r w:rsidRPr="0038319C">
        <w:rPr>
          <w:rFonts w:ascii="Times New Roman" w:hAnsi="Times New Roman" w:cs="Times New Roman"/>
          <w:b/>
        </w:rPr>
        <w:t>wartości, poszanowanie praw podstawowych i praworządność</w:t>
      </w:r>
      <w:r w:rsidRPr="0038319C">
        <w:rPr>
          <w:rFonts w:ascii="Times New Roman" w:hAnsi="Times New Roman" w:cs="Times New Roman"/>
        </w:rPr>
        <w:t xml:space="preserve"> oraz bronić swoich priorytetów. Musi osiągnąć pewien stopień otwartej strategicznej autonomii oraz zwiększyć gotowość do reagowania w sytuacjach kryzysowych i zdolność zarządzania kryzysowego.</w:t>
      </w:r>
    </w:p>
    <w:p w:rsidR="002645D0" w:rsidRPr="0038319C" w:rsidRDefault="002645D0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56709" w:rsidRPr="0038319C" w:rsidRDefault="005713DF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  <w:b/>
        </w:rPr>
        <w:t>Zielony Ład dla Europy</w:t>
      </w:r>
      <w:r w:rsidRPr="0038319C">
        <w:rPr>
          <w:rFonts w:ascii="Times New Roman" w:hAnsi="Times New Roman" w:cs="Times New Roman"/>
        </w:rPr>
        <w:t xml:space="preserve"> jest nową europejską strategią wzrostu opartą na dobrobycie, zrównoważonym rozwoju i sprawiedliwości społecznej.  Jej celem jest przekształcenie UE w nowoczesną, zasobooszczędną i konkurencyjną gospodarkę, która doprowadzi do całkowitego wyeliminowania emisji gazów cieplarnianych netto do 2050 r. oraz zapewni wzrost gospodarczy niezależny od stopnia wykorzystania zasobów, nie pozostawiając przy tym nikogo w tyle.</w:t>
      </w: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456709" w:rsidRPr="0038319C" w:rsidRDefault="00456709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Sprawiedliwe przejście do neutralnego pod względem klimatu stylu życia, tworzenie wysokiej jakości miejsc pracy oraz promowanie zrównoważonej przedsiębiorczości i innowacji, z uwzględnieniem gospodarki o obiegu zamkniętym i gospodarki społecznej, będą mieć zasadnicze znaczenie dla dobrobytu Europy.</w:t>
      </w:r>
    </w:p>
    <w:p w:rsidR="000F43E2" w:rsidRPr="0038319C" w:rsidRDefault="000F43E2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1E6FD9" w:rsidRPr="0038319C" w:rsidRDefault="001E6FD9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Kolejnym poważnym wyzwaniem jest pomyślne przeprowadzenie </w:t>
      </w:r>
      <w:r w:rsidRPr="0038319C">
        <w:rPr>
          <w:rFonts w:ascii="Times New Roman" w:hAnsi="Times New Roman" w:cs="Times New Roman"/>
          <w:b/>
        </w:rPr>
        <w:t>transformacji cyfrowej</w:t>
      </w:r>
      <w:r w:rsidRPr="0038319C">
        <w:rPr>
          <w:rFonts w:ascii="Times New Roman" w:hAnsi="Times New Roman" w:cs="Times New Roman"/>
        </w:rPr>
        <w:t>. Jej celem jest wzmocnienie pozycji obywatelek, obywateli i przedsiębiorstw, tak aby byli przygotowani do cyfrowej przyszłości nastawionej na człowieka, zrównoważonej i bardziej dostatniej. Europejska agenda cyfrowa ma zapewnić, aby transformacja ta przyniosła korzyści wszystkim podmiotom – obywatelom i przedsiębiorstwom – pomagając jednocześnie UE w osiągnięciu celu neutralności klimatycznej do 2050 r.</w:t>
      </w:r>
    </w:p>
    <w:p w:rsidR="000F43E2" w:rsidRPr="0038319C" w:rsidRDefault="000F43E2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Wreszcie </w:t>
      </w:r>
      <w:r w:rsidRPr="0038319C">
        <w:rPr>
          <w:rFonts w:ascii="Times New Roman" w:hAnsi="Times New Roman" w:cs="Times New Roman"/>
          <w:b/>
          <w:bCs/>
        </w:rPr>
        <w:t>n</w:t>
      </w:r>
      <w:r w:rsidRPr="0038319C">
        <w:rPr>
          <w:rFonts w:ascii="Times New Roman" w:hAnsi="Times New Roman" w:cs="Times New Roman"/>
          <w:b/>
        </w:rPr>
        <w:t>ajwiększymi atutami Unii są jej obywatele i europejskie społeczeństwo obywatelskie</w:t>
      </w:r>
      <w:r w:rsidRPr="0038319C">
        <w:rPr>
          <w:rFonts w:ascii="Times New Roman" w:hAnsi="Times New Roman" w:cs="Times New Roman"/>
        </w:rPr>
        <w:t>.</w:t>
      </w:r>
      <w:r w:rsidRPr="0038319C">
        <w:rPr>
          <w:rFonts w:ascii="Times New Roman" w:hAnsi="Times New Roman" w:cs="Times New Roman"/>
          <w:b/>
        </w:rPr>
        <w:t xml:space="preserve"> </w:t>
      </w:r>
      <w:r w:rsidRPr="0038319C">
        <w:rPr>
          <w:rFonts w:ascii="Times New Roman" w:hAnsi="Times New Roman" w:cs="Times New Roman"/>
        </w:rPr>
        <w:t xml:space="preserve">Należy zapewnić im centralne miejsce w kształtowaniu polityki poprzez prowadzenie skutecznego dialogu obywatelskiego i społecznego oraz wzmocnić ich pozycję, aby mogli sprostać zmianom wynikającym z dwojakiej transformacji.  Dwadzieścia zasad Europejskiego filaru praw socjalnych wskazuje kierunek ku Europie socjalnej, która sprzyja włączeniu społecznemu i oferuje wiele możliwości. </w:t>
      </w: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EKES i krajowe RSG z zadowoleniem przyjmują fakt, że rok 2022 będzie </w:t>
      </w:r>
      <w:r w:rsidRPr="0038319C">
        <w:rPr>
          <w:rFonts w:ascii="Times New Roman" w:hAnsi="Times New Roman" w:cs="Times New Roman"/>
          <w:b/>
        </w:rPr>
        <w:t>Europejskim Rokiem Młodzieży</w:t>
      </w:r>
      <w:r w:rsidRPr="0038319C">
        <w:rPr>
          <w:rFonts w:ascii="Times New Roman" w:hAnsi="Times New Roman" w:cs="Times New Roman"/>
        </w:rPr>
        <w:t>. Osoby młode w największym stopniu odczuły skutki pandemii, a także doświadczyły wzrostu stopy bezrobocia i wskaźnika bierności zawodowej. Z tego względu zarówno Komitet, jak i</w:t>
      </w:r>
      <w:r w:rsidR="0012234F">
        <w:rPr>
          <w:rFonts w:ascii="Times New Roman" w:hAnsi="Times New Roman" w:cs="Times New Roman"/>
        </w:rPr>
        <w:t> </w:t>
      </w:r>
      <w:r w:rsidRPr="0038319C">
        <w:rPr>
          <w:rFonts w:ascii="Times New Roman" w:hAnsi="Times New Roman" w:cs="Times New Roman"/>
        </w:rPr>
        <w:t>krajowe RSG wzywają do podjęcia środków, które będą się skupiać na aktywnej polityce rynku pracy, a także na edukacji i umiejętnościach. Niezwykle istotna jest też solidarność międzypokoleniowa, która stanowi główny czynnik wsparcia dla osób młodych, a zarazem pozwala docenić rolę seniorów.</w:t>
      </w: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A79B5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8319C">
        <w:rPr>
          <w:rFonts w:ascii="Times New Roman" w:hAnsi="Times New Roman" w:cs="Times New Roman"/>
          <w:b/>
        </w:rPr>
        <w:t>NextGenerationEU i krajowe plany odbudowy i zwiększania odporności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Unia Europejska musi wykorzystać pozytywną i historyczną dynamikę, jaką wywołało przyjęcie NextGenerationEU, czyli tymczasowego narzędzia służącego odbudowie w wysokości ponad 800 mld EUR, które ma pomóc w naprawieniu bezpośrednich szkód gospodarczych i społecznych spowodowanych pandemią COVID-19.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Instrument na rzecz Odbudowy i Zwiększania Odporności, który jest głównym ogniwem NextGenerationEU, zapewnia wsparcie dla reform i inwestycji podejmowanych przez państwa członkowskie. Celem jest stworzenie Europy bardziej ekologicznej, cyfrowej, odpornej i lepiej przystosowanej do obecnych i przyszłych wyzwań.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066B82" w:rsidRPr="0038319C" w:rsidRDefault="00066B82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W rozporządzeniu w sprawie Instrumentu na rzecz Odbudowy i Zwiększania Odporności podkreśla się potrzebę konsultacji zarówno z organizacjami społeczeństwa obywatelskiego, jak i z partnerami społecznymi w procesie tworzenia i wdrażania krajowych planów odbudowy. Okazało się jednak, że dotychczas nie miało to miejsca</w:t>
      </w:r>
      <w:r w:rsidRPr="009458BC">
        <w:rPr>
          <w:rStyle w:val="FootnoteReference"/>
          <w:rFonts w:ascii="Times New Roman" w:hAnsi="Times New Roman" w:cs="Times New Roman"/>
          <w:lang w:val="fr-BE"/>
        </w:rPr>
        <w:footnoteReference w:id="1"/>
      </w:r>
      <w:r w:rsidRPr="0038319C">
        <w:rPr>
          <w:rFonts w:ascii="Times New Roman" w:hAnsi="Times New Roman" w:cs="Times New Roman"/>
        </w:rPr>
        <w:t xml:space="preserve">. Zdaniem EKES-u i krajowych RSG proces konsultacji w większości państw członkowskich nie jest zadowalający w stosunku do uzasadnionych żądań zorganizowanego społeczeństwa obywatelskiego. W związku z tym Komitet i krajowe RSG apelują o </w:t>
      </w:r>
      <w:r w:rsidRPr="0038319C">
        <w:rPr>
          <w:rFonts w:ascii="Times New Roman" w:hAnsi="Times New Roman" w:cs="Times New Roman"/>
          <w:b/>
        </w:rPr>
        <w:t>bardziej konkretne zaangażowanie zorganizowanego społeczeństwa obywatelskiego</w:t>
      </w:r>
      <w:r w:rsidRPr="0038319C">
        <w:rPr>
          <w:rFonts w:ascii="Times New Roman" w:hAnsi="Times New Roman" w:cs="Times New Roman"/>
        </w:rPr>
        <w:t xml:space="preserve"> na etapie wdrażania </w:t>
      </w:r>
      <w:r w:rsidRPr="0038319C">
        <w:rPr>
          <w:rFonts w:ascii="Times New Roman" w:hAnsi="Times New Roman" w:cs="Times New Roman"/>
        </w:rPr>
        <w:lastRenderedPageBreak/>
        <w:t>i oceny planów krajowych, przy zastosowaniu bardziej formalnych procedur, które ułatwią rzeczywistą wymianę opinii.</w:t>
      </w:r>
    </w:p>
    <w:p w:rsidR="007D0E35" w:rsidRPr="0038319C" w:rsidRDefault="007D0E3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EA79B5" w:rsidRPr="0038319C" w:rsidRDefault="00911EF8" w:rsidP="00984479">
      <w:pPr>
        <w:pStyle w:val="ListParagraph"/>
        <w:numPr>
          <w:ilvl w:val="0"/>
          <w:numId w:val="1"/>
        </w:numPr>
        <w:ind w:left="567" w:hanging="567"/>
        <w:rPr>
          <w:b/>
          <w:bCs/>
          <w:smallCaps/>
          <w:color w:val="000099"/>
          <w:u w:val="single"/>
        </w:rPr>
      </w:pPr>
      <w:r w:rsidRPr="0038319C">
        <w:rPr>
          <w:b/>
          <w:smallCaps/>
          <w:color w:val="000099"/>
          <w:u w:val="single"/>
        </w:rPr>
        <w:t>Głos zorganizowanego społeczeństwa obywatelskiego: podstawowy czynnik kształtowania wspólnej przyszłości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Od początku trwania kryzysu związanego z COVID-19 organizacje pracodawców, związki zawodowe i inne organizacje społeczeństwa obywatelskiego odgrywały istotną rolę w łagodzeniu jego skutków. Można przytoczyć niezliczone przykłady działań podejmowanych przez europejskie społeczeństwo obywatelskie, które świadczą o istotnej roli jego struktur. Ich działalność w szczycie kryzysu związanego z COVID-19 wniosła istotny wkład w utrzymanie spójności i stabilności naszych społeczeństw.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8319C">
        <w:rPr>
          <w:rFonts w:ascii="Times New Roman" w:hAnsi="Times New Roman" w:cs="Times New Roman"/>
        </w:rPr>
        <w:t xml:space="preserve">W okresie, w którym Unia Europejska wymaga przebudowy i przygotowania do przyszłości, </w:t>
      </w:r>
      <w:r w:rsidRPr="0038319C">
        <w:rPr>
          <w:rFonts w:ascii="Times New Roman" w:hAnsi="Times New Roman" w:cs="Times New Roman"/>
          <w:b/>
        </w:rPr>
        <w:t>kluczowymi podmiotami są partnerzy społeczni i organizacje społeczeństwa obywatelskiego, a także EKES i RSG państw członkowskich</w:t>
      </w:r>
      <w:r w:rsidRPr="0038319C">
        <w:rPr>
          <w:rFonts w:ascii="Times New Roman" w:hAnsi="Times New Roman" w:cs="Times New Roman"/>
        </w:rPr>
        <w:t>.</w:t>
      </w: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Odnowa i odbudowa społeczno-gospodarcza Europy wymaga rzeczywistego i konkretnego zaangażowania wszystkich grup społecznych, szczególnie w procesy planowania, wdrażania i oceny reform.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FC52B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EKES i RSG państw członkowskich dysponują obszerną wiedzą w tej dziedzinie i są jedynymi w swoim rodzaju stałymi forami dialogu obywatelskiego, które mogą zaoferować </w:t>
      </w:r>
      <w:r w:rsidRPr="0038319C">
        <w:rPr>
          <w:rFonts w:ascii="Times New Roman" w:hAnsi="Times New Roman" w:cs="Times New Roman"/>
          <w:b/>
        </w:rPr>
        <w:t>rozwiązania oparte na konsensusie</w:t>
      </w:r>
      <w:r w:rsidRPr="0038319C">
        <w:rPr>
          <w:rFonts w:ascii="Times New Roman" w:hAnsi="Times New Roman" w:cs="Times New Roman"/>
        </w:rPr>
        <w:t xml:space="preserve"> między różnymi zainteresowanymi stronami. Dzięki ich kreatywności i zdolności przewidywania są w stanie wypracować rozwiązania dostosowane do wyzwań XXI wieku i dlatego muszą odgrywać kluczową rolę w procesie odbudowy. </w:t>
      </w:r>
    </w:p>
    <w:p w:rsidR="00911EF8" w:rsidRPr="0038319C" w:rsidRDefault="00911EF8" w:rsidP="00984479">
      <w:pPr>
        <w:spacing w:after="0" w:line="288" w:lineRule="auto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FC52B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EKES, wraz z siecią krajowych RSG, zajmuje dogodną pozycję, która umożliwia dzielenie się z instytucjami europejskimi najlepszymi praktykami stosowanymi w państwach członkowskich oraz najlepszymi rozwiązaniami w zakresie reform.</w:t>
      </w:r>
    </w:p>
    <w:p w:rsidR="000F43E2" w:rsidRPr="0038319C" w:rsidRDefault="000F43E2" w:rsidP="00984479">
      <w:pPr>
        <w:spacing w:after="0" w:line="288" w:lineRule="auto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EKES i RSG państw członkowskich UE potwierdzają</w:t>
      </w:r>
      <w:r w:rsidR="009458BC">
        <w:rPr>
          <w:rFonts w:ascii="Times New Roman" w:hAnsi="Times New Roman" w:cs="Times New Roman"/>
        </w:rPr>
        <w:t xml:space="preserve"> </w:t>
      </w:r>
      <w:r w:rsidRPr="0038319C">
        <w:rPr>
          <w:rFonts w:ascii="Times New Roman" w:hAnsi="Times New Roman" w:cs="Times New Roman"/>
          <w:b/>
        </w:rPr>
        <w:t>gotowość do aktywnego uczestnictwa w</w:t>
      </w:r>
      <w:r w:rsidR="0012234F">
        <w:rPr>
          <w:rFonts w:ascii="Times New Roman" w:hAnsi="Times New Roman" w:cs="Times New Roman"/>
        </w:rPr>
        <w:t> </w:t>
      </w:r>
      <w:r w:rsidRPr="0038319C">
        <w:rPr>
          <w:rFonts w:ascii="Times New Roman" w:hAnsi="Times New Roman" w:cs="Times New Roman"/>
          <w:b/>
        </w:rPr>
        <w:t>procesie planowania, kształtowania i wdrażania obecnych reform</w:t>
      </w:r>
      <w:r w:rsidRPr="0038319C">
        <w:rPr>
          <w:rFonts w:ascii="Times New Roman" w:hAnsi="Times New Roman" w:cs="Times New Roman"/>
        </w:rPr>
        <w:t>, aby zagwarantować pełną zgodność polityki z potrzebami i oczekiwaniami obywateli oraz wzbudzić większe poczucie współodpowiedzialności.</w:t>
      </w: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Komitet oraz RSG przypominają o potrzebie wdrożenia </w:t>
      </w:r>
      <w:r w:rsidRPr="0038319C">
        <w:rPr>
          <w:rFonts w:ascii="Times New Roman" w:hAnsi="Times New Roman" w:cs="Times New Roman"/>
          <w:b/>
        </w:rPr>
        <w:t>art. 11 TUE</w:t>
      </w:r>
      <w:r w:rsidRPr="0038319C">
        <w:rPr>
          <w:rFonts w:ascii="Times New Roman" w:hAnsi="Times New Roman" w:cs="Times New Roman"/>
        </w:rPr>
        <w:t>, który w kontekście postanowień o zasadach demokratycznych precyzuje, że „instytucje utrzymują otwarty, przejrzysty i regularny dialog ze stowarzyszeniami przedstawicielskimi i społeczeństwem obywatelskim”.</w:t>
      </w:r>
    </w:p>
    <w:p w:rsidR="007366DC" w:rsidRPr="0038319C" w:rsidRDefault="007366DC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EA79B5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Zamierzają nadal podejmować to najważniejsze wyzwanie, świadome faktu, że demokracja uczestnicząca potrzebuje organów pośredniczących, aby angażować obywateli i zachęcać ich do wyrażania poglądów we wszystkich przestrzeniach społeczeństwa obywatelskiego.</w:t>
      </w:r>
    </w:p>
    <w:p w:rsidR="00EA79B5" w:rsidRPr="0038319C" w:rsidRDefault="00EA79B5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2854C4" w:rsidRPr="0038319C" w:rsidRDefault="00911EF8" w:rsidP="00984479">
      <w:pPr>
        <w:keepLines/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lastRenderedPageBreak/>
        <w:t>Unia Europejska powinna bezwzględnie popierać centralną rolę, jaką partnerzy społeczni i organizacje społeczeństwa obywatelskiego odgrywają w upowszechnianiu i obronie europejskiego modelu społeczno-gospodarczego, a także wartości, demokracji, praw podstawowych i praworządności wobec kurczącej się przestrzeni społeczeństwa obywatelskiego. Jest to istotą projektu europejskiego.</w:t>
      </w:r>
    </w:p>
    <w:p w:rsidR="00C616D4" w:rsidRPr="0038319C" w:rsidRDefault="00C616D4" w:rsidP="00984479">
      <w:pPr>
        <w:spacing w:after="0" w:line="288" w:lineRule="auto"/>
        <w:jc w:val="both"/>
        <w:rPr>
          <w:rFonts w:ascii="Times New Roman" w:hAnsi="Times New Roman" w:cs="Times New Roman"/>
          <w:lang w:val="fr-BE"/>
        </w:rPr>
      </w:pPr>
    </w:p>
    <w:p w:rsidR="005C5031" w:rsidRPr="0038319C" w:rsidRDefault="00911EF8" w:rsidP="00984479">
      <w:pPr>
        <w:pStyle w:val="ListParagraph"/>
        <w:numPr>
          <w:ilvl w:val="0"/>
          <w:numId w:val="1"/>
        </w:numPr>
        <w:ind w:left="567" w:hanging="567"/>
        <w:rPr>
          <w:b/>
          <w:bCs/>
          <w:smallCaps/>
          <w:color w:val="000099"/>
          <w:u w:val="single"/>
        </w:rPr>
      </w:pPr>
      <w:r w:rsidRPr="0038319C">
        <w:rPr>
          <w:b/>
          <w:smallCaps/>
          <w:color w:val="000099"/>
          <w:u w:val="single"/>
        </w:rPr>
        <w:t>Konferencja w sprawie przyszłości Europy: szansa na lepszą przyszłość dla wszystkich</w:t>
      </w:r>
    </w:p>
    <w:p w:rsidR="005C5031" w:rsidRPr="0038319C" w:rsidRDefault="005C5031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 xml:space="preserve">EKES i krajowe RSG postrzegają Konferencję w sprawie przyszłości Europy jako </w:t>
      </w:r>
      <w:r w:rsidRPr="0038319C">
        <w:rPr>
          <w:rFonts w:ascii="Times New Roman" w:hAnsi="Times New Roman" w:cs="Times New Roman"/>
          <w:b/>
        </w:rPr>
        <w:t>historyczną szansę</w:t>
      </w:r>
      <w:r w:rsidRPr="0038319C">
        <w:rPr>
          <w:rFonts w:ascii="Times New Roman" w:hAnsi="Times New Roman" w:cs="Times New Roman"/>
        </w:rPr>
        <w:t>, aby ożywić projekt integracji europejskiej. Szczególnie innowacyjnym aspektem tego projektu jest dążenie do nawiązania relacji z obywatelami we wszystkich 27 państwach członkowskich.</w:t>
      </w:r>
    </w:p>
    <w:p w:rsidR="00911EF8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5C5031" w:rsidRPr="0038319C" w:rsidRDefault="00911EF8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EKES i krajowe RSG zdecydowanie wspierają ten proces rozwoju</w:t>
      </w:r>
      <w:r w:rsidRPr="0038319C">
        <w:rPr>
          <w:rFonts w:ascii="Times New Roman" w:hAnsi="Times New Roman" w:cs="Times New Roman"/>
          <w:b/>
        </w:rPr>
        <w:t xml:space="preserve"> demokracji uczestniczącej</w:t>
      </w:r>
      <w:r w:rsidRPr="0038319C">
        <w:rPr>
          <w:rFonts w:ascii="Times New Roman" w:hAnsi="Times New Roman" w:cs="Times New Roman"/>
        </w:rPr>
        <w:t>. Uważają, że Konferencja w sprawie przyszłości Europy musi skupić się na Europejczykach, zapewnić udział obywateli z całej Europy w debatach oraz przynieść konkretne, widoczne i wymierne rezultaty.</w:t>
      </w:r>
    </w:p>
    <w:p w:rsidR="00D8736E" w:rsidRPr="0038319C" w:rsidRDefault="00D8736E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2645D0" w:rsidRPr="0038319C" w:rsidRDefault="00924DBA" w:rsidP="00984479">
      <w:pPr>
        <w:spacing w:after="0" w:line="288" w:lineRule="auto"/>
        <w:jc w:val="both"/>
        <w:rPr>
          <w:rFonts w:ascii="Times New Roman" w:hAnsi="Times New Roman" w:cs="Times New Roman"/>
          <w:bCs/>
          <w:spacing w:val="-2"/>
        </w:rPr>
      </w:pPr>
      <w:r w:rsidRPr="0038319C">
        <w:rPr>
          <w:rFonts w:ascii="Times New Roman" w:hAnsi="Times New Roman" w:cs="Times New Roman"/>
        </w:rPr>
        <w:t xml:space="preserve">Jej fundamentem musi być </w:t>
      </w:r>
      <w:r w:rsidRPr="0038319C">
        <w:rPr>
          <w:rFonts w:ascii="Times New Roman" w:hAnsi="Times New Roman" w:cs="Times New Roman"/>
          <w:b/>
        </w:rPr>
        <w:t>przejrzysty, oddolny proces i osiągnięcie wymiernych wyników</w:t>
      </w:r>
      <w:r w:rsidRPr="0038319C">
        <w:rPr>
          <w:rFonts w:ascii="Times New Roman" w:hAnsi="Times New Roman" w:cs="Times New Roman"/>
        </w:rPr>
        <w:t xml:space="preserve">. W celu zapewnienia przejrzystości i rozliczalności należy opracować internetowy </w:t>
      </w:r>
      <w:r w:rsidRPr="0038319C">
        <w:rPr>
          <w:rFonts w:ascii="Times New Roman" w:hAnsi="Times New Roman" w:cs="Times New Roman"/>
          <w:b/>
        </w:rPr>
        <w:t>zestaw narzędzi</w:t>
      </w:r>
      <w:r w:rsidRPr="0038319C">
        <w:rPr>
          <w:rFonts w:ascii="Times New Roman" w:hAnsi="Times New Roman" w:cs="Times New Roman"/>
        </w:rPr>
        <w:t>, aby informować obywateli o tym, w jaki sposób instytucje Unii rozpatrują ich wnioski, czy podjęte środki mające na celu przeprowadzenia reform wynikają z ustaleń Konferencji w sprawie przyszłości Europy oraz jaki jest harmonogram ich realizacji. Jeżeli w odniesieniu do niektórych pomysłów nie zostaną podjęte żadne działania, należy wyjaśnić przyczynę takiego stanu rzeczy.</w:t>
      </w:r>
    </w:p>
    <w:p w:rsidR="00924DBA" w:rsidRPr="0038319C" w:rsidRDefault="00924DBA" w:rsidP="00984479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:rsidR="00EA79B5" w:rsidRPr="0038319C" w:rsidRDefault="002645D0" w:rsidP="0098447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EKES i krajowe RSG, z racji swojego składu i sieci kontaktów, są szczególnie dobrze przygotowane do nawiązywania relacji z obywatelami i przekazywania ich propozycji organom zarządzającym Konferencji. Z tego względu EKES wyraża zadowolenie z udziału w pracach organów Konferencji.</w:t>
      </w:r>
    </w:p>
    <w:p w:rsidR="0038319C" w:rsidRPr="0038319C" w:rsidRDefault="0038319C" w:rsidP="0098447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3234EF" w:rsidRPr="0038319C" w:rsidRDefault="00EB31FE" w:rsidP="00984479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 w:cs="Times New Roman"/>
        </w:rPr>
      </w:pPr>
      <w:r w:rsidRPr="0038319C">
        <w:rPr>
          <w:rFonts w:ascii="Times New Roman" w:hAnsi="Times New Roman" w:cs="Times New Roman"/>
        </w:rPr>
        <w:t>_____________</w:t>
      </w:r>
    </w:p>
    <w:sectPr w:rsidR="003234EF" w:rsidRPr="0038319C" w:rsidSect="00EB31FE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2DC3" w16cex:dateUtc="2021-10-28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664001" w16cid:durableId="25252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F7" w:rsidRDefault="00F241F7" w:rsidP="00EA79B5">
      <w:pPr>
        <w:spacing w:after="0" w:line="240" w:lineRule="auto"/>
      </w:pPr>
      <w:r>
        <w:separator/>
      </w:r>
    </w:p>
  </w:endnote>
  <w:endnote w:type="continuationSeparator" w:id="0">
    <w:p w:rsidR="00F241F7" w:rsidRDefault="00F241F7" w:rsidP="00EA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FE" w:rsidRDefault="00EB31FE" w:rsidP="00EB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C7" w:rsidRPr="00EB31FE" w:rsidRDefault="00EB31FE" w:rsidP="00EB31FE">
    <w:pPr>
      <w:pStyle w:val="Footer"/>
    </w:pPr>
    <w:r>
      <w:t xml:space="preserve">EESC-2021-05465-01-00-INFO-TRA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C68E0">
      <w:rPr>
        <w:noProof/>
      </w:rPr>
      <w:t>1</w:t>
    </w:r>
    <w:r>
      <w:fldChar w:fldCharType="end"/>
    </w:r>
    <w:r>
      <w:t>/</w:t>
    </w:r>
    <w:r w:rsidR="00EC68E0">
      <w:fldChar w:fldCharType="begin"/>
    </w:r>
    <w:r w:rsidR="00EC68E0">
      <w:instrText xml:space="preserve"> N</w:instrText>
    </w:r>
    <w:r w:rsidR="00EC68E0">
      <w:instrText xml:space="preserve">UMPAGES </w:instrText>
    </w:r>
    <w:r w:rsidR="00EC68E0">
      <w:fldChar w:fldCharType="separate"/>
    </w:r>
    <w:r w:rsidR="00EC68E0">
      <w:rPr>
        <w:noProof/>
      </w:rPr>
      <w:t>7</w:t>
    </w:r>
    <w:r w:rsidR="00EC68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FE" w:rsidRDefault="00EB31FE" w:rsidP="00EB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F7" w:rsidRDefault="00F241F7" w:rsidP="00EA79B5">
      <w:pPr>
        <w:spacing w:after="0" w:line="240" w:lineRule="auto"/>
      </w:pPr>
      <w:r>
        <w:separator/>
      </w:r>
    </w:p>
  </w:footnote>
  <w:footnote w:type="continuationSeparator" w:id="0">
    <w:p w:rsidR="00F241F7" w:rsidRDefault="00F241F7" w:rsidP="00EA79B5">
      <w:pPr>
        <w:spacing w:after="0" w:line="240" w:lineRule="auto"/>
      </w:pPr>
      <w:r>
        <w:continuationSeparator/>
      </w:r>
    </w:p>
  </w:footnote>
  <w:footnote w:id="1">
    <w:p w:rsidR="00066B82" w:rsidRPr="002645D0" w:rsidRDefault="00066B82" w:rsidP="00066B82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Rezolucja EKES-u</w:t>
        </w:r>
      </w:hyperlink>
      <w:r>
        <w:t xml:space="preserve"> pt. „Zaangażowanie zorganizowanego społeczeństwa obywatelskiego w krajowe plany odbudowy i zwiększania odporności – co zdaje egzamin, a co nie?”, luty 2021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FE" w:rsidRDefault="00EB3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FE" w:rsidRDefault="00EB3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FE" w:rsidRDefault="00EB3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10596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91644E"/>
    <w:multiLevelType w:val="hybridMultilevel"/>
    <w:tmpl w:val="591AB3BA"/>
    <w:lvl w:ilvl="0" w:tplc="8FBED7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4376B"/>
    <w:multiLevelType w:val="hybridMultilevel"/>
    <w:tmpl w:val="740A47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822"/>
    <w:multiLevelType w:val="hybridMultilevel"/>
    <w:tmpl w:val="8402BF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4495D"/>
    <w:multiLevelType w:val="hybridMultilevel"/>
    <w:tmpl w:val="23DE5E40"/>
    <w:lvl w:ilvl="0" w:tplc="6888849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C2D41"/>
    <w:multiLevelType w:val="hybridMultilevel"/>
    <w:tmpl w:val="2F0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9465B"/>
    <w:multiLevelType w:val="hybridMultilevel"/>
    <w:tmpl w:val="AEC0AF5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75FB0"/>
    <w:multiLevelType w:val="hybridMultilevel"/>
    <w:tmpl w:val="C492CFA0"/>
    <w:lvl w:ilvl="0" w:tplc="F81606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B5"/>
    <w:rsid w:val="0000434D"/>
    <w:rsid w:val="00026200"/>
    <w:rsid w:val="00066B82"/>
    <w:rsid w:val="000A4C4C"/>
    <w:rsid w:val="000C2CB8"/>
    <w:rsid w:val="000F43E2"/>
    <w:rsid w:val="001216E0"/>
    <w:rsid w:val="0012234F"/>
    <w:rsid w:val="00190269"/>
    <w:rsid w:val="001C28D1"/>
    <w:rsid w:val="001E6FD9"/>
    <w:rsid w:val="00212624"/>
    <w:rsid w:val="00236C7F"/>
    <w:rsid w:val="00244FBC"/>
    <w:rsid w:val="002645D0"/>
    <w:rsid w:val="002854C4"/>
    <w:rsid w:val="00297477"/>
    <w:rsid w:val="002B4374"/>
    <w:rsid w:val="002C70DA"/>
    <w:rsid w:val="0031444A"/>
    <w:rsid w:val="003240E1"/>
    <w:rsid w:val="0038319C"/>
    <w:rsid w:val="00394B8F"/>
    <w:rsid w:val="003A15CF"/>
    <w:rsid w:val="003C229B"/>
    <w:rsid w:val="00411293"/>
    <w:rsid w:val="00414102"/>
    <w:rsid w:val="004259AE"/>
    <w:rsid w:val="004535F8"/>
    <w:rsid w:val="00456709"/>
    <w:rsid w:val="00471B87"/>
    <w:rsid w:val="005713DF"/>
    <w:rsid w:val="005C5031"/>
    <w:rsid w:val="005E23F9"/>
    <w:rsid w:val="00611BFD"/>
    <w:rsid w:val="0065623F"/>
    <w:rsid w:val="006C3A97"/>
    <w:rsid w:val="007366DC"/>
    <w:rsid w:val="00752257"/>
    <w:rsid w:val="007545CF"/>
    <w:rsid w:val="00775940"/>
    <w:rsid w:val="00792ED5"/>
    <w:rsid w:val="007940C0"/>
    <w:rsid w:val="007A0D82"/>
    <w:rsid w:val="007A0F24"/>
    <w:rsid w:val="007D0E35"/>
    <w:rsid w:val="007E000B"/>
    <w:rsid w:val="00824453"/>
    <w:rsid w:val="00830090"/>
    <w:rsid w:val="00867716"/>
    <w:rsid w:val="00876BC3"/>
    <w:rsid w:val="008C12CB"/>
    <w:rsid w:val="008C656E"/>
    <w:rsid w:val="008D56CD"/>
    <w:rsid w:val="00911EF8"/>
    <w:rsid w:val="00912C1B"/>
    <w:rsid w:val="00924DBA"/>
    <w:rsid w:val="009458BC"/>
    <w:rsid w:val="00950AEB"/>
    <w:rsid w:val="00975673"/>
    <w:rsid w:val="00983B86"/>
    <w:rsid w:val="00984479"/>
    <w:rsid w:val="00A0355D"/>
    <w:rsid w:val="00AB4FF8"/>
    <w:rsid w:val="00AC5848"/>
    <w:rsid w:val="00AF251E"/>
    <w:rsid w:val="00B85F3F"/>
    <w:rsid w:val="00BA5EC2"/>
    <w:rsid w:val="00BB44E6"/>
    <w:rsid w:val="00BB768E"/>
    <w:rsid w:val="00BE6294"/>
    <w:rsid w:val="00C21B9C"/>
    <w:rsid w:val="00C403D4"/>
    <w:rsid w:val="00C616D4"/>
    <w:rsid w:val="00C87CE3"/>
    <w:rsid w:val="00CA04AE"/>
    <w:rsid w:val="00CE090B"/>
    <w:rsid w:val="00D27742"/>
    <w:rsid w:val="00D77F2A"/>
    <w:rsid w:val="00D8736E"/>
    <w:rsid w:val="00DA58E7"/>
    <w:rsid w:val="00E40CFB"/>
    <w:rsid w:val="00E532C6"/>
    <w:rsid w:val="00E61211"/>
    <w:rsid w:val="00E67D49"/>
    <w:rsid w:val="00EA79B5"/>
    <w:rsid w:val="00EB31FE"/>
    <w:rsid w:val="00EC68E0"/>
    <w:rsid w:val="00F241F7"/>
    <w:rsid w:val="00F3009F"/>
    <w:rsid w:val="00F37F3C"/>
    <w:rsid w:val="00F6297D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8C35-B3ED-4808-97E2-5AEB98F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B5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30090"/>
    <w:pPr>
      <w:numPr>
        <w:numId w:val="7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30090"/>
    <w:pPr>
      <w:numPr>
        <w:ilvl w:val="1"/>
        <w:numId w:val="7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30090"/>
    <w:pPr>
      <w:numPr>
        <w:ilvl w:val="2"/>
        <w:numId w:val="7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30090"/>
    <w:pPr>
      <w:numPr>
        <w:ilvl w:val="3"/>
        <w:numId w:val="7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30090"/>
    <w:pPr>
      <w:numPr>
        <w:ilvl w:val="4"/>
        <w:numId w:val="7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30090"/>
    <w:pPr>
      <w:numPr>
        <w:ilvl w:val="5"/>
        <w:numId w:val="7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30090"/>
    <w:pPr>
      <w:numPr>
        <w:ilvl w:val="6"/>
        <w:numId w:val="7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30090"/>
    <w:pPr>
      <w:numPr>
        <w:ilvl w:val="7"/>
        <w:numId w:val="7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30090"/>
    <w:pPr>
      <w:numPr>
        <w:ilvl w:val="8"/>
        <w:numId w:val="7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B5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A79B5"/>
    <w:rPr>
      <w:rFonts w:ascii="Times New Roman" w:hAnsi="Times New Roman" w:cs="Times New Roman"/>
      <w:szCs w:val="22"/>
      <w:lang w:val="pl-PL" w:bidi="ar-SA"/>
    </w:rPr>
  </w:style>
  <w:style w:type="paragraph" w:styleId="ListParagraph">
    <w:name w:val="List Paragraph"/>
    <w:aliases w:val="List Paragraph (numbered (a)),List Paragraph Char Char Char,Use Case List Paragraph,List Paragraph2,Bullet List,FooterText,List Paragraph1,Colorful List Accent 1,numbered,Paragraphe de liste1,列出段落,列出段落1,Bulletr List Paragraph,リスト段落1,body"/>
    <w:basedOn w:val="Normal"/>
    <w:link w:val="ListParagraphChar"/>
    <w:uiPriority w:val="34"/>
    <w:qFormat/>
    <w:rsid w:val="00EA79B5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EA79B5"/>
    <w:pPr>
      <w:keepLines/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rsid w:val="00EA79B5"/>
    <w:rPr>
      <w:rFonts w:ascii="Times New Roman" w:eastAsia="Times New Roman" w:hAnsi="Times New Roman" w:cs="Times New Roman"/>
      <w:sz w:val="16"/>
      <w:szCs w:val="22"/>
      <w:lang w:val="pl-PL" w:bidi="ar-SA"/>
    </w:rPr>
  </w:style>
  <w:style w:type="character" w:styleId="FootnoteReference">
    <w:name w:val="footnote reference"/>
    <w:basedOn w:val="DefaultParagraphFont"/>
    <w:unhideWhenUsed/>
    <w:qFormat/>
    <w:rsid w:val="00EA79B5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EA79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0DA"/>
    <w:rPr>
      <w:sz w:val="20"/>
      <w:lang w:val="pl-P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0DA"/>
    <w:rPr>
      <w:b/>
      <w:bCs/>
      <w:sz w:val="20"/>
      <w:lang w:val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31"/>
    <w:rPr>
      <w:rFonts w:ascii="Segoe UI" w:hAnsi="Segoe UI" w:cs="Segoe UI"/>
      <w:sz w:val="18"/>
      <w:szCs w:val="18"/>
      <w:lang w:val="pl-PL" w:bidi="ar-SA"/>
    </w:rPr>
  </w:style>
  <w:style w:type="table" w:styleId="TableGrid">
    <w:name w:val="Table Grid"/>
    <w:basedOn w:val="TableNormal"/>
    <w:uiPriority w:val="59"/>
    <w:rsid w:val="007A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CF"/>
    <w:rPr>
      <w:szCs w:val="22"/>
      <w:lang w:val="pl-PL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66B82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 List Char,FooterText Char,List Paragraph1 Char,Colorful List Accent 1 Char,numbered Char,列出段落 Char"/>
    <w:basedOn w:val="DefaultParagraphFont"/>
    <w:link w:val="ListParagraph"/>
    <w:uiPriority w:val="34"/>
    <w:locked/>
    <w:rsid w:val="0065623F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1Char">
    <w:name w:val="Heading 1 Char"/>
    <w:basedOn w:val="DefaultParagraphFont"/>
    <w:link w:val="Heading1"/>
    <w:rsid w:val="00830090"/>
    <w:rPr>
      <w:rFonts w:ascii="Times New Roman" w:eastAsia="Times New Roman" w:hAnsi="Times New Roman" w:cs="Times New Roman"/>
      <w:kern w:val="28"/>
      <w:szCs w:val="22"/>
      <w:lang w:val="pl-PL" w:bidi="ar-SA"/>
    </w:rPr>
  </w:style>
  <w:style w:type="character" w:customStyle="1" w:styleId="Heading2Char">
    <w:name w:val="Heading 2 Char"/>
    <w:basedOn w:val="DefaultParagraphFont"/>
    <w:link w:val="Heading2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3Char">
    <w:name w:val="Heading 3 Char"/>
    <w:basedOn w:val="DefaultParagraphFont"/>
    <w:link w:val="Heading3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4Char">
    <w:name w:val="Heading 4 Char"/>
    <w:basedOn w:val="DefaultParagraphFont"/>
    <w:link w:val="Heading4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5Char">
    <w:name w:val="Heading 5 Char"/>
    <w:basedOn w:val="DefaultParagraphFont"/>
    <w:link w:val="Heading5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6Char">
    <w:name w:val="Heading 6 Char"/>
    <w:basedOn w:val="DefaultParagraphFont"/>
    <w:link w:val="Heading6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7Char">
    <w:name w:val="Heading 7 Char"/>
    <w:basedOn w:val="DefaultParagraphFont"/>
    <w:link w:val="Heading7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8Char">
    <w:name w:val="Heading 8 Char"/>
    <w:basedOn w:val="DefaultParagraphFont"/>
    <w:link w:val="Heading8"/>
    <w:rsid w:val="00830090"/>
    <w:rPr>
      <w:rFonts w:ascii="Times New Roman" w:eastAsia="Times New Roman" w:hAnsi="Times New Roman" w:cs="Times New Roman"/>
      <w:szCs w:val="22"/>
      <w:lang w:val="pl-PL" w:bidi="ar-SA"/>
    </w:rPr>
  </w:style>
  <w:style w:type="character" w:customStyle="1" w:styleId="Heading9Char">
    <w:name w:val="Heading 9 Char"/>
    <w:basedOn w:val="DefaultParagraphFont"/>
    <w:link w:val="Heading9"/>
    <w:rsid w:val="00830090"/>
    <w:rPr>
      <w:rFonts w:ascii="Times New Roman" w:eastAsia="Times New Roman" w:hAnsi="Times New Roman" w:cs="Times New Roman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esc.europa.eu/pl/documents/resolution/involvement-organised-civil-society-national-recovery-and-resilience-plans-what-works-and-what-does-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V63NAVDT5PV3-1648642317-4874</_dlc_DocId>
    <_dlc_DocIdUrl xmlns="01cfe264-354f-4f3f-acd0-cf26eb309336">
      <Url>http://dm2016/eesc/2021/_layouts/15/DocIdRedir.aspx?ID=V63NAVDT5PV3-1648642317-4874</Url>
      <Description>V63NAVDT5PV3-1648642317-4874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2021-12-09T12:00:00+00:00</ProductionDate>
    <DocumentNumber xmlns="d442a82d-24cc-4721-bd32-c982b501ac21">5465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165</Value>
      <Value>58</Value>
      <Value>45</Value>
      <Value>42</Value>
      <Value>41</Value>
      <Value>40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14428</FicheNumber>
    <OriginalSender xmlns="01cfe264-354f-4f3f-acd0-cf26eb309336">
      <UserInfo>
        <DisplayName>Wisniewska Malgorzata</DisplayName>
        <AccountId>1873</AccountId>
        <AccountType/>
      </UserInfo>
    </OriginalSender>
    <DocumentPart xmlns="01cfe264-354f-4f3f-acd0-cf26eb309336">1</DocumentPart>
    <AdoptionDate xmlns="01cfe264-354f-4f3f-acd0-cf26eb309336" xsi:nil="true"/>
    <RequestingService xmlns="01cfe264-354f-4f3f-acd0-cf26eb309336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442a82d-24cc-4721-bd32-c982b501ac2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B06FA2060D04E4BBAF9E05CA34417ED" ma:contentTypeVersion="6" ma:contentTypeDescription="Defines the documents for Document Manager V2" ma:contentTypeScope="" ma:versionID="a10b108954e80ad2123c2f63b9b6b87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d442a82d-24cc-4721-bd32-c982b501ac21" targetNamespace="http://schemas.microsoft.com/office/2006/metadata/properties" ma:root="true" ma:fieldsID="14fb0dbe52704fa166d8d689c48a6fb2" ns2:_="" ns3:_="" ns4:_="">
    <xsd:import namespace="01cfe264-354f-4f3f-acd0-cf26eb309336"/>
    <xsd:import namespace="http://schemas.microsoft.com/sharepoint/v3/fields"/>
    <xsd:import namespace="d442a82d-24cc-4721-bd32-c982b501ac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a82d-24cc-4721-bd32-c982b501ac2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85242-2E8A-495C-9E27-36D205440E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9E0A5E-59DB-4DBA-93AE-BAB145F05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8413D-E19F-4AE7-9BF1-D18622F2D9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42a82d-24cc-4721-bd32-c982b501ac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1cfe264-354f-4f3f-acd0-cf26eb3093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D23705-E6F6-4F65-9CDF-416111799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d442a82d-24cc-4721-bd32-c982b501a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2614</Words>
  <Characters>14379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Wnioski - Doroczne posiedzenie przewodniczących i sekretarzy generalnych EKES-u oraz rad społeczno-gospodarczych UE</vt:lpstr>
      <vt:lpstr/>
    </vt:vector>
  </TitlesOfParts>
  <Company>EESC-ECOR</Company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- Doroczne posiedzenie przewodniczących i sekretarzy generalnych EKES-u oraz rad społeczno-gospodarczych UE</dc:title>
  <dc:subject>INFO</dc:subject>
  <dc:creator>Ana Dumitrache</dc:creator>
  <cp:keywords>EESC-2021-05465-01-00-INFO-TRA-EN</cp:keywords>
  <dc:description>Rapporteur:  - Original language: EN - Date of document: 09-12-2021 - Date of meeting:  - External documents:  - Administrator: MME DUMITRACHE Ana</dc:description>
  <cp:lastModifiedBy>Sonia Calvy</cp:lastModifiedBy>
  <cp:revision>2</cp:revision>
  <dcterms:created xsi:type="dcterms:W3CDTF">2021-12-14T08:52:00Z</dcterms:created>
  <dcterms:modified xsi:type="dcterms:W3CDTF">2021-12-14T08:52:00Z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26/11/2021</vt:lpwstr>
  </property>
  <property fmtid="{D5CDD505-2E9C-101B-9397-08002B2CF9AE}" pid="4" name="Pref_Time">
    <vt:lpwstr>13:18:27</vt:lpwstr>
  </property>
  <property fmtid="{D5CDD505-2E9C-101B-9397-08002B2CF9AE}" pid="5" name="Pref_User">
    <vt:lpwstr>amett</vt:lpwstr>
  </property>
  <property fmtid="{D5CDD505-2E9C-101B-9397-08002B2CF9AE}" pid="6" name="Pref_FileName">
    <vt:lpwstr>EESC-2021-05465-01-00-INFO-ORI.docx</vt:lpwstr>
  </property>
  <property fmtid="{D5CDD505-2E9C-101B-9397-08002B2CF9AE}" pid="7" name="ContentTypeId">
    <vt:lpwstr>0x010100EA97B91038054C99906057A708A1480A004B06FA2060D04E4BBAF9E05CA34417ED</vt:lpwstr>
  </property>
  <property fmtid="{D5CDD505-2E9C-101B-9397-08002B2CF9AE}" pid="8" name="_dlc_DocIdItemGuid">
    <vt:lpwstr>9036f8a0-c774-4bbb-a454-3fb98b054faa</vt:lpwstr>
  </property>
  <property fmtid="{D5CDD505-2E9C-101B-9397-08002B2CF9AE}" pid="9" name="AvailableTranslations">
    <vt:lpwstr>42;#FI|87606a43-d45f-42d6-b8c9-e1a3457db5b7;#58;#MT|7df99101-6854-4a26-b53a-b88c0da02c26;#17;#NL|55c6556c-b4f4-441d-9acf-c498d4f838bd;#13;#PT|50ccc04a-eadd-42ae-a0cb-acaf45f812ba;#35;#PL|1e03da61-4678-4e07-b136-b5024ca9197b;#15;#LT|a7ff5ce7-6123-4f68-865a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5465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14428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1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3;#INFO|d9136e7c-93a9-4c42-9d28-92b61e85f80c</vt:lpwstr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165;#Internal|2451815e-8241-4bbf-a22e-1ab710712bf2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MT|7df99101-6854-4a26-b53a-b88c0da02c26;PT|50ccc04a-eadd-42ae-a0cb-acaf45f812ba;SV|c2ed69e7-a339-43d7-8f22-d93680a92aa0;EN|f2175f21-25d7-44a3-96da-d6a61b075e1b;LV|46f7e311-5d9f-4663-b433-18aeccb7ace7;ES|e7a6b05b-ae16-40c8-add9-68b64b03aeba;DE|f6b31e5a-26f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28;#ES|e7a6b05b-ae16-40c8-add9-68b64b03aeba;#58;#MT|7df99101-6854-4a26-b53a-b88c0da02c26;#18;#LV|46f7e311-5d9f-4663-b433-18aeccb7ace7;#165;#Internal|2451815e-8241-4bbf-a22e-1ab710712bf2;#13;#PT|50ccc04a-eadd-42ae-a0cb-acaf45f812ba;#40;#SV|c2ed69e7-a339-43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35;#PL|1e03da61-4678-4e07-b136-b5024ca9197b</vt:lpwstr>
  </property>
</Properties>
</file>