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3EC9" w14:textId="29874C26" w:rsidR="001A5FD3" w:rsidRPr="00D9388D" w:rsidRDefault="001A5FD3" w:rsidP="00C738A4">
      <w:pPr>
        <w:pStyle w:val="NormalWeb"/>
        <w:rPr>
          <w:b/>
          <w:color w:val="000000"/>
          <w:sz w:val="24"/>
          <w:szCs w:val="24"/>
        </w:rPr>
      </w:pPr>
    </w:p>
    <w:p w14:paraId="51D35C21" w14:textId="5CCDE3E0" w:rsidR="00C738A4" w:rsidRPr="00D9388D" w:rsidRDefault="001A5FD3" w:rsidP="00AE7FBF">
      <w:pPr>
        <w:pStyle w:val="NormalWeb"/>
        <w:jc w:val="center"/>
        <w:rPr>
          <w:b/>
          <w:color w:val="000000"/>
          <w:sz w:val="24"/>
          <w:szCs w:val="24"/>
        </w:rPr>
      </w:pPr>
      <w:r w:rsidRPr="00D9388D">
        <w:rPr>
          <w:b/>
          <w:color w:val="000000"/>
          <w:sz w:val="24"/>
          <w:szCs w:val="24"/>
        </w:rPr>
        <w:t>T</w:t>
      </w:r>
      <w:r w:rsidR="00C738A4" w:rsidRPr="00D9388D">
        <w:rPr>
          <w:b/>
          <w:color w:val="000000"/>
          <w:sz w:val="24"/>
          <w:szCs w:val="24"/>
        </w:rPr>
        <w:t>he 2030 Agenda for Sustainable Development and the Paris Climate</w:t>
      </w:r>
      <w:r w:rsidR="00692FD5" w:rsidRPr="00D9388D">
        <w:rPr>
          <w:b/>
          <w:color w:val="000000"/>
          <w:sz w:val="24"/>
          <w:szCs w:val="24"/>
        </w:rPr>
        <w:t xml:space="preserve"> </w:t>
      </w:r>
      <w:r w:rsidR="00C738A4" w:rsidRPr="00D9388D">
        <w:rPr>
          <w:b/>
          <w:color w:val="000000"/>
          <w:sz w:val="24"/>
          <w:szCs w:val="24"/>
        </w:rPr>
        <w:t>Agreement</w:t>
      </w:r>
    </w:p>
    <w:p w14:paraId="61ABE1EA" w14:textId="4391949D" w:rsidR="00D9388D" w:rsidRDefault="00D9388D" w:rsidP="00AE7FBF">
      <w:pPr>
        <w:pStyle w:val="NormalWeb"/>
        <w:jc w:val="center"/>
        <w:rPr>
          <w:b/>
          <w:color w:val="000000"/>
          <w:sz w:val="24"/>
          <w:szCs w:val="24"/>
        </w:rPr>
      </w:pPr>
      <w:bookmarkStart w:id="0" w:name="_GoBack"/>
      <w:bookmarkEnd w:id="0"/>
      <w:r w:rsidRPr="00D9388D">
        <w:rPr>
          <w:b/>
          <w:color w:val="000000"/>
          <w:sz w:val="24"/>
          <w:szCs w:val="24"/>
        </w:rPr>
        <w:t>Report by Jonathan Peel</w:t>
      </w:r>
    </w:p>
    <w:p w14:paraId="6023416B" w14:textId="77777777" w:rsidR="00AE7FBF" w:rsidRPr="00D9388D" w:rsidRDefault="00AE7FBF" w:rsidP="00C738A4">
      <w:pPr>
        <w:pStyle w:val="NormalWeb"/>
        <w:rPr>
          <w:b/>
          <w:color w:val="000000"/>
          <w:sz w:val="24"/>
          <w:szCs w:val="24"/>
          <w:lang w:val="sl-SI"/>
        </w:rPr>
      </w:pPr>
    </w:p>
    <w:p w14:paraId="5BF0CC47" w14:textId="44049533" w:rsidR="00692FD5" w:rsidRPr="00D9388D" w:rsidRDefault="008C2529" w:rsidP="008C2529">
      <w:pPr>
        <w:pStyle w:val="NormalWeb"/>
        <w:rPr>
          <w:b/>
          <w:color w:val="000000"/>
          <w:sz w:val="24"/>
          <w:szCs w:val="24"/>
        </w:rPr>
      </w:pPr>
      <w:r w:rsidRPr="00D9388D">
        <w:rPr>
          <w:b/>
          <w:color w:val="000000"/>
          <w:sz w:val="24"/>
          <w:szCs w:val="24"/>
        </w:rPr>
        <w:t>1.       Introduction</w:t>
      </w:r>
      <w:r w:rsidR="00C95600" w:rsidRPr="00D9388D">
        <w:rPr>
          <w:b/>
          <w:color w:val="000000"/>
          <w:sz w:val="24"/>
          <w:szCs w:val="24"/>
        </w:rPr>
        <w:t xml:space="preserve"> – the SDGs and the Paris Agreement</w:t>
      </w:r>
    </w:p>
    <w:p w14:paraId="0059E17A" w14:textId="2E896DCE" w:rsidR="00C22FA2" w:rsidRPr="00490735" w:rsidRDefault="004B7870" w:rsidP="00C95600">
      <w:pPr>
        <w:pStyle w:val="Heading2"/>
        <w:autoSpaceDE w:val="0"/>
        <w:autoSpaceDN w:val="0"/>
        <w:spacing w:line="276" w:lineRule="auto"/>
      </w:pPr>
      <w:r w:rsidRPr="008365F7">
        <w:rPr>
          <w:color w:val="000000"/>
        </w:rPr>
        <w:t xml:space="preserve">The </w:t>
      </w:r>
      <w:r w:rsidR="00C95600" w:rsidRPr="008365F7">
        <w:rPr>
          <w:color w:val="000000"/>
        </w:rPr>
        <w:t xml:space="preserve">17 </w:t>
      </w:r>
      <w:r w:rsidRPr="008365F7">
        <w:rPr>
          <w:color w:val="000000"/>
        </w:rPr>
        <w:t xml:space="preserve">Sustainable Development Goals (SDGs) were adopted at the United Nations </w:t>
      </w:r>
      <w:r w:rsidR="00CC3155" w:rsidRPr="008365F7">
        <w:rPr>
          <w:color w:val="000000"/>
        </w:rPr>
        <w:t xml:space="preserve">(UN) </w:t>
      </w:r>
      <w:r w:rsidRPr="008365F7">
        <w:rPr>
          <w:color w:val="000000"/>
        </w:rPr>
        <w:t>Sustainable Development Summit in New York in September 2015</w:t>
      </w:r>
      <w:r w:rsidR="008365F7" w:rsidRPr="008365F7">
        <w:rPr>
          <w:color w:val="000000"/>
        </w:rPr>
        <w:t xml:space="preserve"> as the c</w:t>
      </w:r>
      <w:r w:rsidR="008365F7">
        <w:rPr>
          <w:color w:val="000000"/>
        </w:rPr>
        <w:t>entrepiece</w:t>
      </w:r>
      <w:r w:rsidR="008365F7" w:rsidRPr="008365F7">
        <w:rPr>
          <w:color w:val="000000"/>
        </w:rPr>
        <w:t xml:space="preserve"> </w:t>
      </w:r>
      <w:r w:rsidR="008365F7" w:rsidRPr="00490735">
        <w:t xml:space="preserve">of </w:t>
      </w:r>
      <w:r w:rsidR="003053E6">
        <w:t>its</w:t>
      </w:r>
      <w:r w:rsidR="008365F7" w:rsidRPr="00490735">
        <w:t xml:space="preserve"> comprehensive "2030 Agenda for Sustainable Development"</w:t>
      </w:r>
      <w:r w:rsidRPr="008365F7">
        <w:rPr>
          <w:color w:val="000000"/>
        </w:rPr>
        <w:t xml:space="preserve">; the Paris Agreement was reached three months later. </w:t>
      </w:r>
      <w:r w:rsidRPr="00490735">
        <w:t>The implementation</w:t>
      </w:r>
      <w:r w:rsidR="008365F7">
        <w:t xml:space="preserve"> of both </w:t>
      </w:r>
      <w:r w:rsidR="00490735">
        <w:t>will</w:t>
      </w:r>
      <w:r w:rsidRPr="00490735">
        <w:t xml:space="preserve"> remain a major global priority until </w:t>
      </w:r>
      <w:r w:rsidR="008365F7">
        <w:t>the</w:t>
      </w:r>
      <w:r w:rsidRPr="00490735">
        <w:t xml:space="preserve"> target date</w:t>
      </w:r>
      <w:r w:rsidR="00AA786A">
        <w:t xml:space="preserve"> </w:t>
      </w:r>
      <w:r w:rsidR="008365F7">
        <w:t xml:space="preserve">of 2030. </w:t>
      </w:r>
      <w:r w:rsidRPr="00490735">
        <w:t xml:space="preserve"> </w:t>
      </w:r>
    </w:p>
    <w:p w14:paraId="7ED798AC" w14:textId="77777777" w:rsidR="00C95600" w:rsidRPr="00490735" w:rsidRDefault="00C95600" w:rsidP="00C95600">
      <w:pPr>
        <w:spacing w:line="276" w:lineRule="auto"/>
        <w:rPr>
          <w:rFonts w:ascii="Times New Roman" w:hAnsi="Times New Roman" w:cs="Times New Roman"/>
          <w:sz w:val="22"/>
          <w:szCs w:val="22"/>
        </w:rPr>
      </w:pPr>
    </w:p>
    <w:p w14:paraId="4BAA305A" w14:textId="12FFBE22" w:rsidR="0075025D" w:rsidRPr="00490735" w:rsidRDefault="004B7870" w:rsidP="003053E6">
      <w:pPr>
        <w:pStyle w:val="Heading2"/>
      </w:pPr>
      <w:r w:rsidRPr="00490735">
        <w:rPr>
          <w:shd w:val="clear" w:color="auto" w:fill="FEFEFE"/>
        </w:rPr>
        <w:t xml:space="preserve">The SDGs </w:t>
      </w:r>
      <w:r w:rsidR="008968A1" w:rsidRPr="00490735">
        <w:rPr>
          <w:shd w:val="clear" w:color="auto" w:fill="FEFEFE"/>
        </w:rPr>
        <w:t xml:space="preserve">are the </w:t>
      </w:r>
      <w:r w:rsidR="008968A1" w:rsidRPr="00490735">
        <w:rPr>
          <w:color w:val="000000"/>
        </w:rPr>
        <w:t>blueprint for the next generation. They</w:t>
      </w:r>
      <w:r w:rsidR="008968A1" w:rsidRPr="00490735">
        <w:rPr>
          <w:shd w:val="clear" w:color="auto" w:fill="FEFEFE"/>
        </w:rPr>
        <w:t xml:space="preserve"> </w:t>
      </w:r>
      <w:r w:rsidR="001B079D" w:rsidRPr="00490735">
        <w:rPr>
          <w:shd w:val="clear" w:color="auto" w:fill="FEFEFE"/>
        </w:rPr>
        <w:t>are a universal call to action to end poverty, protect the planet and ensure that all people enjoy peace and prosperity.</w:t>
      </w:r>
      <w:r w:rsidRPr="00490735">
        <w:rPr>
          <w:shd w:val="clear" w:color="auto" w:fill="FEFEFE"/>
        </w:rPr>
        <w:t xml:space="preserve"> </w:t>
      </w:r>
      <w:r w:rsidR="00C22FA2" w:rsidRPr="00490735">
        <w:t xml:space="preserve">The SDGs build on the </w:t>
      </w:r>
      <w:r w:rsidR="00C95600" w:rsidRPr="00490735">
        <w:t xml:space="preserve">9 </w:t>
      </w:r>
      <w:r w:rsidR="00C22FA2" w:rsidRPr="00490735">
        <w:t xml:space="preserve">Millennium Development Goals (MDGs), but </w:t>
      </w:r>
      <w:r w:rsidR="009D3AD4" w:rsidRPr="00490735">
        <w:t>the</w:t>
      </w:r>
      <w:r w:rsidR="00295195">
        <w:t>y</w:t>
      </w:r>
      <w:r w:rsidR="00C22FA2" w:rsidRPr="00490735">
        <w:t xml:space="preserve"> </w:t>
      </w:r>
      <w:r w:rsidR="003053E6">
        <w:t>are</w:t>
      </w:r>
      <w:r w:rsidR="00C22FA2" w:rsidRPr="00490735">
        <w:t xml:space="preserve"> </w:t>
      </w:r>
      <w:r w:rsidR="003053E6">
        <w:t xml:space="preserve">now </w:t>
      </w:r>
      <w:r w:rsidRPr="00490735">
        <w:t>global in nature, universally applicable and interlinked – all countries must share responsibility in achieving them. They are already leading to a new way of global working – broader, more participative and more consultative: more than 90 countries have sought the assistance of others, notably the EU, to help meet them.</w:t>
      </w:r>
      <w:r w:rsidR="00C22FA2" w:rsidRPr="00490735">
        <w:t xml:space="preserve"> </w:t>
      </w:r>
    </w:p>
    <w:p w14:paraId="4BA241BC" w14:textId="77777777" w:rsidR="00C22FA2" w:rsidRPr="00490735" w:rsidRDefault="00C22FA2" w:rsidP="00C95600">
      <w:pPr>
        <w:spacing w:line="276" w:lineRule="auto"/>
        <w:rPr>
          <w:rFonts w:ascii="Times New Roman" w:hAnsi="Times New Roman" w:cs="Times New Roman"/>
          <w:sz w:val="22"/>
          <w:szCs w:val="22"/>
        </w:rPr>
      </w:pPr>
    </w:p>
    <w:p w14:paraId="4935F26B" w14:textId="62980DF4" w:rsidR="00C22FA2" w:rsidRPr="00490735" w:rsidRDefault="00C22FA2" w:rsidP="003053E6">
      <w:pPr>
        <w:pStyle w:val="Heading3"/>
        <w:rPr>
          <w:shd w:val="clear" w:color="auto" w:fill="FFFFFF"/>
        </w:rPr>
      </w:pPr>
      <w:r w:rsidRPr="00490735">
        <w:t xml:space="preserve">The SDGs also go far further than the MDGs in that they specifically identify the tools, or "means of implementation" for meeting all </w:t>
      </w:r>
      <w:r w:rsidR="00C95600" w:rsidRPr="00490735">
        <w:t xml:space="preserve">the </w:t>
      </w:r>
      <w:r w:rsidRPr="00490735">
        <w:t xml:space="preserve">17 SDGs </w:t>
      </w:r>
      <w:r w:rsidR="005E6E64" w:rsidRPr="00490735">
        <w:t>th</w:t>
      </w:r>
      <w:r w:rsidR="009D3AD4" w:rsidRPr="00490735">
        <w:t>rough</w:t>
      </w:r>
      <w:r w:rsidRPr="00490735">
        <w:t xml:space="preserve"> their 169 specifically identified targets. </w:t>
      </w:r>
      <w:r w:rsidR="00C95600" w:rsidRPr="00490735">
        <w:t>T</w:t>
      </w:r>
      <w:r w:rsidR="00C95600" w:rsidRPr="00490735">
        <w:rPr>
          <w:shd w:val="clear" w:color="auto" w:fill="FFFFFF"/>
        </w:rPr>
        <w:t>he annual </w:t>
      </w:r>
      <w:hyperlink r:id="rId8" w:history="1">
        <w:r w:rsidR="00C95600" w:rsidRPr="00490735">
          <w:rPr>
            <w:rStyle w:val="Hyperlink"/>
            <w:color w:val="auto"/>
            <w:u w:val="none"/>
            <w:shd w:val="clear" w:color="auto" w:fill="FFFFFF"/>
          </w:rPr>
          <w:t>High-level Political Forum on Sustainable Development</w:t>
        </w:r>
      </w:hyperlink>
      <w:r w:rsidR="00C95600" w:rsidRPr="00490735">
        <w:rPr>
          <w:shd w:val="clear" w:color="auto" w:fill="FFFFFF"/>
        </w:rPr>
        <w:t> acts as the central UN platform for their follow-up and review.</w:t>
      </w:r>
    </w:p>
    <w:p w14:paraId="3482B8BE" w14:textId="77777777" w:rsidR="00C22FA2" w:rsidRPr="00490735" w:rsidRDefault="00C22FA2" w:rsidP="00C95600">
      <w:pPr>
        <w:spacing w:line="276" w:lineRule="auto"/>
        <w:rPr>
          <w:rFonts w:ascii="Times New Roman" w:hAnsi="Times New Roman" w:cs="Times New Roman"/>
          <w:sz w:val="22"/>
          <w:szCs w:val="22"/>
        </w:rPr>
      </w:pPr>
    </w:p>
    <w:p w14:paraId="23288268" w14:textId="2D72BE0E" w:rsidR="00CC3155" w:rsidRPr="00490735" w:rsidRDefault="00C3511C" w:rsidP="00C95600">
      <w:pPr>
        <w:pStyle w:val="Heading2"/>
        <w:spacing w:line="276" w:lineRule="auto"/>
      </w:pPr>
      <w:r w:rsidRPr="00490735">
        <w:t xml:space="preserve">The importance of the SDGs </w:t>
      </w:r>
      <w:r w:rsidR="005E6E64" w:rsidRPr="00490735">
        <w:t>w</w:t>
      </w:r>
      <w:r w:rsidR="00C22FA2" w:rsidRPr="00490735">
        <w:t xml:space="preserve">as </w:t>
      </w:r>
      <w:r w:rsidRPr="00490735">
        <w:t xml:space="preserve">greatly enhanced by the Paris </w:t>
      </w:r>
      <w:r w:rsidR="00C22FA2" w:rsidRPr="00490735">
        <w:t>Agreement</w:t>
      </w:r>
      <w:r w:rsidR="008968A1" w:rsidRPr="00490735">
        <w:t xml:space="preserve"> </w:t>
      </w:r>
      <w:r w:rsidR="00C95600" w:rsidRPr="00490735">
        <w:t xml:space="preserve">on climate change </w:t>
      </w:r>
      <w:r w:rsidR="008968A1" w:rsidRPr="00490735">
        <w:t>(COP 21)</w:t>
      </w:r>
      <w:r w:rsidR="008968A1" w:rsidRPr="00490735">
        <w:rPr>
          <w:rStyle w:val="FootnoteReference"/>
          <w:sz w:val="22"/>
        </w:rPr>
        <w:footnoteReference w:id="1"/>
      </w:r>
      <w:r w:rsidR="00C22FA2" w:rsidRPr="00490735">
        <w:t>, which</w:t>
      </w:r>
      <w:r w:rsidR="003053E6">
        <w:t xml:space="preserve"> </w:t>
      </w:r>
      <w:r w:rsidRPr="00490735">
        <w:t>entered into force</w:t>
      </w:r>
      <w:r w:rsidR="003053E6">
        <w:t xml:space="preserve"> in 2016</w:t>
      </w:r>
      <w:r w:rsidRPr="00490735">
        <w:t xml:space="preserve">. </w:t>
      </w:r>
      <w:r w:rsidR="00C22FA2" w:rsidRPr="00490735">
        <w:t>The SDGs are deeply interwoven with the Paris Agreement: at least 13 SDGs refer to climate change.</w:t>
      </w:r>
      <w:r w:rsidR="00CC3155" w:rsidRPr="00490735">
        <w:t xml:space="preserve"> </w:t>
      </w:r>
    </w:p>
    <w:p w14:paraId="145DF86F" w14:textId="77777777" w:rsidR="005E6E64" w:rsidRPr="00490735" w:rsidRDefault="005E6E64" w:rsidP="00C95600">
      <w:pPr>
        <w:spacing w:line="276" w:lineRule="auto"/>
        <w:rPr>
          <w:rFonts w:ascii="Times New Roman" w:hAnsi="Times New Roman" w:cs="Times New Roman"/>
          <w:sz w:val="22"/>
          <w:szCs w:val="22"/>
        </w:rPr>
      </w:pPr>
    </w:p>
    <w:p w14:paraId="1C771D94" w14:textId="04AFCB48" w:rsidR="005E6E64" w:rsidRPr="00490735" w:rsidRDefault="00CC3155" w:rsidP="00C95600">
      <w:pPr>
        <w:pStyle w:val="Heading3"/>
        <w:spacing w:line="276" w:lineRule="auto"/>
        <w:ind w:hanging="709"/>
        <w:rPr>
          <w:color w:val="222222"/>
        </w:rPr>
      </w:pPr>
      <w:r w:rsidRPr="00490735">
        <w:t xml:space="preserve">The Paris Agreement </w:t>
      </w:r>
      <w:r w:rsidR="006754A4" w:rsidRPr="00490735">
        <w:t xml:space="preserve">is the world’s first comprehensive climate agreement. If the SDGs are the blueprint for the next generation, this is the blueprint for the future of the planet. </w:t>
      </w:r>
      <w:r w:rsidR="00C95600" w:rsidRPr="00490735">
        <w:t>It is generally a</w:t>
      </w:r>
      <w:r w:rsidR="00490735">
        <w:t>ccept</w:t>
      </w:r>
      <w:r w:rsidR="00C95600" w:rsidRPr="00490735">
        <w:t>ed that a</w:t>
      </w:r>
      <w:r w:rsidR="006C72DF" w:rsidRPr="00490735">
        <w:t>n increase in global average temperature in excess of 2</w:t>
      </w:r>
      <w:r w:rsidR="002657D1" w:rsidRPr="00490735">
        <w:t>°C</w:t>
      </w:r>
      <w:r w:rsidR="006C72DF" w:rsidRPr="00490735">
        <w:t xml:space="preserve"> </w:t>
      </w:r>
      <w:r w:rsidR="006C72DF" w:rsidRPr="00490735">
        <w:rPr>
          <w:color w:val="222222"/>
        </w:rPr>
        <w:t>above pre-industrial levels would have catastrophic effects</w:t>
      </w:r>
      <w:r w:rsidR="003053E6">
        <w:rPr>
          <w:color w:val="222222"/>
        </w:rPr>
        <w:t>. This would include</w:t>
      </w:r>
      <w:r w:rsidR="00490735" w:rsidRPr="00490735">
        <w:rPr>
          <w:color w:val="222222"/>
        </w:rPr>
        <w:t xml:space="preserve"> rising sea levels </w:t>
      </w:r>
      <w:r w:rsidR="00490735">
        <w:rPr>
          <w:color w:val="222222"/>
        </w:rPr>
        <w:t xml:space="preserve">and </w:t>
      </w:r>
      <w:r w:rsidR="003053E6">
        <w:rPr>
          <w:color w:val="222222"/>
        </w:rPr>
        <w:t>major changes in</w:t>
      </w:r>
      <w:r w:rsidR="006C72DF" w:rsidRPr="00490735">
        <w:rPr>
          <w:color w:val="222222"/>
        </w:rPr>
        <w:t xml:space="preserve"> weather patterns, leading to excessive flooding </w:t>
      </w:r>
      <w:r w:rsidR="006C72DF" w:rsidRPr="00490735">
        <w:rPr>
          <w:color w:val="222222"/>
        </w:rPr>
        <w:lastRenderedPageBreak/>
        <w:t>in some areas, and excessive drought in others</w:t>
      </w:r>
      <w:r w:rsidR="005B10A7" w:rsidRPr="00490735">
        <w:rPr>
          <w:color w:val="222222"/>
        </w:rPr>
        <w:t>, accompanied by major shortages in food production</w:t>
      </w:r>
      <w:r w:rsidR="00295195">
        <w:rPr>
          <w:color w:val="222222"/>
        </w:rPr>
        <w:t xml:space="preserve"> </w:t>
      </w:r>
      <w:r w:rsidR="003053E6">
        <w:rPr>
          <w:color w:val="222222"/>
        </w:rPr>
        <w:t>as</w:t>
      </w:r>
      <w:r w:rsidR="00295195">
        <w:rPr>
          <w:color w:val="222222"/>
        </w:rPr>
        <w:t xml:space="preserve"> the global population is </w:t>
      </w:r>
      <w:r w:rsidR="003053E6">
        <w:rPr>
          <w:color w:val="222222"/>
        </w:rPr>
        <w:t xml:space="preserve">notably </w:t>
      </w:r>
      <w:r w:rsidR="00295195">
        <w:rPr>
          <w:color w:val="222222"/>
        </w:rPr>
        <w:t>increasing</w:t>
      </w:r>
      <w:r w:rsidR="006C72DF" w:rsidRPr="00490735">
        <w:rPr>
          <w:color w:val="222222"/>
        </w:rPr>
        <w:t>. Th</w:t>
      </w:r>
      <w:r w:rsidR="003053E6">
        <w:rPr>
          <w:color w:val="222222"/>
        </w:rPr>
        <w:t>is</w:t>
      </w:r>
      <w:r w:rsidR="006C72DF" w:rsidRPr="00490735">
        <w:rPr>
          <w:color w:val="222222"/>
        </w:rPr>
        <w:t xml:space="preserve"> would lead in turn to mass migrations</w:t>
      </w:r>
      <w:r w:rsidR="00295195">
        <w:rPr>
          <w:color w:val="222222"/>
        </w:rPr>
        <w:t xml:space="preserve"> on a scale</w:t>
      </w:r>
      <w:r w:rsidR="006C72DF" w:rsidRPr="00490735">
        <w:rPr>
          <w:color w:val="222222"/>
        </w:rPr>
        <w:t xml:space="preserve"> not seen for </w:t>
      </w:r>
      <w:r w:rsidR="00C95600" w:rsidRPr="00490735">
        <w:rPr>
          <w:color w:val="222222"/>
        </w:rPr>
        <w:t xml:space="preserve">at least </w:t>
      </w:r>
      <w:r w:rsidR="006C72DF" w:rsidRPr="00490735">
        <w:rPr>
          <w:color w:val="222222"/>
        </w:rPr>
        <w:t>800 years</w:t>
      </w:r>
      <w:r w:rsidR="00966782" w:rsidRPr="00490735">
        <w:rPr>
          <w:color w:val="222222"/>
        </w:rPr>
        <w:t>,</w:t>
      </w:r>
      <w:r w:rsidR="006C72DF" w:rsidRPr="00490735">
        <w:rPr>
          <w:color w:val="222222"/>
        </w:rPr>
        <w:t xml:space="preserve"> and a </w:t>
      </w:r>
      <w:r w:rsidR="00972698" w:rsidRPr="00490735">
        <w:rPr>
          <w:color w:val="222222"/>
        </w:rPr>
        <w:t xml:space="preserve">concomitant level in rising chaos, </w:t>
      </w:r>
      <w:r w:rsidR="00966782" w:rsidRPr="00490735">
        <w:rPr>
          <w:color w:val="222222"/>
        </w:rPr>
        <w:t xml:space="preserve">wars, </w:t>
      </w:r>
      <w:r w:rsidR="007658A0" w:rsidRPr="00490735">
        <w:rPr>
          <w:color w:val="222222"/>
        </w:rPr>
        <w:t xml:space="preserve">disease, </w:t>
      </w:r>
      <w:r w:rsidR="00972698" w:rsidRPr="00490735">
        <w:rPr>
          <w:color w:val="222222"/>
        </w:rPr>
        <w:t>hunger</w:t>
      </w:r>
      <w:r w:rsidR="005B10A7" w:rsidRPr="00490735">
        <w:rPr>
          <w:color w:val="222222"/>
        </w:rPr>
        <w:t xml:space="preserve"> and starvation, </w:t>
      </w:r>
      <w:r w:rsidR="00972698" w:rsidRPr="00490735">
        <w:rPr>
          <w:color w:val="222222"/>
        </w:rPr>
        <w:t xml:space="preserve">and </w:t>
      </w:r>
      <w:r w:rsidR="00966782" w:rsidRPr="00490735">
        <w:rPr>
          <w:color w:val="222222"/>
        </w:rPr>
        <w:t xml:space="preserve">wider </w:t>
      </w:r>
      <w:r w:rsidR="00972698" w:rsidRPr="00490735">
        <w:rPr>
          <w:color w:val="222222"/>
        </w:rPr>
        <w:t xml:space="preserve">displacement. </w:t>
      </w:r>
      <w:r w:rsidR="00490735">
        <w:rPr>
          <w:color w:val="222222"/>
        </w:rPr>
        <w:t xml:space="preserve">Many of those countries most </w:t>
      </w:r>
      <w:r w:rsidR="00295195">
        <w:rPr>
          <w:color w:val="222222"/>
        </w:rPr>
        <w:t xml:space="preserve">likely to be </w:t>
      </w:r>
      <w:r w:rsidR="00490735">
        <w:rPr>
          <w:color w:val="222222"/>
        </w:rPr>
        <w:t>affected would be least able to manage the changes.</w:t>
      </w:r>
    </w:p>
    <w:p w14:paraId="00133797" w14:textId="77777777" w:rsidR="007D47AC" w:rsidRPr="00490735" w:rsidRDefault="007D47AC" w:rsidP="00C95600">
      <w:pPr>
        <w:spacing w:line="276" w:lineRule="auto"/>
        <w:rPr>
          <w:rFonts w:ascii="Times New Roman" w:hAnsi="Times New Roman" w:cs="Times New Roman"/>
          <w:sz w:val="22"/>
          <w:szCs w:val="22"/>
        </w:rPr>
      </w:pPr>
    </w:p>
    <w:p w14:paraId="4A099DFA" w14:textId="2558143E" w:rsidR="00A630AD" w:rsidRPr="00490735" w:rsidRDefault="00A630AD" w:rsidP="00C95600">
      <w:pPr>
        <w:pStyle w:val="Heading3"/>
        <w:shd w:val="clear" w:color="auto" w:fill="FFFFFF"/>
        <w:spacing w:before="120" w:after="120" w:line="276" w:lineRule="auto"/>
        <w:rPr>
          <w:color w:val="222222"/>
        </w:rPr>
      </w:pPr>
      <w:r w:rsidRPr="00490735">
        <w:t xml:space="preserve">The </w:t>
      </w:r>
      <w:r w:rsidR="00C95600" w:rsidRPr="00490735">
        <w:t xml:space="preserve">accepted </w:t>
      </w:r>
      <w:r w:rsidRPr="00490735">
        <w:rPr>
          <w:color w:val="222222"/>
        </w:rPr>
        <w:t xml:space="preserve">long-term goal is to </w:t>
      </w:r>
      <w:r w:rsidR="00490735">
        <w:rPr>
          <w:color w:val="222222"/>
        </w:rPr>
        <w:t>r</w:t>
      </w:r>
      <w:r w:rsidRPr="00490735">
        <w:rPr>
          <w:color w:val="222222"/>
        </w:rPr>
        <w:t>e</w:t>
      </w:r>
      <w:r w:rsidR="00490735">
        <w:rPr>
          <w:color w:val="222222"/>
        </w:rPr>
        <w:t>strict</w:t>
      </w:r>
      <w:r w:rsidRPr="00490735">
        <w:rPr>
          <w:color w:val="222222"/>
        </w:rPr>
        <w:t xml:space="preserve"> the increase in global average temperature to well below 2°C above pre-industrial levels. </w:t>
      </w:r>
      <w:r w:rsidR="005E6E64" w:rsidRPr="00490735">
        <w:t>However, the latest scientific thinking</w:t>
      </w:r>
      <w:r w:rsidR="00295195">
        <w:t>,</w:t>
      </w:r>
      <w:r w:rsidR="005E6E64" w:rsidRPr="00490735">
        <w:t xml:space="preserve"> as outlined in the IPCC (Intergovernmental Panel on Climate Change) report prepared for COP24 </w:t>
      </w:r>
      <w:r w:rsidR="005E6E64" w:rsidRPr="00490735">
        <w:rPr>
          <w:color w:val="222222"/>
        </w:rPr>
        <w:t>held in Katowice in December 2018</w:t>
      </w:r>
      <w:r w:rsidR="00295195">
        <w:rPr>
          <w:color w:val="222222"/>
        </w:rPr>
        <w:t>,</w:t>
      </w:r>
      <w:r w:rsidR="005E6E64" w:rsidRPr="00490735">
        <w:rPr>
          <w:color w:val="222222"/>
        </w:rPr>
        <w:t xml:space="preserve"> </w:t>
      </w:r>
      <w:r w:rsidR="005E6E64" w:rsidRPr="00490735">
        <w:t xml:space="preserve">shows that an increase of </w:t>
      </w:r>
      <w:r w:rsidR="009D3AD4" w:rsidRPr="00490735">
        <w:t xml:space="preserve">even </w:t>
      </w:r>
      <w:r w:rsidR="00490735">
        <w:t xml:space="preserve">1.5°C would </w:t>
      </w:r>
      <w:r w:rsidR="005E6E64" w:rsidRPr="00490735">
        <w:t>have grave consequences</w:t>
      </w:r>
      <w:r w:rsidR="00490735">
        <w:t>. Against that</w:t>
      </w:r>
      <w:r w:rsidR="009D3AD4" w:rsidRPr="00490735">
        <w:t xml:space="preserve"> there is widespread concern </w:t>
      </w:r>
      <w:r w:rsidR="00490735">
        <w:rPr>
          <w:color w:val="222222"/>
        </w:rPr>
        <w:t>that current targets and commitments c</w:t>
      </w:r>
      <w:r w:rsidR="009D3AD4" w:rsidRPr="00490735">
        <w:rPr>
          <w:color w:val="222222"/>
        </w:rPr>
        <w:t xml:space="preserve">ould </w:t>
      </w:r>
      <w:r w:rsidR="00490735">
        <w:rPr>
          <w:color w:val="222222"/>
        </w:rPr>
        <w:t>even lead to a 3</w:t>
      </w:r>
      <w:r w:rsidR="009D3AD4" w:rsidRPr="00490735">
        <w:rPr>
          <w:color w:val="222222"/>
        </w:rPr>
        <w:t xml:space="preserve">°C </w:t>
      </w:r>
      <w:r w:rsidR="00490735">
        <w:rPr>
          <w:color w:val="222222"/>
        </w:rPr>
        <w:t>increase</w:t>
      </w:r>
      <w:r w:rsidR="009D3AD4" w:rsidRPr="00490735">
        <w:rPr>
          <w:color w:val="222222"/>
        </w:rPr>
        <w:t xml:space="preserve">. </w:t>
      </w:r>
    </w:p>
    <w:p w14:paraId="52C0754D" w14:textId="504EC805" w:rsidR="00D8137A" w:rsidRPr="00490735" w:rsidRDefault="00A630AD" w:rsidP="00C95600">
      <w:pPr>
        <w:pStyle w:val="Heading3"/>
        <w:shd w:val="clear" w:color="auto" w:fill="FFFFFF"/>
        <w:spacing w:before="120" w:after="120" w:line="276" w:lineRule="auto"/>
        <w:rPr>
          <w:color w:val="222222"/>
        </w:rPr>
      </w:pPr>
      <w:r w:rsidRPr="00490735">
        <w:rPr>
          <w:color w:val="222222"/>
        </w:rPr>
        <w:t xml:space="preserve">A key </w:t>
      </w:r>
      <w:r w:rsidR="00AA786A">
        <w:rPr>
          <w:color w:val="222222"/>
        </w:rPr>
        <w:t>object</w:t>
      </w:r>
      <w:r w:rsidRPr="00490735">
        <w:rPr>
          <w:color w:val="222222"/>
        </w:rPr>
        <w:t xml:space="preserve"> for the </w:t>
      </w:r>
      <w:r w:rsidR="00FF398F">
        <w:rPr>
          <w:color w:val="222222"/>
        </w:rPr>
        <w:t xml:space="preserve">next </w:t>
      </w:r>
      <w:r w:rsidR="003053E6">
        <w:rPr>
          <w:color w:val="222222"/>
        </w:rPr>
        <w:t xml:space="preserve">milestone </w:t>
      </w:r>
      <w:r w:rsidRPr="00490735">
        <w:rPr>
          <w:color w:val="222222"/>
        </w:rPr>
        <w:t xml:space="preserve">UN climate summit due in September 2020 must be to </w:t>
      </w:r>
      <w:r w:rsidR="00AA786A">
        <w:rPr>
          <w:color w:val="222222"/>
        </w:rPr>
        <w:t>obtain</w:t>
      </w:r>
      <w:r w:rsidRPr="00490735">
        <w:rPr>
          <w:color w:val="222222"/>
        </w:rPr>
        <w:t xml:space="preserve"> </w:t>
      </w:r>
      <w:r w:rsidR="00522466">
        <w:rPr>
          <w:color w:val="222222"/>
        </w:rPr>
        <w:t>commitments</w:t>
      </w:r>
      <w:r w:rsidRPr="00490735">
        <w:rPr>
          <w:color w:val="222222"/>
        </w:rPr>
        <w:t xml:space="preserve"> to limit </w:t>
      </w:r>
      <w:r w:rsidR="00295195">
        <w:rPr>
          <w:color w:val="222222"/>
        </w:rPr>
        <w:t>any</w:t>
      </w:r>
      <w:r w:rsidRPr="00490735">
        <w:rPr>
          <w:color w:val="222222"/>
        </w:rPr>
        <w:t xml:space="preserve"> </w:t>
      </w:r>
      <w:r w:rsidR="00C95600" w:rsidRPr="00490735">
        <w:rPr>
          <w:color w:val="222222"/>
        </w:rPr>
        <w:t xml:space="preserve">increase </w:t>
      </w:r>
      <w:r w:rsidRPr="00490735">
        <w:rPr>
          <w:color w:val="222222"/>
        </w:rPr>
        <w:t>to 1.5° C</w:t>
      </w:r>
      <w:r w:rsidR="00C95600" w:rsidRPr="00490735">
        <w:rPr>
          <w:color w:val="222222"/>
        </w:rPr>
        <w:t xml:space="preserve"> or less</w:t>
      </w:r>
      <w:r w:rsidRPr="00490735">
        <w:t>.</w:t>
      </w:r>
    </w:p>
    <w:p w14:paraId="083070A3" w14:textId="7C3679D2" w:rsidR="006C72DF" w:rsidRPr="00490735" w:rsidRDefault="00D8137A" w:rsidP="00C95600">
      <w:pPr>
        <w:pStyle w:val="Heading3"/>
        <w:shd w:val="clear" w:color="auto" w:fill="FFFFFF"/>
        <w:spacing w:before="120" w:after="120" w:line="276" w:lineRule="auto"/>
        <w:rPr>
          <w:color w:val="222222"/>
        </w:rPr>
      </w:pPr>
      <w:r w:rsidRPr="00490735">
        <w:rPr>
          <w:color w:val="222222"/>
        </w:rPr>
        <w:t>As the British naturalist, Sir David Attenborough, stated at COP24</w:t>
      </w:r>
      <w:r w:rsidR="003053E6">
        <w:rPr>
          <w:color w:val="222222"/>
        </w:rPr>
        <w:t>:</w:t>
      </w:r>
      <w:r w:rsidRPr="00490735">
        <w:rPr>
          <w:color w:val="222222"/>
        </w:rPr>
        <w:t xml:space="preserve"> “if we don’t take action, the collapse of our civilisations and the extinction of much of the natural world is on the horizon”.</w:t>
      </w:r>
      <w:r w:rsidR="004C12F8" w:rsidRPr="00490735">
        <w:rPr>
          <w:color w:val="222222"/>
        </w:rPr>
        <w:t xml:space="preserve"> However, there remain a large number of people around the world who do not believe </w:t>
      </w:r>
      <w:r w:rsidR="00C95600" w:rsidRPr="00490735">
        <w:rPr>
          <w:color w:val="222222"/>
        </w:rPr>
        <w:t xml:space="preserve">that </w:t>
      </w:r>
      <w:r w:rsidR="004C12F8" w:rsidRPr="00490735">
        <w:rPr>
          <w:color w:val="222222"/>
        </w:rPr>
        <w:t>there is a serious threat</w:t>
      </w:r>
      <w:r w:rsidR="004D6ABA">
        <w:rPr>
          <w:color w:val="222222"/>
        </w:rPr>
        <w:t>, including the US President</w:t>
      </w:r>
      <w:r w:rsidR="004C12F8" w:rsidRPr="00490735">
        <w:rPr>
          <w:color w:val="222222"/>
        </w:rPr>
        <w:t>.</w:t>
      </w:r>
    </w:p>
    <w:p w14:paraId="46C73BB3" w14:textId="40F92938" w:rsidR="004558C7" w:rsidRPr="00490735" w:rsidRDefault="006C72DF" w:rsidP="00C95600">
      <w:pPr>
        <w:pStyle w:val="Heading2"/>
        <w:spacing w:line="276" w:lineRule="auto"/>
        <w:rPr>
          <w:color w:val="222222"/>
        </w:rPr>
      </w:pPr>
      <w:r w:rsidRPr="00490735">
        <w:t xml:space="preserve">The </w:t>
      </w:r>
      <w:r w:rsidR="00C95600" w:rsidRPr="00490735">
        <w:t xml:space="preserve">Paris </w:t>
      </w:r>
      <w:r w:rsidRPr="00490735">
        <w:t>Agreement</w:t>
      </w:r>
      <w:r w:rsidR="006754A4" w:rsidRPr="00490735">
        <w:t xml:space="preserve"> </w:t>
      </w:r>
      <w:r w:rsidR="003053E6">
        <w:t>is part of</w:t>
      </w:r>
      <w:r w:rsidR="00CC3155" w:rsidRPr="00490735">
        <w:t xml:space="preserve"> the UN Framework Convention on Climate Change (UNFCCC). It covers </w:t>
      </w:r>
      <w:r w:rsidR="003053E6">
        <w:t xml:space="preserve">mitigation of </w:t>
      </w:r>
      <w:r w:rsidR="00CC3155" w:rsidRPr="00490735">
        <w:t>greenhouse gas</w:t>
      </w:r>
      <w:r w:rsidR="003053E6">
        <w:t xml:space="preserve"> (GHG) emissions</w:t>
      </w:r>
      <w:r w:rsidR="004558C7" w:rsidRPr="00490735">
        <w:t>, adaptation and finance.</w:t>
      </w:r>
      <w:r w:rsidR="00295195">
        <w:t xml:space="preserve"> </w:t>
      </w:r>
      <w:r w:rsidR="004558C7" w:rsidRPr="00490735">
        <w:t>195 countries have signed the Agreement</w:t>
      </w:r>
      <w:r w:rsidR="00C95600" w:rsidRPr="00490735">
        <w:t xml:space="preserve"> </w:t>
      </w:r>
      <w:r w:rsidR="00B60872" w:rsidRPr="00490735">
        <w:t>and</w:t>
      </w:r>
      <w:r w:rsidR="00C95600" w:rsidRPr="00490735">
        <w:t xml:space="preserve"> 185</w:t>
      </w:r>
      <w:r w:rsidR="00B60872" w:rsidRPr="00490735">
        <w:t xml:space="preserve"> are already party</w:t>
      </w:r>
      <w:r w:rsidR="00295195">
        <w:t xml:space="preserve"> to it</w:t>
      </w:r>
      <w:r w:rsidR="004558C7" w:rsidRPr="00490735">
        <w:t xml:space="preserve">. </w:t>
      </w:r>
    </w:p>
    <w:p w14:paraId="51F1E7C6" w14:textId="587FB829" w:rsidR="00DF4E46" w:rsidRPr="00490735" w:rsidRDefault="00CC3155" w:rsidP="00C95600">
      <w:pPr>
        <w:pStyle w:val="Heading3"/>
        <w:shd w:val="clear" w:color="auto" w:fill="FFFFFF"/>
        <w:spacing w:before="120" w:after="120" w:line="276" w:lineRule="auto"/>
        <w:rPr>
          <w:color w:val="222222"/>
        </w:rPr>
      </w:pPr>
      <w:r w:rsidRPr="00490735">
        <w:rPr>
          <w:color w:val="222222"/>
        </w:rPr>
        <w:t xml:space="preserve">Under the Agreement, </w:t>
      </w:r>
      <w:r w:rsidR="00E57FB0" w:rsidRPr="00490735">
        <w:rPr>
          <w:color w:val="222222"/>
        </w:rPr>
        <w:t>countries have committed to increase the</w:t>
      </w:r>
      <w:r w:rsidR="00C95600" w:rsidRPr="00490735">
        <w:rPr>
          <w:color w:val="222222"/>
        </w:rPr>
        <w:t>ir</w:t>
      </w:r>
      <w:r w:rsidR="00E57FB0" w:rsidRPr="00490735">
        <w:rPr>
          <w:color w:val="222222"/>
        </w:rPr>
        <w:t xml:space="preserve"> overall ability to adapt to adverse impacts of climate change and foster both climate resilience and low GHG development, </w:t>
      </w:r>
      <w:r w:rsidR="006754A4" w:rsidRPr="00490735">
        <w:rPr>
          <w:color w:val="222222"/>
        </w:rPr>
        <w:t xml:space="preserve">and </w:t>
      </w:r>
      <w:r w:rsidR="00C95600" w:rsidRPr="00490735">
        <w:rPr>
          <w:color w:val="222222"/>
        </w:rPr>
        <w:t xml:space="preserve">to </w:t>
      </w:r>
      <w:r w:rsidR="006754A4" w:rsidRPr="00490735">
        <w:rPr>
          <w:color w:val="222222"/>
        </w:rPr>
        <w:t>mak</w:t>
      </w:r>
      <w:r w:rsidR="00C95600" w:rsidRPr="00490735">
        <w:rPr>
          <w:color w:val="222222"/>
        </w:rPr>
        <w:t>e</w:t>
      </w:r>
      <w:r w:rsidR="006754A4" w:rsidRPr="00490735">
        <w:rPr>
          <w:color w:val="222222"/>
        </w:rPr>
        <w:t xml:space="preserve"> ‘financial flows’ consistent with this goal, </w:t>
      </w:r>
      <w:r w:rsidR="00E57FB0" w:rsidRPr="00490735">
        <w:rPr>
          <w:color w:val="222222"/>
        </w:rPr>
        <w:t xml:space="preserve">provided that this does not threaten food production. </w:t>
      </w:r>
    </w:p>
    <w:p w14:paraId="6A244399" w14:textId="6A58EA38" w:rsidR="00E57FB0" w:rsidRPr="00490735" w:rsidRDefault="006754A4" w:rsidP="00C95600">
      <w:pPr>
        <w:pStyle w:val="Heading3"/>
        <w:shd w:val="clear" w:color="auto" w:fill="FFFFFF"/>
        <w:spacing w:before="120" w:after="120" w:line="276" w:lineRule="auto"/>
        <w:rPr>
          <w:color w:val="222222"/>
        </w:rPr>
      </w:pPr>
      <w:r w:rsidRPr="00490735">
        <w:rPr>
          <w:color w:val="222222"/>
        </w:rPr>
        <w:t>Th</w:t>
      </w:r>
      <w:r w:rsidR="00C95600" w:rsidRPr="00490735">
        <w:rPr>
          <w:color w:val="222222"/>
        </w:rPr>
        <w:t>ese commitments include</w:t>
      </w:r>
      <w:r w:rsidRPr="00490735">
        <w:rPr>
          <w:color w:val="222222"/>
        </w:rPr>
        <w:t xml:space="preserve"> the so</w:t>
      </w:r>
      <w:r w:rsidR="00295195">
        <w:rPr>
          <w:color w:val="222222"/>
        </w:rPr>
        <w:t>-</w:t>
      </w:r>
      <w:r w:rsidRPr="00490735">
        <w:rPr>
          <w:color w:val="222222"/>
        </w:rPr>
        <w:t>called 20/20/20 targets, namely reduction of greenhouse gas emissions by 20%, the increase of renewables to 20% of consumption, and an increase of energy efficiency to save up to 20% in energy consumption.</w:t>
      </w:r>
      <w:r w:rsidR="00DF4E46" w:rsidRPr="00490735">
        <w:rPr>
          <w:color w:val="222222"/>
        </w:rPr>
        <w:t xml:space="preserve"> </w:t>
      </w:r>
      <w:r w:rsidR="00DF4E46" w:rsidRPr="00490735">
        <w:rPr>
          <w:color w:val="222222"/>
          <w:shd w:val="clear" w:color="auto" w:fill="FFFFFF"/>
        </w:rPr>
        <w:t>Countries have also undertaken to reach "global peaking of greenhouse gas emissions as soon as possible"</w:t>
      </w:r>
      <w:r w:rsidR="00C95600" w:rsidRPr="00490735">
        <w:rPr>
          <w:color w:val="222222"/>
          <w:shd w:val="clear" w:color="auto" w:fill="FFFFFF"/>
        </w:rPr>
        <w:t>.</w:t>
      </w:r>
    </w:p>
    <w:p w14:paraId="3BF55372" w14:textId="65631150" w:rsidR="00C22FA2" w:rsidRPr="00490735" w:rsidRDefault="00295195" w:rsidP="00C95600">
      <w:pPr>
        <w:pStyle w:val="Heading3"/>
        <w:shd w:val="clear" w:color="auto" w:fill="FFFFFF"/>
        <w:spacing w:before="120" w:after="120" w:line="276" w:lineRule="auto"/>
        <w:rPr>
          <w:color w:val="222222"/>
        </w:rPr>
      </w:pPr>
      <w:r>
        <w:rPr>
          <w:color w:val="222222"/>
        </w:rPr>
        <w:t>E</w:t>
      </w:r>
      <w:r w:rsidR="00CC3155" w:rsidRPr="00490735">
        <w:rPr>
          <w:color w:val="222222"/>
        </w:rPr>
        <w:t xml:space="preserve">ach country must determine, plan, and regularly report on the contribution that it </w:t>
      </w:r>
      <w:r w:rsidR="00C95600" w:rsidRPr="00490735">
        <w:rPr>
          <w:color w:val="222222"/>
        </w:rPr>
        <w:t xml:space="preserve">is </w:t>
      </w:r>
      <w:r w:rsidR="00CC3155" w:rsidRPr="00490735">
        <w:rPr>
          <w:color w:val="222222"/>
        </w:rPr>
        <w:t>undertak</w:t>
      </w:r>
      <w:r w:rsidR="00C95600" w:rsidRPr="00490735">
        <w:rPr>
          <w:color w:val="222222"/>
        </w:rPr>
        <w:t>ing</w:t>
      </w:r>
      <w:r w:rsidR="00CC3155" w:rsidRPr="00490735">
        <w:rPr>
          <w:color w:val="222222"/>
        </w:rPr>
        <w:t xml:space="preserve"> to mitigate</w:t>
      </w:r>
      <w:r w:rsidR="004558C7" w:rsidRPr="00490735">
        <w:rPr>
          <w:color w:val="222222"/>
        </w:rPr>
        <w:t xml:space="preserve"> global warming, although there is n</w:t>
      </w:r>
      <w:r w:rsidR="00CC3155" w:rsidRPr="00490735">
        <w:rPr>
          <w:color w:val="222222"/>
        </w:rPr>
        <w:t xml:space="preserve">o mechanism </w:t>
      </w:r>
      <w:r w:rsidR="004558C7" w:rsidRPr="00490735">
        <w:rPr>
          <w:color w:val="222222"/>
        </w:rPr>
        <w:t xml:space="preserve">to </w:t>
      </w:r>
      <w:r w:rsidR="00CC3155" w:rsidRPr="00490735">
        <w:rPr>
          <w:color w:val="222222"/>
        </w:rPr>
        <w:t>force a</w:t>
      </w:r>
      <w:r w:rsidR="004558C7" w:rsidRPr="00490735">
        <w:rPr>
          <w:color w:val="222222"/>
        </w:rPr>
        <w:t>ny</w:t>
      </w:r>
      <w:r w:rsidR="00CC3155" w:rsidRPr="00490735">
        <w:rPr>
          <w:color w:val="222222"/>
        </w:rPr>
        <w:t xml:space="preserve"> country to set a specific target by a specific date</w:t>
      </w:r>
      <w:r w:rsidR="004558C7" w:rsidRPr="00490735">
        <w:rPr>
          <w:color w:val="222222"/>
        </w:rPr>
        <w:t>. E</w:t>
      </w:r>
      <w:r w:rsidR="00CC3155" w:rsidRPr="00490735">
        <w:rPr>
          <w:color w:val="222222"/>
        </w:rPr>
        <w:t xml:space="preserve">ach </w:t>
      </w:r>
      <w:r w:rsidR="00C95600" w:rsidRPr="00490735">
        <w:rPr>
          <w:color w:val="222222"/>
        </w:rPr>
        <w:t xml:space="preserve">new </w:t>
      </w:r>
      <w:r w:rsidR="00CC3155" w:rsidRPr="00490735">
        <w:rPr>
          <w:color w:val="222222"/>
        </w:rPr>
        <w:t xml:space="preserve">target </w:t>
      </w:r>
      <w:r w:rsidR="00FF398F">
        <w:rPr>
          <w:color w:val="222222"/>
        </w:rPr>
        <w:t xml:space="preserve">set </w:t>
      </w:r>
      <w:r w:rsidR="00C95600" w:rsidRPr="00490735">
        <w:rPr>
          <w:color w:val="222222"/>
        </w:rPr>
        <w:t xml:space="preserve">is expected </w:t>
      </w:r>
      <w:r w:rsidR="004558C7" w:rsidRPr="00490735">
        <w:rPr>
          <w:color w:val="222222"/>
        </w:rPr>
        <w:t xml:space="preserve">however </w:t>
      </w:r>
      <w:r w:rsidR="00C95600" w:rsidRPr="00490735">
        <w:rPr>
          <w:color w:val="222222"/>
        </w:rPr>
        <w:t xml:space="preserve">to </w:t>
      </w:r>
      <w:r>
        <w:rPr>
          <w:color w:val="222222"/>
        </w:rPr>
        <w:t xml:space="preserve">achieve more than </w:t>
      </w:r>
      <w:r w:rsidR="00CC3155" w:rsidRPr="00490735">
        <w:rPr>
          <w:color w:val="222222"/>
        </w:rPr>
        <w:t xml:space="preserve">previous targets. </w:t>
      </w:r>
    </w:p>
    <w:p w14:paraId="5F7BC10A" w14:textId="500DFC31" w:rsidR="004558C7" w:rsidRPr="00490735" w:rsidRDefault="00C3511C" w:rsidP="00C95600">
      <w:pPr>
        <w:pStyle w:val="Heading2"/>
        <w:autoSpaceDE w:val="0"/>
        <w:autoSpaceDN w:val="0"/>
        <w:spacing w:line="276" w:lineRule="auto"/>
      </w:pPr>
      <w:r w:rsidRPr="00490735">
        <w:t>Considerable uncertainty has been c</w:t>
      </w:r>
      <w:r w:rsidR="00295195">
        <w:t>aused</w:t>
      </w:r>
      <w:r w:rsidRPr="00490735">
        <w:t xml:space="preserve"> by the US Administration's stated intention to withdraw from the Agreement and </w:t>
      </w:r>
      <w:r w:rsidR="00C95600" w:rsidRPr="00490735">
        <w:t xml:space="preserve">by </w:t>
      </w:r>
      <w:r w:rsidRPr="00490735">
        <w:t xml:space="preserve">what effects this could have in practice. </w:t>
      </w:r>
      <w:r w:rsidR="004558C7" w:rsidRPr="00490735">
        <w:t>The</w:t>
      </w:r>
      <w:r w:rsidR="00C95600" w:rsidRPr="00490735">
        <w:t xml:space="preserve"> earliest effective date for that</w:t>
      </w:r>
      <w:r w:rsidR="004558C7" w:rsidRPr="00490735">
        <w:t xml:space="preserve"> under the Agreement </w:t>
      </w:r>
      <w:r w:rsidR="004558C7" w:rsidRPr="00490735">
        <w:rPr>
          <w:color w:val="222222"/>
        </w:rPr>
        <w:t xml:space="preserve">is November 2020, shortly before the end of the President’s </w:t>
      </w:r>
      <w:r w:rsidR="00A66B76" w:rsidRPr="00490735">
        <w:rPr>
          <w:color w:val="222222"/>
        </w:rPr>
        <w:t xml:space="preserve">current </w:t>
      </w:r>
      <w:r w:rsidR="004558C7" w:rsidRPr="00490735">
        <w:rPr>
          <w:color w:val="222222"/>
        </w:rPr>
        <w:t xml:space="preserve">term of office. Nevertheless, the US </w:t>
      </w:r>
      <w:r w:rsidR="00C95600" w:rsidRPr="00490735">
        <w:rPr>
          <w:color w:val="222222"/>
        </w:rPr>
        <w:t xml:space="preserve">Administration </w:t>
      </w:r>
      <w:r w:rsidR="004558C7" w:rsidRPr="00490735">
        <w:rPr>
          <w:color w:val="222222"/>
        </w:rPr>
        <w:t xml:space="preserve">has already </w:t>
      </w:r>
      <w:r w:rsidR="00C95600" w:rsidRPr="00490735">
        <w:rPr>
          <w:color w:val="222222"/>
        </w:rPr>
        <w:t xml:space="preserve">started to put into </w:t>
      </w:r>
      <w:r w:rsidR="004558C7" w:rsidRPr="00490735">
        <w:rPr>
          <w:color w:val="222222"/>
        </w:rPr>
        <w:t>effect policy changes that are contrary to the Agreement.</w:t>
      </w:r>
    </w:p>
    <w:p w14:paraId="69FE3A68" w14:textId="77777777" w:rsidR="004558C7" w:rsidRPr="00490735" w:rsidRDefault="004558C7" w:rsidP="00C95600">
      <w:pPr>
        <w:pStyle w:val="Heading2"/>
        <w:numPr>
          <w:ilvl w:val="0"/>
          <w:numId w:val="0"/>
        </w:numPr>
        <w:autoSpaceDE w:val="0"/>
        <w:autoSpaceDN w:val="0"/>
        <w:spacing w:line="276" w:lineRule="auto"/>
        <w:ind w:left="567"/>
      </w:pPr>
    </w:p>
    <w:p w14:paraId="41F790F8" w14:textId="4390B387" w:rsidR="00482211" w:rsidRPr="00490735" w:rsidRDefault="00C95600" w:rsidP="00C95600">
      <w:pPr>
        <w:pStyle w:val="Heading2"/>
        <w:autoSpaceDE w:val="0"/>
        <w:autoSpaceDN w:val="0"/>
        <w:spacing w:line="276" w:lineRule="auto"/>
      </w:pPr>
      <w:r w:rsidRPr="00490735">
        <w:t>This uncertainty</w:t>
      </w:r>
      <w:r w:rsidR="00C3511C" w:rsidRPr="00490735">
        <w:t xml:space="preserve"> open</w:t>
      </w:r>
      <w:r w:rsidR="009B7270">
        <w:t>s</w:t>
      </w:r>
      <w:r w:rsidR="00C3511C" w:rsidRPr="00490735">
        <w:t xml:space="preserve"> the way for the EU </w:t>
      </w:r>
      <w:r w:rsidR="00B61A22" w:rsidRPr="00490735">
        <w:t xml:space="preserve">and PR China </w:t>
      </w:r>
      <w:r w:rsidR="00C3511C" w:rsidRPr="00490735">
        <w:t>t</w:t>
      </w:r>
      <w:r w:rsidR="005515FC" w:rsidRPr="00490735">
        <w:t>ogether t</w:t>
      </w:r>
      <w:r w:rsidR="00C3511C" w:rsidRPr="00490735">
        <w:t xml:space="preserve">o assume global leadership in ensuring that both the SDGs and the Paris Agreement remain top priorities, building on the strong interest in these agreements shown by </w:t>
      </w:r>
      <w:r w:rsidR="009B7270">
        <w:t xml:space="preserve">most </w:t>
      </w:r>
      <w:r w:rsidR="00C3511C" w:rsidRPr="00490735">
        <w:t xml:space="preserve">other </w:t>
      </w:r>
      <w:r w:rsidR="00B61A22" w:rsidRPr="00490735">
        <w:t xml:space="preserve">major and </w:t>
      </w:r>
      <w:r w:rsidR="00C3511C" w:rsidRPr="00490735">
        <w:t xml:space="preserve">growing economies. To date </w:t>
      </w:r>
      <w:r w:rsidRPr="00490735">
        <w:t xml:space="preserve">however </w:t>
      </w:r>
      <w:r w:rsidR="00C3511C" w:rsidRPr="00490735">
        <w:t xml:space="preserve">many fast-emerging economies have </w:t>
      </w:r>
      <w:r w:rsidR="00C3511C" w:rsidRPr="00490735">
        <w:lastRenderedPageBreak/>
        <w:t xml:space="preserve">yet to make any other notable efforts to help </w:t>
      </w:r>
      <w:r w:rsidRPr="00490735">
        <w:t>those</w:t>
      </w:r>
      <w:r w:rsidR="00C3511C" w:rsidRPr="00490735">
        <w:t xml:space="preserve"> countries further behind in </w:t>
      </w:r>
      <w:r w:rsidRPr="00490735">
        <w:t xml:space="preserve">their </w:t>
      </w:r>
      <w:r w:rsidR="00C3511C" w:rsidRPr="00490735">
        <w:t>development</w:t>
      </w:r>
      <w:r w:rsidR="004E2774">
        <w:t>, without which progress will be poor</w:t>
      </w:r>
      <w:r w:rsidR="006754A4" w:rsidRPr="00490735">
        <w:t>.</w:t>
      </w:r>
      <w:r w:rsidR="00482211" w:rsidRPr="00490735">
        <w:t xml:space="preserve"> </w:t>
      </w:r>
    </w:p>
    <w:p w14:paraId="003721CC" w14:textId="77777777" w:rsidR="00482211" w:rsidRPr="00490735" w:rsidRDefault="00482211" w:rsidP="00C95600">
      <w:pPr>
        <w:spacing w:line="276" w:lineRule="auto"/>
        <w:rPr>
          <w:rFonts w:ascii="Times New Roman" w:hAnsi="Times New Roman" w:cs="Times New Roman"/>
          <w:sz w:val="22"/>
          <w:szCs w:val="22"/>
        </w:rPr>
      </w:pPr>
    </w:p>
    <w:p w14:paraId="3B8D311A" w14:textId="77777777" w:rsidR="00296B86" w:rsidRPr="00490735" w:rsidRDefault="00296B86" w:rsidP="00C95600">
      <w:pPr>
        <w:spacing w:line="276" w:lineRule="auto"/>
        <w:rPr>
          <w:rFonts w:ascii="Times New Roman" w:hAnsi="Times New Roman" w:cs="Times New Roman"/>
          <w:sz w:val="22"/>
          <w:szCs w:val="22"/>
        </w:rPr>
      </w:pPr>
    </w:p>
    <w:p w14:paraId="7D01B81B" w14:textId="570AC6FC" w:rsidR="00B30B0A" w:rsidRPr="00D9388D" w:rsidRDefault="00B30B0A" w:rsidP="00C95600">
      <w:pPr>
        <w:pStyle w:val="Heading1"/>
        <w:spacing w:line="276" w:lineRule="auto"/>
      </w:pPr>
      <w:r w:rsidRPr="00D9388D">
        <w:rPr>
          <w:b/>
        </w:rPr>
        <w:t xml:space="preserve">Sustainability and the </w:t>
      </w:r>
      <w:r w:rsidR="00C05899" w:rsidRPr="00D9388D">
        <w:rPr>
          <w:b/>
        </w:rPr>
        <w:t>‘</w:t>
      </w:r>
      <w:r w:rsidRPr="00D9388D">
        <w:rPr>
          <w:b/>
        </w:rPr>
        <w:t>circular economy</w:t>
      </w:r>
      <w:r w:rsidR="00C05899" w:rsidRPr="00D9388D">
        <w:rPr>
          <w:b/>
        </w:rPr>
        <w:t>’</w:t>
      </w:r>
      <w:r w:rsidRPr="00D9388D">
        <w:t xml:space="preserve"> </w:t>
      </w:r>
    </w:p>
    <w:p w14:paraId="54CFD8F6" w14:textId="77777777" w:rsidR="00B30B0A" w:rsidRPr="00490735" w:rsidRDefault="00B30B0A" w:rsidP="00C95600">
      <w:pPr>
        <w:spacing w:line="276" w:lineRule="auto"/>
        <w:rPr>
          <w:rFonts w:ascii="Times New Roman" w:hAnsi="Times New Roman" w:cs="Times New Roman"/>
          <w:sz w:val="22"/>
          <w:szCs w:val="22"/>
        </w:rPr>
      </w:pPr>
    </w:p>
    <w:p w14:paraId="322D18B9" w14:textId="4C5C49C5" w:rsidR="00D873A5" w:rsidRPr="00490735" w:rsidRDefault="00565A4D" w:rsidP="00C95600">
      <w:pPr>
        <w:pStyle w:val="Heading2"/>
        <w:spacing w:line="276" w:lineRule="auto"/>
      </w:pPr>
      <w:r w:rsidRPr="00490735">
        <w:t xml:space="preserve">The adoption of the SDGs and the Paris Agreement are the latest culmination </w:t>
      </w:r>
      <w:r w:rsidR="00726CE9">
        <w:t xml:space="preserve">in </w:t>
      </w:r>
      <w:r w:rsidR="00DB0023" w:rsidRPr="00490735">
        <w:t xml:space="preserve">and manifestation </w:t>
      </w:r>
      <w:r w:rsidRPr="00490735">
        <w:t>of</w:t>
      </w:r>
      <w:r w:rsidR="00DB0023" w:rsidRPr="00490735">
        <w:t xml:space="preserve"> the</w:t>
      </w:r>
      <w:r w:rsidRPr="00490735">
        <w:t xml:space="preserve"> growing global awareness </w:t>
      </w:r>
      <w:r w:rsidR="00DB0023" w:rsidRPr="00490735">
        <w:t xml:space="preserve">– gradually built </w:t>
      </w:r>
      <w:r w:rsidRPr="00490735">
        <w:t>over many decades</w:t>
      </w:r>
      <w:r w:rsidR="00DB0023" w:rsidRPr="00490735">
        <w:t xml:space="preserve"> - </w:t>
      </w:r>
      <w:r w:rsidR="00AA786A">
        <w:t>of</w:t>
      </w:r>
      <w:r w:rsidRPr="00490735">
        <w:t xml:space="preserve"> the need for greater sustainability, that the world’s resources are finite and that waste needs to be minimised. </w:t>
      </w:r>
    </w:p>
    <w:p w14:paraId="17677567" w14:textId="77777777" w:rsidR="00D873A5" w:rsidRPr="00490735" w:rsidRDefault="00D873A5" w:rsidP="00D873A5">
      <w:pPr>
        <w:pStyle w:val="Heading2"/>
        <w:numPr>
          <w:ilvl w:val="0"/>
          <w:numId w:val="0"/>
        </w:numPr>
        <w:spacing w:line="276" w:lineRule="auto"/>
        <w:ind w:left="567"/>
      </w:pPr>
    </w:p>
    <w:p w14:paraId="7CD08E72" w14:textId="3259DCF1" w:rsidR="00565A4D" w:rsidRPr="00490735" w:rsidRDefault="00565A4D" w:rsidP="00C95600">
      <w:pPr>
        <w:pStyle w:val="Heading3"/>
        <w:spacing w:line="276" w:lineRule="auto"/>
      </w:pPr>
      <w:r w:rsidRPr="00490735">
        <w:t xml:space="preserve">In the 1960s, the publication in the US of Rachel Carson’s “The Silent Spring” drew attention to the devastating effect </w:t>
      </w:r>
      <w:r w:rsidR="00D873A5" w:rsidRPr="00490735">
        <w:t xml:space="preserve">that </w:t>
      </w:r>
      <w:r w:rsidRPr="00490735">
        <w:t>the use of certain pesticides w</w:t>
      </w:r>
      <w:r w:rsidR="00D873A5" w:rsidRPr="00490735">
        <w:t>as</w:t>
      </w:r>
      <w:r w:rsidRPr="00490735">
        <w:t xml:space="preserve"> having on the environment, despite the beneficial effects these may have had in tackling disease</w:t>
      </w:r>
      <w:r w:rsidR="00D873A5" w:rsidRPr="00490735">
        <w:t xml:space="preserve"> and other problems</w:t>
      </w:r>
      <w:r w:rsidRPr="00490735">
        <w:t xml:space="preserve">. Heavily polluted rivers </w:t>
      </w:r>
      <w:r w:rsidR="00522466">
        <w:t xml:space="preserve">and the effects of acid rain </w:t>
      </w:r>
      <w:r w:rsidRPr="00490735">
        <w:t xml:space="preserve">in both the developed and developing world further drew attention to widespread </w:t>
      </w:r>
      <w:r w:rsidR="00D873A5" w:rsidRPr="00490735">
        <w:t xml:space="preserve">global </w:t>
      </w:r>
      <w:r w:rsidRPr="00490735">
        <w:t>environmental degradation, a</w:t>
      </w:r>
      <w:r w:rsidR="00D873A5" w:rsidRPr="00490735">
        <w:t>s did</w:t>
      </w:r>
      <w:r w:rsidRPr="00490735">
        <w:t xml:space="preserve"> the huge </w:t>
      </w:r>
      <w:r w:rsidR="00D873A5" w:rsidRPr="00490735">
        <w:t xml:space="preserve">and exponentially increasing </w:t>
      </w:r>
      <w:r w:rsidRPr="00490735">
        <w:t>amount of waste</w:t>
      </w:r>
      <w:r w:rsidR="00D873A5" w:rsidRPr="00490735">
        <w:t>,</w:t>
      </w:r>
      <w:r w:rsidRPr="00490735">
        <w:t xml:space="preserve"> </w:t>
      </w:r>
      <w:r w:rsidR="00D873A5" w:rsidRPr="00490735">
        <w:t>both organic and inorganic</w:t>
      </w:r>
      <w:r w:rsidR="00726CE9">
        <w:t>,</w:t>
      </w:r>
      <w:r w:rsidR="00D873A5" w:rsidRPr="00490735">
        <w:t xml:space="preserve"> including plastics, </w:t>
      </w:r>
      <w:r w:rsidRPr="00490735">
        <w:t>generated by an in</w:t>
      </w:r>
      <w:r w:rsidR="00D873A5" w:rsidRPr="00490735">
        <w:t>creasingly “throw-away” society</w:t>
      </w:r>
      <w:r w:rsidRPr="00490735">
        <w:t xml:space="preserve">. </w:t>
      </w:r>
      <w:r w:rsidR="00D873A5" w:rsidRPr="00490735">
        <w:t>Worsening p</w:t>
      </w:r>
      <w:r w:rsidR="009D0914" w:rsidRPr="00490735">
        <w:t xml:space="preserve">ollution through the uninhibited use and burning of fossil fuels </w:t>
      </w:r>
      <w:r w:rsidR="00D873A5" w:rsidRPr="00490735">
        <w:t>also became a major cause for</w:t>
      </w:r>
      <w:r w:rsidR="00726CE9">
        <w:t xml:space="preserve"> worldwide</w:t>
      </w:r>
      <w:r w:rsidR="00D873A5" w:rsidRPr="00490735">
        <w:t xml:space="preserve"> concern.</w:t>
      </w:r>
    </w:p>
    <w:p w14:paraId="6D3D217F" w14:textId="77777777" w:rsidR="00D873A5" w:rsidRPr="00490735" w:rsidRDefault="00D873A5" w:rsidP="00D873A5">
      <w:pPr>
        <w:rPr>
          <w:rFonts w:ascii="Times New Roman" w:hAnsi="Times New Roman" w:cs="Times New Roman"/>
          <w:sz w:val="22"/>
          <w:szCs w:val="22"/>
        </w:rPr>
      </w:pPr>
    </w:p>
    <w:p w14:paraId="37B1AA31" w14:textId="5BC2DE58" w:rsidR="00F86A2E" w:rsidRPr="00F86A2E" w:rsidRDefault="00565A4D" w:rsidP="00C95600">
      <w:pPr>
        <w:pStyle w:val="Heading3"/>
        <w:spacing w:line="276" w:lineRule="auto"/>
        <w:rPr>
          <w:b/>
          <w:u w:val="single"/>
        </w:rPr>
      </w:pPr>
      <w:r w:rsidRPr="00490735">
        <w:t>The two oil crises of the 1970s highlighted the fact that the world’s reserves of oil and other fossil fuels are finite</w:t>
      </w:r>
      <w:r w:rsidR="00D873A5" w:rsidRPr="00490735">
        <w:t>, whilst</w:t>
      </w:r>
      <w:r w:rsidRPr="00490735">
        <w:t xml:space="preserve"> </w:t>
      </w:r>
      <w:r w:rsidR="00D873A5" w:rsidRPr="00490735">
        <w:t xml:space="preserve">in the 1980s </w:t>
      </w:r>
      <w:r w:rsidRPr="00490735">
        <w:t xml:space="preserve">gaps </w:t>
      </w:r>
      <w:r w:rsidR="00522466">
        <w:t xml:space="preserve">identified </w:t>
      </w:r>
      <w:r w:rsidRPr="00490735">
        <w:t>in th</w:t>
      </w:r>
      <w:r w:rsidR="00522466">
        <w:t>e world’s ozone layer</w:t>
      </w:r>
      <w:r w:rsidRPr="00490735">
        <w:t xml:space="preserve"> help</w:t>
      </w:r>
      <w:r w:rsidR="00522466">
        <w:t>ed</w:t>
      </w:r>
      <w:r w:rsidRPr="00490735">
        <w:t xml:space="preserve"> draw attention to increas</w:t>
      </w:r>
      <w:r w:rsidR="008129F2" w:rsidRPr="00490735">
        <w:t xml:space="preserve">ing </w:t>
      </w:r>
      <w:r w:rsidRPr="00490735">
        <w:t>atmospheric p</w:t>
      </w:r>
      <w:r w:rsidR="002B6615">
        <w:t>roblems</w:t>
      </w:r>
      <w:r w:rsidRPr="00490735">
        <w:t xml:space="preserve">. In Europe </w:t>
      </w:r>
      <w:r w:rsidR="00D873A5" w:rsidRPr="00490735">
        <w:t>important</w:t>
      </w:r>
      <w:r w:rsidRPr="00490735">
        <w:t xml:space="preserve"> moves were made towards </w:t>
      </w:r>
      <w:r w:rsidR="008129F2" w:rsidRPr="00490735">
        <w:t xml:space="preserve">conservation, </w:t>
      </w:r>
      <w:r w:rsidRPr="00490735">
        <w:t>recycling and reuse, and in 1989 the European chemicals industry launched its Responsible Care programme as manufacturing industry began to accept its share of responsibility</w:t>
      </w:r>
      <w:r w:rsidR="008129F2" w:rsidRPr="00490735">
        <w:t xml:space="preserve"> for enhanced sustainability</w:t>
      </w:r>
      <w:r w:rsidRPr="00490735">
        <w:t xml:space="preserve">. </w:t>
      </w:r>
    </w:p>
    <w:p w14:paraId="2CC4609D" w14:textId="77777777" w:rsidR="00F86A2E" w:rsidRPr="00F86A2E" w:rsidRDefault="00F86A2E" w:rsidP="00F86A2E">
      <w:pPr>
        <w:pStyle w:val="Heading3"/>
        <w:numPr>
          <w:ilvl w:val="0"/>
          <w:numId w:val="0"/>
        </w:numPr>
        <w:spacing w:line="276" w:lineRule="auto"/>
        <w:ind w:left="567"/>
        <w:rPr>
          <w:b/>
          <w:u w:val="single"/>
        </w:rPr>
      </w:pPr>
    </w:p>
    <w:p w14:paraId="3095644E" w14:textId="50A1371E" w:rsidR="008129F2" w:rsidRPr="00490735" w:rsidRDefault="00565A4D" w:rsidP="00C95600">
      <w:pPr>
        <w:pStyle w:val="Heading3"/>
        <w:spacing w:line="276" w:lineRule="auto"/>
        <w:rPr>
          <w:b/>
          <w:u w:val="single"/>
        </w:rPr>
      </w:pPr>
      <w:r w:rsidRPr="00490735">
        <w:t xml:space="preserve">The 1989 European Parliamentary elections in turn showed a big </w:t>
      </w:r>
      <w:r w:rsidR="00AA786A">
        <w:t>increase</w:t>
      </w:r>
      <w:r w:rsidRPr="00490735">
        <w:t xml:space="preserve"> in the number of Green votes, as </w:t>
      </w:r>
      <w:r w:rsidR="008129F2" w:rsidRPr="00490735">
        <w:t xml:space="preserve">deep </w:t>
      </w:r>
      <w:r w:rsidRPr="00490735">
        <w:t>environmental concern spread throughout communities.</w:t>
      </w:r>
      <w:r w:rsidR="008129F2" w:rsidRPr="00490735">
        <w:t xml:space="preserve"> </w:t>
      </w:r>
      <w:r w:rsidR="00D873A5" w:rsidRPr="00490735">
        <w:t>T</w:t>
      </w:r>
      <w:r w:rsidR="008129F2" w:rsidRPr="00490735">
        <w:t>he</w:t>
      </w:r>
      <w:r w:rsidR="00726CE9">
        <w:t xml:space="preserve"> co</w:t>
      </w:r>
      <w:r w:rsidR="008129F2" w:rsidRPr="00490735">
        <w:t>re threat of fundamental climate change</w:t>
      </w:r>
      <w:r w:rsidR="00AA786A">
        <w:t xml:space="preserve"> itself</w:t>
      </w:r>
      <w:r w:rsidR="008129F2" w:rsidRPr="00490735">
        <w:t xml:space="preserve"> began to </w:t>
      </w:r>
      <w:r w:rsidR="00522466">
        <w:t>emerge</w:t>
      </w:r>
      <w:r w:rsidR="008129F2" w:rsidRPr="00490735">
        <w:t xml:space="preserve"> by the turn of the century. </w:t>
      </w:r>
    </w:p>
    <w:p w14:paraId="202F5D56" w14:textId="77777777" w:rsidR="008129F2" w:rsidRPr="00490735" w:rsidRDefault="008129F2" w:rsidP="00C95600">
      <w:pPr>
        <w:pStyle w:val="Heading3"/>
        <w:numPr>
          <w:ilvl w:val="0"/>
          <w:numId w:val="0"/>
        </w:numPr>
        <w:spacing w:line="276" w:lineRule="auto"/>
        <w:ind w:left="567"/>
        <w:rPr>
          <w:b/>
          <w:u w:val="single"/>
        </w:rPr>
      </w:pPr>
    </w:p>
    <w:p w14:paraId="795747FB" w14:textId="0A4B03CB" w:rsidR="0086180A" w:rsidRPr="00490735" w:rsidRDefault="00F86A2E" w:rsidP="00C95600">
      <w:pPr>
        <w:pStyle w:val="Heading2"/>
        <w:spacing w:line="276" w:lineRule="auto"/>
        <w:rPr>
          <w:b/>
          <w:u w:val="single"/>
        </w:rPr>
      </w:pPr>
      <w:r>
        <w:t>All t</w:t>
      </w:r>
      <w:r w:rsidR="00D873A5" w:rsidRPr="00490735">
        <w:t>his</w:t>
      </w:r>
      <w:r w:rsidR="00726CE9">
        <w:t xml:space="preserve"> has</w:t>
      </w:r>
      <w:r w:rsidR="00D873A5" w:rsidRPr="00490735">
        <w:t xml:space="preserve"> le</w:t>
      </w:r>
      <w:r w:rsidR="008129F2" w:rsidRPr="00490735">
        <w:t xml:space="preserve">d to the growth of the concept of a circular economy, both in Europe and in China, as previously discussed by the Round Table. </w:t>
      </w:r>
      <w:r>
        <w:t xml:space="preserve">A </w:t>
      </w:r>
      <w:r w:rsidR="00726CE9">
        <w:t>'</w:t>
      </w:r>
      <w:r>
        <w:t>circular economy</w:t>
      </w:r>
      <w:r w:rsidR="00726CE9">
        <w:t>'</w:t>
      </w:r>
      <w:r w:rsidR="008129F2" w:rsidRPr="00490735">
        <w:t xml:space="preserve"> has been described as </w:t>
      </w:r>
      <w:r w:rsidR="008129F2" w:rsidRPr="00490735">
        <w:rPr>
          <w:color w:val="222222"/>
        </w:rPr>
        <w:t xml:space="preserve">an economic system aimed at minimising waste and making the most of resources. As opposed </w:t>
      </w:r>
      <w:r w:rsidR="00C05899" w:rsidRPr="00490735">
        <w:rPr>
          <w:color w:val="222222"/>
        </w:rPr>
        <w:t>to the traditional approach of a ‘take, make and dispose’ model of production, the aim of a circular economy is to min</w:t>
      </w:r>
      <w:r w:rsidR="00726CE9">
        <w:rPr>
          <w:color w:val="222222"/>
        </w:rPr>
        <w:t xml:space="preserve">imise </w:t>
      </w:r>
      <w:r w:rsidR="002B6615">
        <w:rPr>
          <w:color w:val="222222"/>
        </w:rPr>
        <w:t xml:space="preserve">both </w:t>
      </w:r>
      <w:r w:rsidR="00726CE9">
        <w:rPr>
          <w:color w:val="222222"/>
        </w:rPr>
        <w:t xml:space="preserve">resource input and waste </w:t>
      </w:r>
      <w:r w:rsidR="00AA786A">
        <w:rPr>
          <w:color w:val="222222"/>
        </w:rPr>
        <w:t>a</w:t>
      </w:r>
      <w:r w:rsidR="002B6615">
        <w:rPr>
          <w:color w:val="222222"/>
        </w:rPr>
        <w:t>nd</w:t>
      </w:r>
      <w:r w:rsidR="00D873A5" w:rsidRPr="00490735">
        <w:rPr>
          <w:color w:val="222222"/>
        </w:rPr>
        <w:t xml:space="preserve"> </w:t>
      </w:r>
      <w:r w:rsidR="00C05899" w:rsidRPr="00490735">
        <w:rPr>
          <w:color w:val="222222"/>
        </w:rPr>
        <w:t>emission</w:t>
      </w:r>
      <w:r w:rsidR="00AA786A">
        <w:rPr>
          <w:color w:val="222222"/>
        </w:rPr>
        <w:t>s</w:t>
      </w:r>
      <w:r w:rsidR="00C05899" w:rsidRPr="00490735">
        <w:rPr>
          <w:color w:val="222222"/>
        </w:rPr>
        <w:t xml:space="preserve"> and energy leakage. This can be achieved through a regenerative approach based on long lasting design, maintenance, repair, reuse, re-manufacturing, refurbishing and recycling.</w:t>
      </w:r>
      <w:r w:rsidR="0086180A" w:rsidRPr="00490735">
        <w:rPr>
          <w:color w:val="222222"/>
        </w:rPr>
        <w:t xml:space="preserve"> </w:t>
      </w:r>
    </w:p>
    <w:p w14:paraId="2F148066" w14:textId="77777777" w:rsidR="0086180A" w:rsidRPr="00490735" w:rsidRDefault="0086180A" w:rsidP="00C95600">
      <w:pPr>
        <w:pStyle w:val="Heading2"/>
        <w:numPr>
          <w:ilvl w:val="0"/>
          <w:numId w:val="0"/>
        </w:numPr>
        <w:spacing w:line="276" w:lineRule="auto"/>
        <w:ind w:left="567"/>
        <w:rPr>
          <w:b/>
          <w:u w:val="single"/>
        </w:rPr>
      </w:pPr>
    </w:p>
    <w:p w14:paraId="3BED32D5" w14:textId="3B3E132F" w:rsidR="0086180A" w:rsidRPr="00490735" w:rsidRDefault="00802B1E" w:rsidP="00C95600">
      <w:pPr>
        <w:pStyle w:val="Heading3"/>
        <w:spacing w:line="276" w:lineRule="auto"/>
      </w:pPr>
      <w:r w:rsidRPr="00490735">
        <w:t>M</w:t>
      </w:r>
      <w:r w:rsidR="0086180A" w:rsidRPr="00490735">
        <w:t>any assert that a sustainable world does not mean a drop in the quality of life for consumers, and can be achieved without loss of revenue or extra costs: it is stated that circular business models can be as profitable as linear models, and that consumers can continue to enjoy similar products and services.</w:t>
      </w:r>
    </w:p>
    <w:p w14:paraId="23E0F825" w14:textId="77777777" w:rsidR="0086180A" w:rsidRPr="00490735" w:rsidRDefault="0086180A" w:rsidP="00C95600">
      <w:pPr>
        <w:spacing w:line="276" w:lineRule="auto"/>
        <w:rPr>
          <w:rFonts w:ascii="Times New Roman" w:hAnsi="Times New Roman" w:cs="Times New Roman"/>
          <w:sz w:val="22"/>
          <w:szCs w:val="22"/>
        </w:rPr>
      </w:pPr>
    </w:p>
    <w:p w14:paraId="2E45464C" w14:textId="5F938FC5" w:rsidR="001F26B2" w:rsidRDefault="00F86A2E" w:rsidP="00AA786A">
      <w:pPr>
        <w:pStyle w:val="Heading2"/>
      </w:pPr>
      <w:r>
        <w:lastRenderedPageBreak/>
        <w:t>T</w:t>
      </w:r>
      <w:r w:rsidR="00393909" w:rsidRPr="001F26B2">
        <w:t>he E</w:t>
      </w:r>
      <w:r w:rsidR="00802B1E" w:rsidRPr="001F26B2">
        <w:t xml:space="preserve">uropean </w:t>
      </w:r>
      <w:r w:rsidR="00393909" w:rsidRPr="001F26B2">
        <w:t>E</w:t>
      </w:r>
      <w:r w:rsidR="00802B1E" w:rsidRPr="001F26B2">
        <w:t xml:space="preserve">conomic and </w:t>
      </w:r>
      <w:r w:rsidR="00393909" w:rsidRPr="001F26B2">
        <w:t>S</w:t>
      </w:r>
      <w:r w:rsidR="00802B1E" w:rsidRPr="001F26B2">
        <w:t xml:space="preserve">ocial </w:t>
      </w:r>
      <w:r w:rsidR="00393909" w:rsidRPr="001F26B2">
        <w:t>C</w:t>
      </w:r>
      <w:r w:rsidR="00802B1E" w:rsidRPr="001F26B2">
        <w:t>ommittee (EESC)</w:t>
      </w:r>
      <w:r w:rsidR="00393909" w:rsidRPr="001F26B2">
        <w:t xml:space="preserve"> has </w:t>
      </w:r>
      <w:r w:rsidR="00726CE9">
        <w:t>highlighted</w:t>
      </w:r>
      <w:r w:rsidR="00393909" w:rsidRPr="001F26B2">
        <w:t xml:space="preserve"> its </w:t>
      </w:r>
      <w:r w:rsidR="00942273">
        <w:t>support for</w:t>
      </w:r>
      <w:r w:rsidR="00393909" w:rsidRPr="001F26B2">
        <w:t xml:space="preserve"> </w:t>
      </w:r>
      <w:r w:rsidR="0086180A" w:rsidRPr="001F26B2">
        <w:t>a</w:t>
      </w:r>
      <w:r w:rsidR="00802B1E" w:rsidRPr="001F26B2">
        <w:t xml:space="preserve"> circular e</w:t>
      </w:r>
      <w:r w:rsidR="00393909" w:rsidRPr="001F26B2">
        <w:t>conomy</w:t>
      </w:r>
      <w:r w:rsidR="00C753FA">
        <w:t>,</w:t>
      </w:r>
      <w:r w:rsidR="00726CE9">
        <w:t xml:space="preserve"> </w:t>
      </w:r>
      <w:r w:rsidR="00B51E15">
        <w:t xml:space="preserve">especially </w:t>
      </w:r>
      <w:r w:rsidR="003B1B67">
        <w:t>f</w:t>
      </w:r>
      <w:r w:rsidR="003B1B67" w:rsidRPr="001F26B2">
        <w:t xml:space="preserve">ollowing </w:t>
      </w:r>
      <w:r w:rsidR="00E70565">
        <w:t xml:space="preserve">the </w:t>
      </w:r>
      <w:r w:rsidR="00B51E15">
        <w:t>empowerment by</w:t>
      </w:r>
      <w:r w:rsidR="00E70565">
        <w:t xml:space="preserve"> COP22 in Marrakech in 2016 </w:t>
      </w:r>
      <w:r w:rsidR="00C753FA">
        <w:t>of</w:t>
      </w:r>
      <w:r w:rsidR="00B51E15">
        <w:t xml:space="preserve"> the i</w:t>
      </w:r>
      <w:r w:rsidR="00E70565">
        <w:t>nclu</w:t>
      </w:r>
      <w:r w:rsidR="00B51E15">
        <w:t xml:space="preserve">sion and involvement of </w:t>
      </w:r>
      <w:r w:rsidR="00E70565">
        <w:t xml:space="preserve">‘non-state actors’, and following </w:t>
      </w:r>
      <w:r w:rsidR="003B1B67" w:rsidRPr="001F26B2">
        <w:t>the adoption by the European Commission (EC) of the EU Action Plan on the Circular Economy</w:t>
      </w:r>
      <w:r w:rsidR="00E70565">
        <w:t xml:space="preserve">. </w:t>
      </w:r>
      <w:r w:rsidR="00B51E15">
        <w:t xml:space="preserve">The EESC </w:t>
      </w:r>
      <w:r w:rsidR="007B3F92">
        <w:t xml:space="preserve">has </w:t>
      </w:r>
      <w:r w:rsidR="003B1B67">
        <w:t>urg</w:t>
      </w:r>
      <w:r w:rsidR="007B3F92">
        <w:t>ed</w:t>
      </w:r>
      <w:r w:rsidR="001F26B2">
        <w:t xml:space="preserve"> </w:t>
      </w:r>
      <w:r w:rsidR="00726CE9">
        <w:t>full</w:t>
      </w:r>
      <w:r w:rsidR="001F26B2" w:rsidRPr="00490735">
        <w:t xml:space="preserve"> engagement </w:t>
      </w:r>
      <w:r w:rsidR="001F26B2">
        <w:t>by</w:t>
      </w:r>
      <w:r w:rsidR="001F26B2" w:rsidRPr="00490735">
        <w:t xml:space="preserve"> civil society to</w:t>
      </w:r>
      <w:r w:rsidR="001F26B2">
        <w:t xml:space="preserve"> help</w:t>
      </w:r>
      <w:r w:rsidR="001F26B2" w:rsidRPr="00490735">
        <w:t xml:space="preserve"> ensure </w:t>
      </w:r>
      <w:r w:rsidR="001F26B2">
        <w:t xml:space="preserve">that </w:t>
      </w:r>
      <w:r w:rsidR="001F26B2" w:rsidRPr="00490735">
        <w:t xml:space="preserve">any transition is effective, equitable and just. </w:t>
      </w:r>
    </w:p>
    <w:p w14:paraId="6109E970" w14:textId="47AA402F" w:rsidR="00F86A2E" w:rsidRPr="001F26B2" w:rsidRDefault="00F86A2E" w:rsidP="003B1B67">
      <w:pPr>
        <w:pStyle w:val="Heading3"/>
        <w:numPr>
          <w:ilvl w:val="0"/>
          <w:numId w:val="0"/>
        </w:numPr>
        <w:spacing w:line="276" w:lineRule="auto"/>
        <w:ind w:left="567"/>
      </w:pPr>
    </w:p>
    <w:p w14:paraId="43987EAA" w14:textId="3AFF5780" w:rsidR="003B1B67" w:rsidRPr="00942273" w:rsidRDefault="00F86A2E" w:rsidP="003B1B67">
      <w:pPr>
        <w:pStyle w:val="Heading3"/>
        <w:spacing w:line="276" w:lineRule="auto"/>
      </w:pPr>
      <w:r w:rsidRPr="00F86A2E">
        <w:t>Circular Economy roadmaps and strategies</w:t>
      </w:r>
      <w:r w:rsidR="00726CE9">
        <w:t>, developed</w:t>
      </w:r>
      <w:r w:rsidRPr="00F86A2E">
        <w:t xml:space="preserve"> </w:t>
      </w:r>
      <w:r w:rsidR="00726CE9" w:rsidRPr="00522466">
        <w:t>at all governance levels (national, regional, local)</w:t>
      </w:r>
      <w:r w:rsidR="00726CE9">
        <w:t xml:space="preserve">, </w:t>
      </w:r>
      <w:r w:rsidRPr="00F86A2E">
        <w:t xml:space="preserve">help to outline and define what </w:t>
      </w:r>
      <w:r w:rsidR="00726CE9">
        <w:t>that</w:t>
      </w:r>
      <w:r w:rsidRPr="00F86A2E">
        <w:t xml:space="preserve"> country, region or city wishes to achieve, and the steps needed to get there. The EESC, which is preparing a new Opinion on the subject, commissioned a study</w:t>
      </w:r>
      <w:r w:rsidRPr="00490735">
        <w:rPr>
          <w:rStyle w:val="FootnoteReference"/>
          <w:sz w:val="22"/>
        </w:rPr>
        <w:footnoteReference w:id="2"/>
      </w:r>
      <w:r w:rsidRPr="00F86A2E">
        <w:t xml:space="preserve"> (published in May 2019) to conduct a review of such </w:t>
      </w:r>
      <w:r w:rsidR="00C753FA">
        <w:t xml:space="preserve">European </w:t>
      </w:r>
      <w:r w:rsidRPr="00F86A2E">
        <w:t>roadmaps and strategies, in order to identif</w:t>
      </w:r>
      <w:r w:rsidR="00E70565">
        <w:t>y common threads</w:t>
      </w:r>
      <w:r w:rsidRPr="00F86A2E">
        <w:t xml:space="preserve">, as well as point to the synergies and the potential for </w:t>
      </w:r>
      <w:r w:rsidR="00942273">
        <w:t xml:space="preserve">greater </w:t>
      </w:r>
      <w:r w:rsidRPr="00F86A2E">
        <w:t>cooperation and alliance building.</w:t>
      </w:r>
    </w:p>
    <w:p w14:paraId="30F3882E" w14:textId="77777777" w:rsidR="00F86A2E" w:rsidRPr="00F86A2E" w:rsidRDefault="00F86A2E" w:rsidP="00F86A2E">
      <w:pPr>
        <w:rPr>
          <w:lang w:val="en-GB"/>
        </w:rPr>
      </w:pPr>
    </w:p>
    <w:p w14:paraId="204F47CE" w14:textId="6CD31609" w:rsidR="0086180A" w:rsidRPr="00490735" w:rsidRDefault="00E70565" w:rsidP="00F86A2E">
      <w:pPr>
        <w:pStyle w:val="Heading3"/>
        <w:spacing w:line="276" w:lineRule="auto"/>
      </w:pPr>
      <w:r>
        <w:t>T</w:t>
      </w:r>
      <w:r w:rsidR="00522466" w:rsidRPr="00522466">
        <w:t>he EESC</w:t>
      </w:r>
      <w:r w:rsidR="00522466">
        <w:t xml:space="preserve"> and</w:t>
      </w:r>
      <w:r w:rsidR="00522466" w:rsidRPr="00522466">
        <w:t xml:space="preserve"> the EC</w:t>
      </w:r>
      <w:r w:rsidR="00942273">
        <w:t xml:space="preserve"> have</w:t>
      </w:r>
      <w:r w:rsidR="00C753FA">
        <w:t xml:space="preserve"> also</w:t>
      </w:r>
      <w:r w:rsidR="00566F96">
        <w:t>,</w:t>
      </w:r>
      <w:r w:rsidR="00522466" w:rsidRPr="00522466">
        <w:t xml:space="preserve"> </w:t>
      </w:r>
      <w:r w:rsidR="00F86A2E" w:rsidRPr="00522466">
        <w:t>as a joint initiative</w:t>
      </w:r>
      <w:r w:rsidR="00566F96">
        <w:t>, launched</w:t>
      </w:r>
      <w:r w:rsidR="00F86A2E" w:rsidRPr="00522466">
        <w:t xml:space="preserve"> </w:t>
      </w:r>
      <w:r w:rsidR="00522466" w:rsidRPr="00522466">
        <w:t>the European Circular Economy Stakeholder Platform (ECESP). This provide</w:t>
      </w:r>
      <w:r w:rsidR="00522466">
        <w:t>s</w:t>
      </w:r>
      <w:r w:rsidR="00AA1062">
        <w:t xml:space="preserve"> a focal point for circular e</w:t>
      </w:r>
      <w:r w:rsidR="00522466" w:rsidRPr="00522466">
        <w:t>conomy roadmaps and strategies, enabling the sharing of experience and knowledge</w:t>
      </w:r>
      <w:r w:rsidR="00942273">
        <w:t>,</w:t>
      </w:r>
      <w:r w:rsidR="00F86A2E">
        <w:t xml:space="preserve"> and sets out to produce</w:t>
      </w:r>
      <w:r w:rsidR="00522466" w:rsidRPr="00490735">
        <w:t xml:space="preserve"> both an adaptable model strategy as well as encouragement for including a broad range of civil society actors as stakeholders in any transition. </w:t>
      </w:r>
      <w:r w:rsidR="00AA1062">
        <w:t>It</w:t>
      </w:r>
      <w:r w:rsidR="00522466" w:rsidRPr="00490735">
        <w:t xml:space="preserve"> </w:t>
      </w:r>
      <w:r>
        <w:t>aims to</w:t>
      </w:r>
      <w:r w:rsidR="00522466" w:rsidRPr="00490735">
        <w:t xml:space="preserve"> </w:t>
      </w:r>
      <w:r w:rsidR="00942273">
        <w:t xml:space="preserve">include every </w:t>
      </w:r>
      <w:r w:rsidR="00522466" w:rsidRPr="00490735">
        <w:t>stage of strategy and roadmap development – from design and conception, to implementation and monitoring progress.</w:t>
      </w:r>
    </w:p>
    <w:p w14:paraId="1663B99C" w14:textId="11A3B088" w:rsidR="006B660B" w:rsidRPr="00490735" w:rsidRDefault="006B660B" w:rsidP="00C95600">
      <w:pPr>
        <w:spacing w:line="276" w:lineRule="auto"/>
        <w:rPr>
          <w:rFonts w:ascii="Times New Roman" w:hAnsi="Times New Roman" w:cs="Times New Roman"/>
          <w:sz w:val="22"/>
          <w:szCs w:val="22"/>
        </w:rPr>
      </w:pPr>
    </w:p>
    <w:p w14:paraId="530C4C94" w14:textId="19E2AB66" w:rsidR="008C2513" w:rsidRDefault="0080228F" w:rsidP="00C95600">
      <w:pPr>
        <w:pStyle w:val="Heading2"/>
        <w:spacing w:line="276" w:lineRule="auto"/>
      </w:pPr>
      <w:r w:rsidRPr="00490735">
        <w:t>Most of t</w:t>
      </w:r>
      <w:r w:rsidR="006B660B" w:rsidRPr="00490735">
        <w:t xml:space="preserve">hese </w:t>
      </w:r>
      <w:r w:rsidRPr="00490735">
        <w:t xml:space="preserve">European roadmaps and strategies </w:t>
      </w:r>
      <w:r w:rsidR="006B660B" w:rsidRPr="00490735">
        <w:t xml:space="preserve">are </w:t>
      </w:r>
      <w:r w:rsidRPr="00490735">
        <w:t>c</w:t>
      </w:r>
      <w:r w:rsidR="006B660B" w:rsidRPr="00490735">
        <w:t>omprehensive</w:t>
      </w:r>
      <w:r w:rsidRPr="00490735">
        <w:t>,</w:t>
      </w:r>
      <w:r w:rsidR="006B660B" w:rsidRPr="00490735">
        <w:t xml:space="preserve"> </w:t>
      </w:r>
      <w:r w:rsidRPr="00490735">
        <w:t>a</w:t>
      </w:r>
      <w:r w:rsidR="006B660B" w:rsidRPr="00490735">
        <w:t>ddress</w:t>
      </w:r>
      <w:r w:rsidRPr="00490735">
        <w:t>ing</w:t>
      </w:r>
      <w:r w:rsidR="006B660B" w:rsidRPr="00490735">
        <w:t xml:space="preserve"> the transition from a linear to a circular model on value chain stages such as production, consumption, waste management, secondary raw materials, innovation and investment.</w:t>
      </w:r>
      <w:r w:rsidRPr="00490735">
        <w:t xml:space="preserve"> </w:t>
      </w:r>
    </w:p>
    <w:p w14:paraId="27D63588" w14:textId="77777777" w:rsidR="008C2513" w:rsidRPr="008C2513" w:rsidRDefault="008C2513" w:rsidP="008C2513">
      <w:pPr>
        <w:rPr>
          <w:lang w:val="en-GB"/>
        </w:rPr>
      </w:pPr>
    </w:p>
    <w:p w14:paraId="6E4D1F2F" w14:textId="79455083" w:rsidR="00E70565" w:rsidRDefault="00E70565" w:rsidP="00E70565">
      <w:pPr>
        <w:pStyle w:val="Heading3"/>
      </w:pPr>
      <w:r>
        <w:t>Activities are often specifically refer</w:t>
      </w:r>
      <w:r w:rsidR="00AA1062">
        <w:t>enced</w:t>
      </w:r>
      <w:r>
        <w:t xml:space="preserve"> as</w:t>
      </w:r>
      <w:r w:rsidR="006B660B" w:rsidRPr="00490735">
        <w:t xml:space="preserve"> designed to meet the Paris Agreement o</w:t>
      </w:r>
      <w:r w:rsidR="0080228F" w:rsidRPr="00490735">
        <w:t xml:space="preserve">r to </w:t>
      </w:r>
      <w:r w:rsidR="00566F96">
        <w:t>help realise</w:t>
      </w:r>
      <w:r w:rsidR="0080228F" w:rsidRPr="00490735">
        <w:t xml:space="preserve"> the SDGs</w:t>
      </w:r>
      <w:r w:rsidR="006B660B" w:rsidRPr="00490735">
        <w:t xml:space="preserve">, as well as </w:t>
      </w:r>
      <w:r>
        <w:t xml:space="preserve">to </w:t>
      </w:r>
      <w:r w:rsidR="006B660B" w:rsidRPr="00490735">
        <w:t>address global challenges such as resource scarcity and the limitations of current economic model</w:t>
      </w:r>
      <w:r w:rsidR="00942273">
        <w:t>s</w:t>
      </w:r>
      <w:r w:rsidR="006B660B" w:rsidRPr="00490735">
        <w:t xml:space="preserve"> for the sustainable management of resources within</w:t>
      </w:r>
      <w:r w:rsidR="00802B1E" w:rsidRPr="00490735">
        <w:t xml:space="preserve"> acceptable </w:t>
      </w:r>
      <w:r w:rsidR="006B660B" w:rsidRPr="00490735">
        <w:t>environmental and social boundaries.</w:t>
      </w:r>
      <w:r w:rsidR="0080228F" w:rsidRPr="00490735">
        <w:t xml:space="preserve"> </w:t>
      </w:r>
    </w:p>
    <w:p w14:paraId="1289788C" w14:textId="77777777" w:rsidR="00E70565" w:rsidRPr="00E70565" w:rsidRDefault="00E70565" w:rsidP="00E70565"/>
    <w:p w14:paraId="3BD92AB3" w14:textId="24235529" w:rsidR="0080228F" w:rsidRDefault="00B51E15" w:rsidP="00C95600">
      <w:pPr>
        <w:pStyle w:val="Heading3"/>
        <w:spacing w:line="276" w:lineRule="auto"/>
      </w:pPr>
      <w:r>
        <w:t>T</w:t>
      </w:r>
      <w:r w:rsidR="008C2513">
        <w:t>he SDGs and the Paris Agreement</w:t>
      </w:r>
      <w:r w:rsidR="00E70565">
        <w:t xml:space="preserve"> </w:t>
      </w:r>
      <w:r>
        <w:t>appear to be</w:t>
      </w:r>
      <w:r w:rsidR="00E70565">
        <w:t xml:space="preserve"> a powerful driving force behind most</w:t>
      </w:r>
      <w:r>
        <w:t xml:space="preserve"> such </w:t>
      </w:r>
      <w:r w:rsidR="00E70565">
        <w:t>initiatives</w:t>
      </w:r>
      <w:r>
        <w:t xml:space="preserve">, which </w:t>
      </w:r>
      <w:r w:rsidR="00E70565">
        <w:t xml:space="preserve">are </w:t>
      </w:r>
      <w:r>
        <w:t xml:space="preserve">also </w:t>
      </w:r>
      <w:r w:rsidR="00E70565">
        <w:t>empowered by</w:t>
      </w:r>
      <w:r>
        <w:t xml:space="preserve"> active EU support and encouragement</w:t>
      </w:r>
      <w:r w:rsidR="008C2513">
        <w:t xml:space="preserve">. </w:t>
      </w:r>
    </w:p>
    <w:p w14:paraId="2E1661CB" w14:textId="77777777" w:rsidR="00B51E15" w:rsidRPr="00B51E15" w:rsidRDefault="00B51E15" w:rsidP="00B51E15"/>
    <w:p w14:paraId="09BE1FDE" w14:textId="2456F348" w:rsidR="006B660B" w:rsidRPr="00490735" w:rsidRDefault="0080228F" w:rsidP="00C95600">
      <w:pPr>
        <w:pStyle w:val="Heading3"/>
        <w:spacing w:line="276" w:lineRule="auto"/>
      </w:pPr>
      <w:r w:rsidRPr="00490735">
        <w:t>The</w:t>
      </w:r>
      <w:r w:rsidR="00802B1E" w:rsidRPr="00490735">
        <w:t>re is often</w:t>
      </w:r>
      <w:r w:rsidR="006B660B" w:rsidRPr="00490735">
        <w:t xml:space="preserve"> a thematic focus linked to the territorial aspects of a particular locality, region or </w:t>
      </w:r>
      <w:r w:rsidR="00566F96">
        <w:t xml:space="preserve">EU </w:t>
      </w:r>
      <w:r w:rsidR="006B660B" w:rsidRPr="00490735">
        <w:t xml:space="preserve">Member State. For example, in Extremadura in Spain, the conservation of land for pasture is a key component for the region's </w:t>
      </w:r>
      <w:r w:rsidR="00802B1E" w:rsidRPr="00490735">
        <w:t>long term</w:t>
      </w:r>
      <w:r w:rsidR="006B660B" w:rsidRPr="00490735">
        <w:t xml:space="preserve"> economic performance; </w:t>
      </w:r>
      <w:r w:rsidRPr="00490735">
        <w:t>t</w:t>
      </w:r>
      <w:r w:rsidR="006B660B" w:rsidRPr="00490735">
        <w:t>he Finnish national strategy</w:t>
      </w:r>
      <w:r w:rsidRPr="00490735">
        <w:t xml:space="preserve"> has</w:t>
      </w:r>
      <w:r w:rsidR="006B660B" w:rsidRPr="00490735">
        <w:t xml:space="preserve"> a strong focus on forestry.</w:t>
      </w:r>
    </w:p>
    <w:p w14:paraId="5DD94F6E" w14:textId="77777777" w:rsidR="006B660B" w:rsidRPr="00490735" w:rsidRDefault="006B660B" w:rsidP="00C95600">
      <w:pPr>
        <w:spacing w:line="276" w:lineRule="auto"/>
        <w:ind w:left="567" w:hanging="567"/>
        <w:rPr>
          <w:rFonts w:ascii="Times New Roman" w:hAnsi="Times New Roman" w:cs="Times New Roman"/>
          <w:sz w:val="22"/>
          <w:szCs w:val="22"/>
        </w:rPr>
      </w:pPr>
    </w:p>
    <w:p w14:paraId="74C9093F" w14:textId="7523313E" w:rsidR="006B660B" w:rsidRPr="00490735" w:rsidRDefault="00171161" w:rsidP="00C95600">
      <w:pPr>
        <w:pStyle w:val="Heading3"/>
        <w:spacing w:line="276" w:lineRule="auto"/>
      </w:pPr>
      <w:r w:rsidRPr="00490735">
        <w:t xml:space="preserve">Those </w:t>
      </w:r>
      <w:r w:rsidR="00B51E15">
        <w:t>strategies t</w:t>
      </w:r>
      <w:r w:rsidR="007B3F92">
        <w:t xml:space="preserve">hat </w:t>
      </w:r>
      <w:r w:rsidRPr="00490735">
        <w:t>emphasis</w:t>
      </w:r>
      <w:r w:rsidR="007B3F92">
        <w:t xml:space="preserve">e inclusiveness </w:t>
      </w:r>
      <w:r w:rsidR="00566F96">
        <w:t>take a full value chain approach</w:t>
      </w:r>
      <w:r w:rsidR="006B660B" w:rsidRPr="00490735">
        <w:t xml:space="preserve"> within a </w:t>
      </w:r>
      <w:r w:rsidR="00B51E15">
        <w:t xml:space="preserve">given </w:t>
      </w:r>
      <w:r w:rsidR="006B660B" w:rsidRPr="00490735">
        <w:t>sector, such as ma</w:t>
      </w:r>
      <w:r w:rsidRPr="00490735">
        <w:t xml:space="preserve">nufacturing, agriculture, food or water management. This helps </w:t>
      </w:r>
      <w:r w:rsidR="006B660B" w:rsidRPr="00490735">
        <w:t xml:space="preserve">identify key stakeholders in the transition to a circular economy, and </w:t>
      </w:r>
      <w:r w:rsidRPr="00490735">
        <w:t>can include</w:t>
      </w:r>
      <w:r w:rsidR="006B660B" w:rsidRPr="00490735">
        <w:t xml:space="preserve"> horizontal topics that can be grouped into technical, product-focused, network-focused or </w:t>
      </w:r>
      <w:r w:rsidR="00802B1E" w:rsidRPr="00490735">
        <w:t>those</w:t>
      </w:r>
      <w:r w:rsidRPr="00490735">
        <w:t xml:space="preserve"> </w:t>
      </w:r>
      <w:r w:rsidR="006B660B" w:rsidRPr="00490735">
        <w:t>based on territorial development.</w:t>
      </w:r>
    </w:p>
    <w:p w14:paraId="5F74B15E" w14:textId="77777777" w:rsidR="006B660B" w:rsidRPr="00490735" w:rsidRDefault="006B660B" w:rsidP="00C95600">
      <w:pPr>
        <w:spacing w:line="276" w:lineRule="auto"/>
        <w:ind w:left="567" w:hanging="567"/>
        <w:rPr>
          <w:rFonts w:ascii="Times New Roman" w:hAnsi="Times New Roman" w:cs="Times New Roman"/>
          <w:sz w:val="22"/>
          <w:szCs w:val="22"/>
        </w:rPr>
      </w:pPr>
    </w:p>
    <w:p w14:paraId="3B98F531" w14:textId="327FAF2D" w:rsidR="006B660B" w:rsidRPr="00490735" w:rsidRDefault="00171161" w:rsidP="00942273">
      <w:pPr>
        <w:pStyle w:val="Heading3"/>
        <w:spacing w:line="276" w:lineRule="auto"/>
      </w:pPr>
      <w:r w:rsidRPr="00490735">
        <w:t>Many</w:t>
      </w:r>
      <w:r w:rsidR="006B660B" w:rsidRPr="00490735">
        <w:t xml:space="preserve"> </w:t>
      </w:r>
      <w:r w:rsidR="007B3F92">
        <w:t>in</w:t>
      </w:r>
      <w:r w:rsidR="00B51E15">
        <w:t>clude</w:t>
      </w:r>
      <w:r w:rsidR="006B660B" w:rsidRPr="00490735">
        <w:t xml:space="preserve"> a broad </w:t>
      </w:r>
      <w:r w:rsidR="00B51E15">
        <w:t>role</w:t>
      </w:r>
      <w:r w:rsidR="006B660B" w:rsidRPr="00490735">
        <w:t xml:space="preserve"> for stakeholders in order to encourage participation and involvement in </w:t>
      </w:r>
      <w:r w:rsidR="00802B1E" w:rsidRPr="00490735">
        <w:t>any</w:t>
      </w:r>
      <w:r w:rsidR="006B660B" w:rsidRPr="00490735">
        <w:t xml:space="preserve"> transition</w:t>
      </w:r>
      <w:r w:rsidRPr="00490735">
        <w:t xml:space="preserve">, whilst </w:t>
      </w:r>
      <w:r w:rsidR="002A1EB9" w:rsidRPr="00490735">
        <w:t>those that are more sector-focused</w:t>
      </w:r>
      <w:r w:rsidR="006B660B" w:rsidRPr="00490735">
        <w:t xml:space="preserve"> </w:t>
      </w:r>
      <w:r w:rsidR="00802B1E" w:rsidRPr="00490735">
        <w:t xml:space="preserve">tend to </w:t>
      </w:r>
      <w:r w:rsidR="006B660B" w:rsidRPr="00490735">
        <w:t xml:space="preserve">have a more restricted base of </w:t>
      </w:r>
      <w:r w:rsidR="00EA4988">
        <w:t xml:space="preserve">relevant </w:t>
      </w:r>
      <w:r w:rsidR="006B660B" w:rsidRPr="00490735">
        <w:t>stakehol</w:t>
      </w:r>
      <w:r w:rsidR="00EA4988">
        <w:t>ders</w:t>
      </w:r>
      <w:r w:rsidR="006B660B" w:rsidRPr="00490735">
        <w:t>. Th</w:t>
      </w:r>
      <w:r w:rsidR="00802B1E" w:rsidRPr="00490735">
        <w:t>e most common form of strategy s</w:t>
      </w:r>
      <w:r w:rsidR="006B660B" w:rsidRPr="00490735">
        <w:t xml:space="preserve">o </w:t>
      </w:r>
      <w:r w:rsidR="00802B1E" w:rsidRPr="00490735">
        <w:t>far</w:t>
      </w:r>
      <w:r w:rsidR="006B660B" w:rsidRPr="00490735">
        <w:t xml:space="preserve"> is one that is all-encompassing – incorporating multiple sec</w:t>
      </w:r>
      <w:r w:rsidRPr="00490735">
        <w:t>t</w:t>
      </w:r>
      <w:r w:rsidR="00802B1E" w:rsidRPr="00490735">
        <w:t>ori</w:t>
      </w:r>
      <w:r w:rsidR="006B660B" w:rsidRPr="00490735">
        <w:t>al loops and encouraging partnerships.</w:t>
      </w:r>
    </w:p>
    <w:p w14:paraId="02F08284" w14:textId="77777777" w:rsidR="006B660B" w:rsidRPr="00490735" w:rsidRDefault="006B660B" w:rsidP="006B660B">
      <w:pPr>
        <w:rPr>
          <w:rFonts w:ascii="Times New Roman" w:hAnsi="Times New Roman" w:cs="Times New Roman"/>
          <w:sz w:val="22"/>
          <w:szCs w:val="22"/>
        </w:rPr>
      </w:pPr>
    </w:p>
    <w:p w14:paraId="4A35A6D0" w14:textId="77777777" w:rsidR="00B30B0A" w:rsidRPr="00490735" w:rsidRDefault="00B30B0A" w:rsidP="00B30B0A">
      <w:pPr>
        <w:rPr>
          <w:rFonts w:ascii="Times New Roman" w:hAnsi="Times New Roman" w:cs="Times New Roman"/>
          <w:sz w:val="22"/>
          <w:szCs w:val="22"/>
        </w:rPr>
      </w:pPr>
    </w:p>
    <w:p w14:paraId="486C9810" w14:textId="4CE7CFFF" w:rsidR="00A66B76" w:rsidRPr="00D9388D" w:rsidRDefault="008C2529" w:rsidP="008968A1">
      <w:pPr>
        <w:pStyle w:val="Heading1"/>
        <w:rPr>
          <w:b/>
        </w:rPr>
      </w:pPr>
      <w:r w:rsidRPr="00D9388D">
        <w:rPr>
          <w:b/>
        </w:rPr>
        <w:t>SDGs, the Paris Agreement and the key role of trade and investment</w:t>
      </w:r>
      <w:r w:rsidR="00C3511C" w:rsidRPr="00D9388D">
        <w:rPr>
          <w:b/>
        </w:rPr>
        <w:t xml:space="preserve"> </w:t>
      </w:r>
    </w:p>
    <w:p w14:paraId="2362C067" w14:textId="77777777" w:rsidR="00A66B76" w:rsidRPr="00490735" w:rsidRDefault="00A66B76" w:rsidP="00A66B76">
      <w:pPr>
        <w:pStyle w:val="Heading1"/>
        <w:numPr>
          <w:ilvl w:val="0"/>
          <w:numId w:val="0"/>
        </w:numPr>
        <w:ind w:left="567"/>
      </w:pPr>
    </w:p>
    <w:p w14:paraId="752163A3" w14:textId="657BF5FC" w:rsidR="008968A1" w:rsidRDefault="00024871" w:rsidP="00E70565">
      <w:pPr>
        <w:pStyle w:val="Heading2"/>
      </w:pPr>
      <w:r w:rsidRPr="00360DCE">
        <w:t>A core element of the EU – China Strategic Partnership is our significant trading partnership, which has been growing exponentially o</w:t>
      </w:r>
      <w:r w:rsidR="007B3F92">
        <w:t>ve</w:t>
      </w:r>
      <w:r w:rsidRPr="00360DCE">
        <w:t>r many years.</w:t>
      </w:r>
      <w:r w:rsidR="00EA6AC8" w:rsidRPr="00EA6AC8">
        <w:t xml:space="preserve"> </w:t>
      </w:r>
      <w:r w:rsidR="00EA6AC8" w:rsidRPr="00490735">
        <w:t xml:space="preserve">Trade and investment will </w:t>
      </w:r>
      <w:r w:rsidR="00EA6AC8">
        <w:t xml:space="preserve">need to </w:t>
      </w:r>
      <w:r w:rsidR="00EA6AC8" w:rsidRPr="00490735">
        <w:t xml:space="preserve">play a </w:t>
      </w:r>
      <w:r w:rsidR="00EA6AC8">
        <w:t>core</w:t>
      </w:r>
      <w:r w:rsidR="00EA6AC8" w:rsidRPr="00490735">
        <w:t xml:space="preserve"> role if the SDGs </w:t>
      </w:r>
      <w:r w:rsidR="00C3511C" w:rsidRPr="00360DCE">
        <w:t xml:space="preserve">and </w:t>
      </w:r>
      <w:r w:rsidR="00C22FA2" w:rsidRPr="00360DCE">
        <w:t xml:space="preserve">the </w:t>
      </w:r>
      <w:r w:rsidR="00C3511C" w:rsidRPr="00360DCE">
        <w:t xml:space="preserve">Paris Agreement </w:t>
      </w:r>
      <w:r w:rsidR="007B3F92">
        <w:t>are to be fully realised</w:t>
      </w:r>
      <w:r w:rsidR="00EA6AC8">
        <w:t>.</w:t>
      </w:r>
      <w:r w:rsidR="007B3F92">
        <w:t xml:space="preserve"> </w:t>
      </w:r>
      <w:r w:rsidRPr="00360DCE">
        <w:t>T</w:t>
      </w:r>
      <w:r w:rsidR="00EA6AC8">
        <w:t>his will be particularly so with t</w:t>
      </w:r>
      <w:r w:rsidR="00C3511C" w:rsidRPr="00360DCE">
        <w:t>rade in industrial goods and in agriculture</w:t>
      </w:r>
      <w:r w:rsidR="008968A1" w:rsidRPr="00360DCE">
        <w:t>,</w:t>
      </w:r>
      <w:r w:rsidR="007B3F92">
        <w:t xml:space="preserve"> </w:t>
      </w:r>
      <w:r w:rsidR="00360DCE">
        <w:t>w</w:t>
      </w:r>
      <w:r w:rsidR="008968A1" w:rsidRPr="00360DCE">
        <w:t>here the</w:t>
      </w:r>
      <w:r w:rsidR="007B3F92">
        <w:t xml:space="preserve"> SDGs</w:t>
      </w:r>
      <w:r w:rsidR="008968A1" w:rsidRPr="00360DCE">
        <w:t xml:space="preserve"> </w:t>
      </w:r>
      <w:r w:rsidR="00AE4B51">
        <w:t>are</w:t>
      </w:r>
      <w:r w:rsidR="008968A1" w:rsidRPr="00360DCE">
        <w:t xml:space="preserve"> </w:t>
      </w:r>
      <w:r w:rsidR="007B3F92">
        <w:t xml:space="preserve">more </w:t>
      </w:r>
      <w:r w:rsidR="008968A1" w:rsidRPr="00360DCE">
        <w:t>direct</w:t>
      </w:r>
      <w:r w:rsidR="00AE4B51">
        <w:t>ly</w:t>
      </w:r>
      <w:r w:rsidR="008968A1" w:rsidRPr="00360DCE">
        <w:t xml:space="preserve"> </w:t>
      </w:r>
      <w:r w:rsidR="00C61D16">
        <w:t>relevan</w:t>
      </w:r>
      <w:r w:rsidR="00AE4B51">
        <w:t>t</w:t>
      </w:r>
      <w:r w:rsidR="00C3511C" w:rsidRPr="00360DCE">
        <w:t xml:space="preserve">. </w:t>
      </w:r>
      <w:r w:rsidR="00C22FA2" w:rsidRPr="00360DCE">
        <w:t>Trade is specifically mentioned in 9 SDGs (</w:t>
      </w:r>
      <w:r w:rsidR="007B3F92">
        <w:t>but</w:t>
      </w:r>
      <w:r w:rsidR="008968A1" w:rsidRPr="00360DCE">
        <w:t xml:space="preserve"> just once in the MDGs</w:t>
      </w:r>
      <w:r w:rsidR="00F02D59" w:rsidRPr="00490735">
        <w:rPr>
          <w:rStyle w:val="FootnoteReference"/>
          <w:sz w:val="22"/>
        </w:rPr>
        <w:footnoteReference w:id="3"/>
      </w:r>
      <w:r w:rsidR="008968A1" w:rsidRPr="00360DCE">
        <w:t xml:space="preserve">). </w:t>
      </w:r>
    </w:p>
    <w:p w14:paraId="60A3E3AC" w14:textId="77777777" w:rsidR="00360DCE" w:rsidRPr="00360DCE" w:rsidRDefault="00360DCE" w:rsidP="00360DCE">
      <w:pPr>
        <w:rPr>
          <w:lang w:val="en-GB"/>
        </w:rPr>
      </w:pPr>
    </w:p>
    <w:p w14:paraId="4C0BF7BF" w14:textId="18490CEA" w:rsidR="008968A1" w:rsidRPr="00490735" w:rsidRDefault="00EA6AC8" w:rsidP="008968A1">
      <w:pPr>
        <w:pStyle w:val="Heading3"/>
      </w:pPr>
      <w:r>
        <w:t>To meet the SDGs and the Paris Agreement undertakings</w:t>
      </w:r>
      <w:r w:rsidR="00AE4B51">
        <w:t xml:space="preserve"> will have </w:t>
      </w:r>
      <w:r w:rsidR="00AE4B51" w:rsidRPr="00360DCE">
        <w:t xml:space="preserve">profound effects on world </w:t>
      </w:r>
      <w:r w:rsidR="00AE4B51">
        <w:t>t</w:t>
      </w:r>
      <w:r w:rsidR="00AE4B51" w:rsidRPr="00360DCE">
        <w:t>rade</w:t>
      </w:r>
      <w:r w:rsidR="00AE4B51">
        <w:t>. They</w:t>
      </w:r>
      <w:r w:rsidR="00C61D16">
        <w:t xml:space="preserve"> will</w:t>
      </w:r>
      <w:r>
        <w:t xml:space="preserve"> need to be placed at the heart of all future trade </w:t>
      </w:r>
      <w:r w:rsidR="00C61D16">
        <w:t xml:space="preserve">policy, practices and </w:t>
      </w:r>
      <w:r>
        <w:t>negotiations</w:t>
      </w:r>
      <w:r w:rsidR="00C61D16">
        <w:t>.</w:t>
      </w:r>
      <w:r w:rsidRPr="00360DCE">
        <w:t xml:space="preserve"> </w:t>
      </w:r>
      <w:r w:rsidR="008968A1" w:rsidRPr="00490735">
        <w:t>UNCTAD estimate that to achieve the</w:t>
      </w:r>
      <w:r w:rsidR="00C61D16">
        <w:t xml:space="preserve"> SDG</w:t>
      </w:r>
      <w:r w:rsidR="008968A1" w:rsidRPr="00490735">
        <w:t xml:space="preserve"> targets an extra USD 2.5 </w:t>
      </w:r>
      <w:r w:rsidR="008968A1" w:rsidRPr="00490735">
        <w:rPr>
          <w:b/>
        </w:rPr>
        <w:t>trillion</w:t>
      </w:r>
      <w:r w:rsidR="008968A1" w:rsidRPr="00490735">
        <w:t xml:space="preserve"> will have to be found annually, much of it from the private sector. As </w:t>
      </w:r>
      <w:r w:rsidR="00360DCE">
        <w:t xml:space="preserve">Roberto </w:t>
      </w:r>
      <w:proofErr w:type="spellStart"/>
      <w:r w:rsidR="00360DCE">
        <w:t>Azevedo</w:t>
      </w:r>
      <w:proofErr w:type="spellEnd"/>
      <w:r w:rsidR="00360DCE">
        <w:t xml:space="preserve">, </w:t>
      </w:r>
      <w:r w:rsidR="008968A1" w:rsidRPr="00490735">
        <w:t>the WTO Director General</w:t>
      </w:r>
      <w:r w:rsidR="00360DCE">
        <w:t>,</w:t>
      </w:r>
      <w:r w:rsidR="008968A1" w:rsidRPr="00490735">
        <w:t xml:space="preserve"> has </w:t>
      </w:r>
      <w:r w:rsidR="00024871" w:rsidRPr="00490735">
        <w:t xml:space="preserve">previously </w:t>
      </w:r>
      <w:r w:rsidR="008968A1" w:rsidRPr="00490735">
        <w:t>pointed out, the MDGs have already shown the "transformative potential of trade"</w:t>
      </w:r>
      <w:r w:rsidR="008968A1" w:rsidRPr="00490735">
        <w:rPr>
          <w:rStyle w:val="FootnoteReference"/>
          <w:sz w:val="22"/>
        </w:rPr>
        <w:footnoteReference w:id="4"/>
      </w:r>
      <w:r w:rsidR="008968A1" w:rsidRPr="00490735">
        <w:t>.</w:t>
      </w:r>
    </w:p>
    <w:p w14:paraId="1D07E8CA" w14:textId="77777777" w:rsidR="008968A1" w:rsidRPr="00490735" w:rsidRDefault="008968A1" w:rsidP="008968A1">
      <w:pPr>
        <w:rPr>
          <w:rFonts w:ascii="Times New Roman" w:hAnsi="Times New Roman" w:cs="Times New Roman"/>
          <w:sz w:val="22"/>
          <w:szCs w:val="22"/>
        </w:rPr>
      </w:pPr>
    </w:p>
    <w:p w14:paraId="176FA30F" w14:textId="0709892B" w:rsidR="008968A1" w:rsidRPr="00490735" w:rsidRDefault="008968A1" w:rsidP="008968A1">
      <w:pPr>
        <w:pStyle w:val="Heading2"/>
      </w:pPr>
      <w:r w:rsidRPr="00490735">
        <w:t xml:space="preserve">As the </w:t>
      </w:r>
      <w:r w:rsidR="003D2972" w:rsidRPr="00490735">
        <w:t xml:space="preserve">2015 </w:t>
      </w:r>
      <w:r w:rsidRPr="00490735">
        <w:t>WTO Nairobi Ministerial Declaration</w:t>
      </w:r>
      <w:r w:rsidR="00360DCE">
        <w:t xml:space="preserve"> spelt out</w:t>
      </w:r>
      <w:r w:rsidRPr="00490735">
        <w:t xml:space="preserve">, international trade </w:t>
      </w:r>
      <w:r w:rsidR="00AE4B51">
        <w:t xml:space="preserve">has </w:t>
      </w:r>
      <w:r w:rsidRPr="00490735">
        <w:t xml:space="preserve">a role </w:t>
      </w:r>
      <w:r w:rsidR="00AE4B51">
        <w:t xml:space="preserve">to play </w:t>
      </w:r>
      <w:r w:rsidRPr="00490735">
        <w:t xml:space="preserve">towards </w:t>
      </w:r>
      <w:r w:rsidR="00024871" w:rsidRPr="00490735">
        <w:t>‘</w:t>
      </w:r>
      <w:r w:rsidRPr="00490735">
        <w:t>achieving sustainable, robust and balanced growth for all</w:t>
      </w:r>
      <w:r w:rsidR="00024871" w:rsidRPr="00490735">
        <w:t>’</w:t>
      </w:r>
      <w:r w:rsidRPr="00490735">
        <w:rPr>
          <w:rStyle w:val="FootnoteReference"/>
          <w:sz w:val="22"/>
        </w:rPr>
        <w:footnoteReference w:id="5"/>
      </w:r>
      <w:r w:rsidRPr="00490735">
        <w:t xml:space="preserve">. </w:t>
      </w:r>
      <w:r w:rsidR="00AE4B51">
        <w:t>I</w:t>
      </w:r>
      <w:r w:rsidR="00262E43">
        <w:t>t</w:t>
      </w:r>
      <w:r w:rsidR="00024871" w:rsidRPr="00490735">
        <w:t xml:space="preserve"> stressed the</w:t>
      </w:r>
      <w:r w:rsidRPr="00490735">
        <w:t xml:space="preserve"> important part </w:t>
      </w:r>
      <w:r w:rsidR="00024871" w:rsidRPr="00490735">
        <w:t xml:space="preserve">the WTO has </w:t>
      </w:r>
      <w:r w:rsidRPr="00490735">
        <w:t xml:space="preserve">to play in achieving the SDGs, </w:t>
      </w:r>
      <w:r w:rsidR="00024871" w:rsidRPr="00490735">
        <w:t>which</w:t>
      </w:r>
      <w:r w:rsidRPr="00490735">
        <w:t xml:space="preserve"> </w:t>
      </w:r>
      <w:r w:rsidR="00360DCE">
        <w:t xml:space="preserve">in turn </w:t>
      </w:r>
      <w:r w:rsidRPr="00490735">
        <w:t>would be</w:t>
      </w:r>
      <w:r w:rsidR="00024871" w:rsidRPr="00490735">
        <w:t xml:space="preserve">come </w:t>
      </w:r>
      <w:r w:rsidRPr="00490735">
        <w:t>far</w:t>
      </w:r>
      <w:r w:rsidR="00024871" w:rsidRPr="00490735">
        <w:t xml:space="preserve"> more difficult</w:t>
      </w:r>
      <w:r w:rsidRPr="00490735">
        <w:t xml:space="preserve"> without an effective multilateral trade mechanism.</w:t>
      </w:r>
    </w:p>
    <w:p w14:paraId="30CF2907" w14:textId="77777777" w:rsidR="008968A1" w:rsidRPr="00490735" w:rsidRDefault="008968A1" w:rsidP="008968A1">
      <w:pPr>
        <w:rPr>
          <w:rFonts w:ascii="Times New Roman" w:hAnsi="Times New Roman" w:cs="Times New Roman"/>
          <w:sz w:val="22"/>
          <w:szCs w:val="22"/>
        </w:rPr>
      </w:pPr>
    </w:p>
    <w:p w14:paraId="1665BC53" w14:textId="40387432" w:rsidR="008968A1" w:rsidRPr="00490735" w:rsidRDefault="008968A1" w:rsidP="008968A1">
      <w:pPr>
        <w:pStyle w:val="Heading3"/>
      </w:pPr>
      <w:r w:rsidRPr="00490735">
        <w:t xml:space="preserve">The impact </w:t>
      </w:r>
      <w:r w:rsidR="00360DCE" w:rsidRPr="00490735">
        <w:t xml:space="preserve">on climate change </w:t>
      </w:r>
      <w:r w:rsidR="00360DCE">
        <w:t>of trade and investment</w:t>
      </w:r>
      <w:r w:rsidRPr="00490735">
        <w:t xml:space="preserve"> </w:t>
      </w:r>
      <w:r w:rsidR="00BB22EE">
        <w:t>is</w:t>
      </w:r>
      <w:r w:rsidR="00360DCE">
        <w:t xml:space="preserve"> </w:t>
      </w:r>
      <w:r w:rsidR="00BB22EE">
        <w:t xml:space="preserve">also </w:t>
      </w:r>
      <w:r w:rsidR="00360DCE">
        <w:t>important</w:t>
      </w:r>
      <w:r w:rsidR="00482211" w:rsidRPr="00490735">
        <w:t>.</w:t>
      </w:r>
      <w:r w:rsidRPr="00490735">
        <w:t xml:space="preserve"> Negotiations for </w:t>
      </w:r>
      <w:r w:rsidR="00BB22EE">
        <w:t>a</w:t>
      </w:r>
      <w:r w:rsidRPr="00490735">
        <w:t xml:space="preserve"> </w:t>
      </w:r>
      <w:proofErr w:type="spellStart"/>
      <w:r w:rsidRPr="00490735">
        <w:t>plurilateral</w:t>
      </w:r>
      <w:proofErr w:type="spellEnd"/>
      <w:r w:rsidRPr="00490735">
        <w:t xml:space="preserve"> Environmental Goods Agreement (EGA) promise</w:t>
      </w:r>
      <w:r w:rsidR="00024871" w:rsidRPr="00490735">
        <w:t>d</w:t>
      </w:r>
      <w:r w:rsidRPr="00490735">
        <w:t xml:space="preserve"> an important step in integrating climate change with multilateral trade policy</w:t>
      </w:r>
      <w:r w:rsidR="00BB22EE">
        <w:t xml:space="preserve"> -</w:t>
      </w:r>
      <w:r w:rsidRPr="00490735">
        <w:t xml:space="preserve"> further multilateral action </w:t>
      </w:r>
      <w:r w:rsidR="00BB22EE">
        <w:t>is s</w:t>
      </w:r>
      <w:r w:rsidRPr="00490735">
        <w:t>till ne</w:t>
      </w:r>
      <w:r w:rsidR="00360DCE">
        <w:t xml:space="preserve">cessary </w:t>
      </w:r>
      <w:r w:rsidRPr="00490735">
        <w:t xml:space="preserve">to promote greater consistency. </w:t>
      </w:r>
    </w:p>
    <w:p w14:paraId="79B6CC27" w14:textId="77777777" w:rsidR="00482211" w:rsidRPr="00490735" w:rsidRDefault="00482211" w:rsidP="00482211">
      <w:pPr>
        <w:rPr>
          <w:rFonts w:ascii="Times New Roman" w:hAnsi="Times New Roman" w:cs="Times New Roman"/>
          <w:sz w:val="22"/>
          <w:szCs w:val="22"/>
        </w:rPr>
      </w:pPr>
    </w:p>
    <w:p w14:paraId="47DD335B" w14:textId="25B195DE" w:rsidR="00482211" w:rsidRPr="00490735" w:rsidRDefault="00482211" w:rsidP="00482211">
      <w:pPr>
        <w:pStyle w:val="Heading2"/>
      </w:pPr>
      <w:r w:rsidRPr="00490735">
        <w:t>Trade in agriculture has a particularly important role to play</w:t>
      </w:r>
      <w:r w:rsidR="00BB22EE">
        <w:t>, critically so for the realisation of</w:t>
      </w:r>
      <w:r w:rsidRPr="00490735">
        <w:t xml:space="preserve"> </w:t>
      </w:r>
      <w:r w:rsidR="00C61D16">
        <w:t>SDG</w:t>
      </w:r>
      <w:r w:rsidR="00BB22EE">
        <w:t>s</w:t>
      </w:r>
      <w:r w:rsidRPr="00490735">
        <w:t xml:space="preserve"> 2 (Hunger/Food Security), 12 (Sustainable consumption/</w:t>
      </w:r>
      <w:r w:rsidR="00360DCE">
        <w:t xml:space="preserve"> </w:t>
      </w:r>
      <w:r w:rsidRPr="00490735">
        <w:t xml:space="preserve">production) and 15 (Land Degradation). </w:t>
      </w:r>
    </w:p>
    <w:p w14:paraId="0C081330" w14:textId="77777777" w:rsidR="00482211" w:rsidRPr="00490735" w:rsidRDefault="00482211" w:rsidP="00482211">
      <w:pPr>
        <w:rPr>
          <w:rFonts w:ascii="Times New Roman" w:hAnsi="Times New Roman" w:cs="Times New Roman"/>
          <w:sz w:val="22"/>
          <w:szCs w:val="22"/>
        </w:rPr>
      </w:pPr>
    </w:p>
    <w:p w14:paraId="2CD4C5D8" w14:textId="20BFDE4E" w:rsidR="00482211" w:rsidRPr="00490735" w:rsidRDefault="00482211" w:rsidP="00482211">
      <w:pPr>
        <w:pStyle w:val="Heading3"/>
      </w:pPr>
      <w:r w:rsidRPr="00490735">
        <w:t xml:space="preserve">It also </w:t>
      </w:r>
      <w:r w:rsidR="00382ED3">
        <w:t xml:space="preserve">has </w:t>
      </w:r>
      <w:r w:rsidRPr="00490735">
        <w:t xml:space="preserve">an essential role </w:t>
      </w:r>
      <w:r w:rsidR="00382ED3">
        <w:t xml:space="preserve">to play </w:t>
      </w:r>
      <w:r w:rsidRPr="00490735">
        <w:t>in meeting Goals 1 (Poverty/</w:t>
      </w:r>
      <w:r w:rsidR="002A3E3E">
        <w:t>Under</w:t>
      </w:r>
      <w:r w:rsidR="005E6E64" w:rsidRPr="00490735">
        <w:t>nutrition</w:t>
      </w:r>
      <w:r w:rsidRPr="00490735">
        <w:t>), 8 (Inclusive, sustainable economic growth), 9 (Infrastructure), 10 (Reduced Inequalities), 13 (Climate change), 3 (Well-being), 5 (Gender equality) and 7 (Energy). It will need too to be in full synergy with other forms of action, including development.</w:t>
      </w:r>
    </w:p>
    <w:p w14:paraId="3BDFB783" w14:textId="77777777" w:rsidR="00C22FA2" w:rsidRPr="00490735" w:rsidRDefault="00C22FA2" w:rsidP="00C22FA2">
      <w:pPr>
        <w:rPr>
          <w:rFonts w:ascii="Times New Roman" w:hAnsi="Times New Roman" w:cs="Times New Roman"/>
          <w:sz w:val="22"/>
          <w:szCs w:val="22"/>
        </w:rPr>
      </w:pPr>
    </w:p>
    <w:p w14:paraId="382F32AD" w14:textId="77777777" w:rsidR="002F3B23" w:rsidRPr="00490735" w:rsidRDefault="002F3B23" w:rsidP="002F3B23">
      <w:pPr>
        <w:pStyle w:val="Heading2"/>
        <w:autoSpaceDE w:val="0"/>
        <w:autoSpaceDN w:val="0"/>
      </w:pPr>
      <w:r w:rsidRPr="00490735">
        <w:t>The EC produced its Communication "Next Steps for a Sustainable European Future: European Union action for sustainability” in November 2016</w:t>
      </w:r>
      <w:r w:rsidRPr="00490735">
        <w:rPr>
          <w:rStyle w:val="FootnoteReference"/>
          <w:sz w:val="22"/>
        </w:rPr>
        <w:footnoteReference w:id="6"/>
      </w:r>
      <w:r w:rsidRPr="00490735">
        <w:t>, which set out to integrate the SDGs fully "in the European policy framework and current Commission priorities", as indeed it is bound to do under the Lisbon Treaty</w:t>
      </w:r>
      <w:r w:rsidRPr="00490735">
        <w:rPr>
          <w:rStyle w:val="FootnoteReference"/>
          <w:sz w:val="22"/>
        </w:rPr>
        <w:footnoteReference w:id="7"/>
      </w:r>
      <w:r w:rsidRPr="00490735">
        <w:t xml:space="preserve">. It stated the SDGs "will be a cross-cutting dimension" for the EU's global trading strategy. In turn, the EESC recommended the EU undertake a full impact assessment on its likely effects. </w:t>
      </w:r>
    </w:p>
    <w:p w14:paraId="138EE220" w14:textId="77777777" w:rsidR="002F3B23" w:rsidRPr="00490735" w:rsidRDefault="002F3B23" w:rsidP="002F3B23">
      <w:pPr>
        <w:rPr>
          <w:rFonts w:ascii="Times New Roman" w:hAnsi="Times New Roman" w:cs="Times New Roman"/>
          <w:sz w:val="22"/>
          <w:szCs w:val="22"/>
        </w:rPr>
      </w:pPr>
    </w:p>
    <w:p w14:paraId="1BA3C7E7" w14:textId="088A4FA5" w:rsidR="00C3511C" w:rsidRPr="00490735" w:rsidRDefault="00C3511C" w:rsidP="00C3511C">
      <w:pPr>
        <w:pStyle w:val="Heading2"/>
        <w:keepNext/>
        <w:autoSpaceDE w:val="0"/>
        <w:autoSpaceDN w:val="0"/>
      </w:pPr>
      <w:r w:rsidRPr="00490735">
        <w:t>The EESC</w:t>
      </w:r>
      <w:r w:rsidR="00D84B5F" w:rsidRPr="00490735">
        <w:t xml:space="preserve"> believes</w:t>
      </w:r>
      <w:r w:rsidRPr="00490735">
        <w:t xml:space="preserve"> that the EU is </w:t>
      </w:r>
      <w:r w:rsidR="00382ED3">
        <w:t>uniquely placed</w:t>
      </w:r>
      <w:r w:rsidRPr="00490735">
        <w:t xml:space="preserve"> to drive th</w:t>
      </w:r>
      <w:r w:rsidR="002A3E3E">
        <w:t>e SDG</w:t>
      </w:r>
      <w:r w:rsidRPr="00490735">
        <w:t xml:space="preserve"> agenda forward: </w:t>
      </w:r>
    </w:p>
    <w:p w14:paraId="7538B112" w14:textId="77777777" w:rsidR="00C3511C" w:rsidRPr="00490735" w:rsidRDefault="00C3511C" w:rsidP="00C3511C">
      <w:pPr>
        <w:keepNext/>
        <w:rPr>
          <w:rFonts w:ascii="Times New Roman" w:hAnsi="Times New Roman" w:cs="Times New Roman"/>
          <w:sz w:val="22"/>
          <w:szCs w:val="22"/>
        </w:rPr>
      </w:pPr>
    </w:p>
    <w:p w14:paraId="41C06657" w14:textId="77777777" w:rsidR="002F3B23" w:rsidRPr="00490735" w:rsidRDefault="00C3511C" w:rsidP="002F3B23">
      <w:pPr>
        <w:pStyle w:val="ListParagraph"/>
        <w:numPr>
          <w:ilvl w:val="0"/>
          <w:numId w:val="3"/>
        </w:numPr>
        <w:tabs>
          <w:tab w:val="clear" w:pos="0"/>
        </w:tabs>
        <w:overflowPunct/>
        <w:adjustRightInd/>
        <w:ind w:left="850"/>
        <w:textAlignment w:val="auto"/>
        <w:outlineLvl w:val="2"/>
        <w:rPr>
          <w:szCs w:val="22"/>
        </w:rPr>
      </w:pPr>
      <w:r w:rsidRPr="00490735">
        <w:rPr>
          <w:szCs w:val="22"/>
        </w:rPr>
        <w:t xml:space="preserve">it carries weight as one of the world's leading exporters and importers, </w:t>
      </w:r>
    </w:p>
    <w:p w14:paraId="51408229" w14:textId="1A100199" w:rsidR="002F3B23" w:rsidRPr="00490735" w:rsidRDefault="002F3B23" w:rsidP="00C3511C">
      <w:pPr>
        <w:pStyle w:val="ListParagraph"/>
        <w:numPr>
          <w:ilvl w:val="0"/>
          <w:numId w:val="3"/>
        </w:numPr>
        <w:tabs>
          <w:tab w:val="clear" w:pos="0"/>
        </w:tabs>
        <w:overflowPunct/>
        <w:adjustRightInd/>
        <w:ind w:left="850"/>
        <w:textAlignment w:val="auto"/>
        <w:outlineLvl w:val="2"/>
        <w:rPr>
          <w:szCs w:val="22"/>
        </w:rPr>
      </w:pPr>
      <w:r w:rsidRPr="00490735">
        <w:rPr>
          <w:szCs w:val="22"/>
        </w:rPr>
        <w:t>it has proven ability to play an effective bridging role between dev</w:t>
      </w:r>
      <w:r w:rsidR="00F838DA" w:rsidRPr="00490735">
        <w:rPr>
          <w:szCs w:val="22"/>
        </w:rPr>
        <w:t>eloped and developing countries,</w:t>
      </w:r>
    </w:p>
    <w:p w14:paraId="37031326" w14:textId="77777777" w:rsidR="00C3511C" w:rsidRPr="00490735" w:rsidRDefault="00C3511C" w:rsidP="00C3511C">
      <w:pPr>
        <w:pStyle w:val="ListParagraph"/>
        <w:numPr>
          <w:ilvl w:val="0"/>
          <w:numId w:val="4"/>
        </w:numPr>
        <w:tabs>
          <w:tab w:val="clear" w:pos="0"/>
        </w:tabs>
        <w:overflowPunct/>
        <w:adjustRightInd/>
        <w:ind w:left="850"/>
        <w:textAlignment w:val="auto"/>
        <w:outlineLvl w:val="2"/>
        <w:rPr>
          <w:szCs w:val="22"/>
        </w:rPr>
      </w:pPr>
      <w:r w:rsidRPr="00490735">
        <w:rPr>
          <w:szCs w:val="22"/>
        </w:rPr>
        <w:t xml:space="preserve">it is no longer seen to be primarily defensive on agriculture, </w:t>
      </w:r>
    </w:p>
    <w:p w14:paraId="0C026948" w14:textId="77777777" w:rsidR="00C3511C" w:rsidRPr="00490735" w:rsidRDefault="00C3511C" w:rsidP="00C3511C">
      <w:pPr>
        <w:pStyle w:val="ListParagraph"/>
        <w:numPr>
          <w:ilvl w:val="0"/>
          <w:numId w:val="5"/>
        </w:numPr>
        <w:tabs>
          <w:tab w:val="clear" w:pos="0"/>
        </w:tabs>
        <w:overflowPunct/>
        <w:adjustRightInd/>
        <w:ind w:left="850"/>
        <w:textAlignment w:val="auto"/>
        <w:outlineLvl w:val="2"/>
        <w:rPr>
          <w:szCs w:val="22"/>
        </w:rPr>
      </w:pPr>
      <w:r w:rsidRPr="00490735">
        <w:rPr>
          <w:szCs w:val="22"/>
        </w:rPr>
        <w:t xml:space="preserve">it has a proven sustained interest in trade and development and </w:t>
      </w:r>
    </w:p>
    <w:p w14:paraId="538DA5C7" w14:textId="2E30F6E3" w:rsidR="00C3511C" w:rsidRPr="00490735" w:rsidRDefault="00C3511C" w:rsidP="00C3511C">
      <w:pPr>
        <w:pStyle w:val="ListParagraph"/>
        <w:numPr>
          <w:ilvl w:val="0"/>
          <w:numId w:val="6"/>
        </w:numPr>
        <w:tabs>
          <w:tab w:val="clear" w:pos="0"/>
        </w:tabs>
        <w:overflowPunct/>
        <w:adjustRightInd/>
        <w:ind w:left="850"/>
        <w:textAlignment w:val="auto"/>
        <w:outlineLvl w:val="2"/>
        <w:rPr>
          <w:szCs w:val="22"/>
        </w:rPr>
      </w:pPr>
      <w:proofErr w:type="gramStart"/>
      <w:r w:rsidRPr="00490735">
        <w:rPr>
          <w:szCs w:val="22"/>
        </w:rPr>
        <w:t>it</w:t>
      </w:r>
      <w:proofErr w:type="gramEnd"/>
      <w:r w:rsidRPr="00490735">
        <w:rPr>
          <w:szCs w:val="22"/>
        </w:rPr>
        <w:t xml:space="preserve"> has the ability </w:t>
      </w:r>
      <w:r w:rsidR="00262E43" w:rsidRPr="00490735">
        <w:rPr>
          <w:szCs w:val="22"/>
        </w:rPr>
        <w:t xml:space="preserve">as shown in Nairobi </w:t>
      </w:r>
      <w:r w:rsidRPr="00490735">
        <w:rPr>
          <w:szCs w:val="22"/>
        </w:rPr>
        <w:t xml:space="preserve">to produce fresh and balanced thinking. </w:t>
      </w:r>
    </w:p>
    <w:p w14:paraId="36E6912D" w14:textId="77777777" w:rsidR="000E00B7" w:rsidRPr="00490735" w:rsidRDefault="000E00B7" w:rsidP="00A61E19">
      <w:pPr>
        <w:pStyle w:val="Heading3"/>
        <w:numPr>
          <w:ilvl w:val="0"/>
          <w:numId w:val="0"/>
        </w:numPr>
        <w:autoSpaceDE w:val="0"/>
        <w:autoSpaceDN w:val="0"/>
        <w:rPr>
          <w:rFonts w:eastAsiaTheme="minorEastAsia"/>
          <w:lang w:val="en-US"/>
        </w:rPr>
      </w:pPr>
    </w:p>
    <w:p w14:paraId="735BB8FA" w14:textId="77777777" w:rsidR="00A61E19" w:rsidRPr="00490735" w:rsidRDefault="00A61E19" w:rsidP="00A61E19">
      <w:pPr>
        <w:rPr>
          <w:rFonts w:ascii="Times New Roman" w:hAnsi="Times New Roman" w:cs="Times New Roman"/>
          <w:sz w:val="22"/>
          <w:szCs w:val="22"/>
        </w:rPr>
      </w:pPr>
    </w:p>
    <w:p w14:paraId="19571E51" w14:textId="5376B0D2" w:rsidR="000E00B7" w:rsidRPr="00D9388D" w:rsidRDefault="000E00B7" w:rsidP="000E00B7">
      <w:pPr>
        <w:pStyle w:val="Heading1"/>
        <w:rPr>
          <w:b/>
        </w:rPr>
      </w:pPr>
      <w:r w:rsidRPr="00D9388D">
        <w:rPr>
          <w:b/>
        </w:rPr>
        <w:t xml:space="preserve">Encouraging greater EU – </w:t>
      </w:r>
      <w:r w:rsidR="0074082C" w:rsidRPr="00D9388D">
        <w:rPr>
          <w:b/>
        </w:rPr>
        <w:t xml:space="preserve">PR </w:t>
      </w:r>
      <w:r w:rsidRPr="00D9388D">
        <w:rPr>
          <w:b/>
        </w:rPr>
        <w:t>China cooperation</w:t>
      </w:r>
    </w:p>
    <w:p w14:paraId="3FE9A906" w14:textId="77777777" w:rsidR="000E00B7" w:rsidRPr="00490735" w:rsidRDefault="000E00B7" w:rsidP="000E00B7">
      <w:pPr>
        <w:pStyle w:val="Heading1"/>
        <w:numPr>
          <w:ilvl w:val="0"/>
          <w:numId w:val="0"/>
        </w:numPr>
        <w:ind w:left="567"/>
      </w:pPr>
    </w:p>
    <w:p w14:paraId="7C10B8A5" w14:textId="5F3E17D9" w:rsidR="000E00B7" w:rsidRPr="00490735" w:rsidRDefault="000E00B7" w:rsidP="00932BB5">
      <w:pPr>
        <w:pStyle w:val="Heading2"/>
        <w:spacing w:line="276" w:lineRule="auto"/>
      </w:pPr>
      <w:r w:rsidRPr="00490735">
        <w:t>In advance of the 21</w:t>
      </w:r>
      <w:r w:rsidRPr="00490735">
        <w:rPr>
          <w:vertAlign w:val="superscript"/>
        </w:rPr>
        <w:t>st</w:t>
      </w:r>
      <w:r w:rsidRPr="00490735">
        <w:t xml:space="preserve"> EU – China summit, the European Commission issued a document “EU – China – A Strategic outlook”</w:t>
      </w:r>
      <w:r w:rsidR="007A2827">
        <w:t xml:space="preserve"> in March 2019</w:t>
      </w:r>
      <w:r w:rsidRPr="00490735">
        <w:t>. This emphasised that “t</w:t>
      </w:r>
      <w:r w:rsidR="00932BB5" w:rsidRPr="00490735">
        <w:t>he EU's and China's shared commitments and interest in global sustainable</w:t>
      </w:r>
      <w:r w:rsidRPr="00490735">
        <w:t xml:space="preserve"> </w:t>
      </w:r>
      <w:r w:rsidR="00932BB5" w:rsidRPr="00490735">
        <w:t>development and the 2030 Agenda present opportunities for closer cooperation,</w:t>
      </w:r>
      <w:r w:rsidRPr="00490735">
        <w:t xml:space="preserve"> </w:t>
      </w:r>
      <w:r w:rsidR="00932BB5" w:rsidRPr="00490735">
        <w:t>including in third countries</w:t>
      </w:r>
      <w:r w:rsidRPr="00490735">
        <w:t>”</w:t>
      </w:r>
      <w:r w:rsidR="00932BB5" w:rsidRPr="00490735">
        <w:t xml:space="preserve">. </w:t>
      </w:r>
    </w:p>
    <w:p w14:paraId="18338006" w14:textId="77777777" w:rsidR="000E00B7" w:rsidRPr="00490735" w:rsidRDefault="000E00B7" w:rsidP="000E00B7">
      <w:pPr>
        <w:rPr>
          <w:rFonts w:ascii="Times New Roman" w:hAnsi="Times New Roman" w:cs="Times New Roman"/>
          <w:sz w:val="22"/>
          <w:szCs w:val="22"/>
        </w:rPr>
      </w:pPr>
    </w:p>
    <w:p w14:paraId="3B1254AF" w14:textId="54FEA504" w:rsidR="00F838DA" w:rsidRPr="00490735" w:rsidRDefault="000E00B7" w:rsidP="00F838DA">
      <w:pPr>
        <w:pStyle w:val="Heading3"/>
        <w:spacing w:line="276" w:lineRule="auto"/>
      </w:pPr>
      <w:r w:rsidRPr="00490735">
        <w:t>Th</w:t>
      </w:r>
      <w:r w:rsidR="009629CC">
        <w:t>is</w:t>
      </w:r>
      <w:r w:rsidR="00EF2FF0">
        <w:t xml:space="preserve"> </w:t>
      </w:r>
      <w:r w:rsidRPr="00490735">
        <w:t>continued</w:t>
      </w:r>
      <w:r w:rsidR="009629CC">
        <w:t>:</w:t>
      </w:r>
      <w:r w:rsidRPr="00490735">
        <w:t xml:space="preserve"> “</w:t>
      </w:r>
      <w:r w:rsidR="00932BB5" w:rsidRPr="00490735">
        <w:t>There is a real need to partner up and deliver the significant</w:t>
      </w:r>
      <w:r w:rsidRPr="00490735">
        <w:t xml:space="preserve"> </w:t>
      </w:r>
      <w:r w:rsidR="00932BB5" w:rsidRPr="00490735">
        <w:t>resources needed to achieve the Sustainable Development Goals. Given China’s</w:t>
      </w:r>
      <w:r w:rsidRPr="00490735">
        <w:t xml:space="preserve"> </w:t>
      </w:r>
      <w:r w:rsidR="00932BB5" w:rsidRPr="00490735">
        <w:t>significant investment in partner countries, it should increase its engagement as an Official</w:t>
      </w:r>
      <w:r w:rsidRPr="00490735">
        <w:t xml:space="preserve"> </w:t>
      </w:r>
      <w:r w:rsidR="00932BB5" w:rsidRPr="00490735">
        <w:t>Development Assistance donor and a partner in multilateral fora. In this respect, we</w:t>
      </w:r>
      <w:r w:rsidRPr="00490735">
        <w:t xml:space="preserve"> </w:t>
      </w:r>
      <w:r w:rsidR="00932BB5" w:rsidRPr="00490735">
        <w:t>should establish a dialogue, seek synergies and engage further to maintain momentum on</w:t>
      </w:r>
      <w:r w:rsidRPr="00490735">
        <w:t xml:space="preserve"> </w:t>
      </w:r>
      <w:r w:rsidR="00932BB5" w:rsidRPr="00490735">
        <w:t>the implementation of the Sustainable Development Goals in third countries</w:t>
      </w:r>
      <w:r w:rsidRPr="00490735">
        <w:t>”</w:t>
      </w:r>
      <w:r w:rsidR="00932BB5" w:rsidRPr="00490735">
        <w:t>.</w:t>
      </w:r>
      <w:r w:rsidR="00F838DA" w:rsidRPr="00490735">
        <w:t xml:space="preserve"> </w:t>
      </w:r>
    </w:p>
    <w:p w14:paraId="5B1B2895" w14:textId="77777777" w:rsidR="00F838DA" w:rsidRPr="00490735" w:rsidRDefault="00F838DA" w:rsidP="00F838DA">
      <w:pPr>
        <w:pStyle w:val="Heading3"/>
        <w:numPr>
          <w:ilvl w:val="0"/>
          <w:numId w:val="0"/>
        </w:numPr>
        <w:spacing w:line="276" w:lineRule="auto"/>
        <w:ind w:left="567"/>
      </w:pPr>
    </w:p>
    <w:p w14:paraId="7FB99EA6" w14:textId="68C4E6C1" w:rsidR="0074082C" w:rsidRPr="00490735" w:rsidRDefault="007A2827" w:rsidP="0074082C">
      <w:pPr>
        <w:pStyle w:val="Heading2"/>
      </w:pPr>
      <w:r>
        <w:t>T</w:t>
      </w:r>
      <w:r w:rsidR="00F838DA" w:rsidRPr="00490735">
        <w:t xml:space="preserve">he Belt and Road Initiative (BRI) offers a unique opportunity for such </w:t>
      </w:r>
      <w:r w:rsidR="00793626" w:rsidRPr="00490735">
        <w:t xml:space="preserve">EU – PR China </w:t>
      </w:r>
      <w:r w:rsidR="00F838DA" w:rsidRPr="00490735">
        <w:t>cooperation.</w:t>
      </w:r>
      <w:r w:rsidR="0074082C" w:rsidRPr="00490735">
        <w:t xml:space="preserve"> </w:t>
      </w:r>
      <w:r w:rsidR="009F29E2" w:rsidRPr="00490735">
        <w:t xml:space="preserve">The </w:t>
      </w:r>
      <w:r w:rsidR="00091E53" w:rsidRPr="00490735">
        <w:t xml:space="preserve">Round Table has </w:t>
      </w:r>
      <w:r w:rsidR="00F838DA" w:rsidRPr="00490735">
        <w:t>already examined</w:t>
      </w:r>
      <w:r w:rsidR="00091E53" w:rsidRPr="00490735">
        <w:t xml:space="preserve"> </w:t>
      </w:r>
      <w:r w:rsidR="00811AE0" w:rsidRPr="00490735">
        <w:t>the SDGs</w:t>
      </w:r>
      <w:r w:rsidR="00091E53" w:rsidRPr="00490735">
        <w:t xml:space="preserve"> at three of its last four meetings, with the last two specifically looking at the </w:t>
      </w:r>
      <w:r w:rsidR="00811AE0" w:rsidRPr="00490735">
        <w:t xml:space="preserve">connection between the SDGs and the BRI. </w:t>
      </w:r>
    </w:p>
    <w:p w14:paraId="4ABF63F9" w14:textId="77777777" w:rsidR="0074082C" w:rsidRPr="00490735" w:rsidRDefault="0074082C" w:rsidP="0074082C">
      <w:pPr>
        <w:rPr>
          <w:rFonts w:ascii="Times New Roman" w:hAnsi="Times New Roman" w:cs="Times New Roman"/>
          <w:sz w:val="22"/>
          <w:szCs w:val="22"/>
        </w:rPr>
      </w:pPr>
    </w:p>
    <w:p w14:paraId="7135B329" w14:textId="27044BA1" w:rsidR="00811AE0" w:rsidRPr="00490735" w:rsidRDefault="00811AE0" w:rsidP="0074082C">
      <w:pPr>
        <w:pStyle w:val="Heading3"/>
      </w:pPr>
      <w:r w:rsidRPr="00490735">
        <w:t>The 2017 Joint Statement of the Round Table "emphasises that the implementation of BRI should contribute to the realisation of the UN 2030 Agenda and its Sustainable Development Goals and the implementation of the Paris Agreement on Climate Change".</w:t>
      </w:r>
      <w:r w:rsidR="00091E53" w:rsidRPr="00490735">
        <w:t xml:space="preserve"> The EESC believes it </w:t>
      </w:r>
      <w:r w:rsidR="00793626" w:rsidRPr="00490735">
        <w:t>important</w:t>
      </w:r>
      <w:r w:rsidR="00091E53" w:rsidRPr="00490735">
        <w:t xml:space="preserve"> </w:t>
      </w:r>
      <w:r w:rsidR="00793626" w:rsidRPr="00490735">
        <w:t xml:space="preserve">that </w:t>
      </w:r>
      <w:r w:rsidR="00091E53" w:rsidRPr="00490735">
        <w:t>a formal connection</w:t>
      </w:r>
      <w:r w:rsidR="00793626" w:rsidRPr="00490735">
        <w:t xml:space="preserve"> be made</w:t>
      </w:r>
      <w:r w:rsidR="00091E53" w:rsidRPr="00490735">
        <w:t xml:space="preserve"> here.</w:t>
      </w:r>
    </w:p>
    <w:p w14:paraId="34272B59" w14:textId="77777777" w:rsidR="00811AE0" w:rsidRPr="00490735" w:rsidRDefault="00811AE0" w:rsidP="00811AE0">
      <w:pPr>
        <w:rPr>
          <w:rFonts w:ascii="Times New Roman" w:hAnsi="Times New Roman" w:cs="Times New Roman"/>
          <w:sz w:val="22"/>
          <w:szCs w:val="22"/>
        </w:rPr>
      </w:pPr>
    </w:p>
    <w:p w14:paraId="5DB6CE1F" w14:textId="2D11EBBF" w:rsidR="00811AE0" w:rsidRPr="00490735" w:rsidRDefault="00811AE0" w:rsidP="00811AE0">
      <w:pPr>
        <w:pStyle w:val="Heading3"/>
      </w:pPr>
      <w:r w:rsidRPr="00490735">
        <w:lastRenderedPageBreak/>
        <w:t xml:space="preserve">The 2018 Joint Statement further </w:t>
      </w:r>
      <w:r w:rsidR="007A2827">
        <w:t>adde</w:t>
      </w:r>
      <w:r w:rsidRPr="00490735">
        <w:t>d</w:t>
      </w:r>
      <w:r w:rsidR="00F838DA" w:rsidRPr="00490735">
        <w:t xml:space="preserve"> that</w:t>
      </w:r>
      <w:r w:rsidRPr="00490735">
        <w:t xml:space="preserve"> "with respect to important infrastructure initiatives, that as important trade and investment partners, the EU and the PRC should continue to align the development and implementation of major initiatives, and deepen cooperation in trade, investment facilitation, e-commerce, connectivity, infrastructure, IT, energy, people-to-people contacts and other fields". Authorities on both sides</w:t>
      </w:r>
      <w:r w:rsidR="00F838DA" w:rsidRPr="00490735">
        <w:t>,</w:t>
      </w:r>
      <w:r w:rsidRPr="00490735">
        <w:t xml:space="preserve"> it added</w:t>
      </w:r>
      <w:r w:rsidR="00F838DA" w:rsidRPr="00490735">
        <w:t>,</w:t>
      </w:r>
      <w:r w:rsidRPr="00490735">
        <w:t xml:space="preserve"> should "ensure all joint initiatives and projects are fiscally and environmentally sustainable, and thus, contribute to the achievement of the SDGs". </w:t>
      </w:r>
      <w:r w:rsidR="00F838DA" w:rsidRPr="00490735">
        <w:t xml:space="preserve">The statement </w:t>
      </w:r>
      <w:r w:rsidR="007A2827">
        <w:t>underlin</w:t>
      </w:r>
      <w:r w:rsidR="00F838DA" w:rsidRPr="00490735">
        <w:t>ed</w:t>
      </w:r>
      <w:r w:rsidRPr="00490735">
        <w:t xml:space="preserve"> that "both the 2030 Agenda and the Paris Agreement highlight the outstanding needs for global infrastructure, and finds that all SDGs need to be taken into consideration in the context of the BRI and the Euro-Asian Connectivity Strategy".</w:t>
      </w:r>
    </w:p>
    <w:p w14:paraId="490E5E77" w14:textId="77777777" w:rsidR="00811AE0" w:rsidRPr="00490735" w:rsidRDefault="00811AE0" w:rsidP="00811AE0">
      <w:pPr>
        <w:rPr>
          <w:rFonts w:ascii="Times New Roman" w:hAnsi="Times New Roman" w:cs="Times New Roman"/>
          <w:sz w:val="22"/>
          <w:szCs w:val="22"/>
        </w:rPr>
      </w:pPr>
    </w:p>
    <w:p w14:paraId="474AE7F4" w14:textId="5E8C4EB0" w:rsidR="00811AE0" w:rsidRPr="00490735" w:rsidRDefault="00811AE0" w:rsidP="0074082C">
      <w:pPr>
        <w:pStyle w:val="Heading3"/>
      </w:pPr>
      <w:r w:rsidRPr="00490735">
        <w:t xml:space="preserve">The </w:t>
      </w:r>
      <w:r w:rsidR="00091E53" w:rsidRPr="00490735">
        <w:t xml:space="preserve">2018 </w:t>
      </w:r>
      <w:r w:rsidRPr="00490735">
        <w:t xml:space="preserve">Round Table </w:t>
      </w:r>
      <w:r w:rsidR="00F838DA" w:rsidRPr="00490735">
        <w:t>concluded:</w:t>
      </w:r>
      <w:r w:rsidRPr="00490735">
        <w:t xml:space="preserve"> "that, for major projects to be beneficial to both sides, they need to deliver mutual benefit and to be transparent, interoperable, reciprocal and sustainable, based on consultation, contribution and shared benefits".</w:t>
      </w:r>
      <w:r w:rsidR="00FE0B01" w:rsidRPr="00490735">
        <w:t xml:space="preserve"> </w:t>
      </w:r>
    </w:p>
    <w:p w14:paraId="1FB144A0" w14:textId="77777777" w:rsidR="00811AE0" w:rsidRPr="00490735" w:rsidRDefault="00811AE0" w:rsidP="00811AE0">
      <w:pPr>
        <w:rPr>
          <w:rFonts w:ascii="Times New Roman" w:hAnsi="Times New Roman" w:cs="Times New Roman"/>
          <w:sz w:val="22"/>
          <w:szCs w:val="22"/>
        </w:rPr>
      </w:pPr>
    </w:p>
    <w:p w14:paraId="6EA25E74" w14:textId="50C5E9C0" w:rsidR="00811AE0" w:rsidRPr="00490735" w:rsidRDefault="00091E53" w:rsidP="00811AE0">
      <w:pPr>
        <w:pStyle w:val="Heading2"/>
      </w:pPr>
      <w:r w:rsidRPr="00490735">
        <w:t xml:space="preserve">As previously noted, the </w:t>
      </w:r>
      <w:r w:rsidR="00811AE0" w:rsidRPr="00490735">
        <w:t>most relevant SDGs</w:t>
      </w:r>
      <w:r w:rsidRPr="00490735">
        <w:t xml:space="preserve"> concerning</w:t>
      </w:r>
      <w:r w:rsidR="00811AE0" w:rsidRPr="00490735">
        <w:t xml:space="preserve"> the BRI include:</w:t>
      </w:r>
    </w:p>
    <w:p w14:paraId="51BA8161" w14:textId="77777777" w:rsidR="00811AE0" w:rsidRPr="00490735" w:rsidRDefault="00811AE0" w:rsidP="00811AE0">
      <w:pPr>
        <w:pStyle w:val="Heading2"/>
        <w:numPr>
          <w:ilvl w:val="0"/>
          <w:numId w:val="2"/>
        </w:numPr>
        <w:ind w:left="851" w:hanging="284"/>
      </w:pPr>
      <w:r w:rsidRPr="00490735">
        <w:t>Goal 6 (Clean water and sanitation),</w:t>
      </w:r>
    </w:p>
    <w:p w14:paraId="7B024B17" w14:textId="402671C9" w:rsidR="00811AE0" w:rsidRPr="00490735" w:rsidRDefault="00811AE0" w:rsidP="00811AE0">
      <w:pPr>
        <w:pStyle w:val="Heading2"/>
        <w:numPr>
          <w:ilvl w:val="0"/>
          <w:numId w:val="2"/>
        </w:numPr>
        <w:ind w:left="851" w:hanging="284"/>
      </w:pPr>
      <w:r w:rsidRPr="00490735">
        <w:t>Goal 7 (En</w:t>
      </w:r>
      <w:r w:rsidR="0074082C" w:rsidRPr="00490735">
        <w:t>ergy</w:t>
      </w:r>
      <w:r w:rsidRPr="00490735">
        <w:t>),</w:t>
      </w:r>
    </w:p>
    <w:p w14:paraId="22079DEE" w14:textId="10DEA923" w:rsidR="00811AE0" w:rsidRPr="00490735" w:rsidRDefault="00811AE0" w:rsidP="00811AE0">
      <w:pPr>
        <w:pStyle w:val="Heading2"/>
        <w:numPr>
          <w:ilvl w:val="0"/>
          <w:numId w:val="2"/>
        </w:numPr>
        <w:ind w:left="851" w:hanging="284"/>
      </w:pPr>
      <w:r w:rsidRPr="00490735">
        <w:t>Goal 9 (</w:t>
      </w:r>
      <w:r w:rsidR="0074082C" w:rsidRPr="00490735">
        <w:t>Infrastructure</w:t>
      </w:r>
      <w:r w:rsidRPr="00490735">
        <w:t>),</w:t>
      </w:r>
    </w:p>
    <w:p w14:paraId="19426E95" w14:textId="49BDC6B5" w:rsidR="00811AE0" w:rsidRPr="00490735" w:rsidRDefault="00811AE0" w:rsidP="00811AE0">
      <w:pPr>
        <w:pStyle w:val="Heading2"/>
        <w:numPr>
          <w:ilvl w:val="0"/>
          <w:numId w:val="2"/>
        </w:numPr>
        <w:ind w:left="851" w:hanging="284"/>
      </w:pPr>
      <w:r w:rsidRPr="00490735">
        <w:t>Goal 8 (</w:t>
      </w:r>
      <w:r w:rsidR="0074082C" w:rsidRPr="00490735">
        <w:t>I</w:t>
      </w:r>
      <w:r w:rsidRPr="00490735">
        <w:t>nclusive</w:t>
      </w:r>
      <w:r w:rsidR="0074082C" w:rsidRPr="00490735">
        <w:t>/</w:t>
      </w:r>
      <w:r w:rsidRPr="00490735">
        <w:t xml:space="preserve"> sustainable economic growth, em</w:t>
      </w:r>
      <w:r w:rsidR="0074082C" w:rsidRPr="00490735">
        <w:t>ployment and decent work</w:t>
      </w:r>
      <w:r w:rsidRPr="00490735">
        <w:t>), and</w:t>
      </w:r>
    </w:p>
    <w:p w14:paraId="249909AC" w14:textId="205328C7" w:rsidR="00811AE0" w:rsidRPr="00490735" w:rsidRDefault="00D5344B" w:rsidP="00811AE0">
      <w:pPr>
        <w:pStyle w:val="Heading2"/>
        <w:numPr>
          <w:ilvl w:val="0"/>
          <w:numId w:val="2"/>
        </w:numPr>
        <w:ind w:left="851" w:hanging="284"/>
      </w:pPr>
      <w:r w:rsidRPr="00490735">
        <w:t xml:space="preserve">Goal 14 </w:t>
      </w:r>
      <w:r w:rsidR="00811AE0" w:rsidRPr="00490735">
        <w:t>(</w:t>
      </w:r>
      <w:r w:rsidR="0074082C" w:rsidRPr="00490735">
        <w:t>O</w:t>
      </w:r>
      <w:r w:rsidR="00811AE0" w:rsidRPr="00490735">
        <w:t>ceans, seas and marine resources).</w:t>
      </w:r>
    </w:p>
    <w:p w14:paraId="1E14C029" w14:textId="77777777" w:rsidR="00811AE0" w:rsidRPr="00490735" w:rsidRDefault="00811AE0" w:rsidP="00811AE0">
      <w:pPr>
        <w:outlineLvl w:val="2"/>
        <w:rPr>
          <w:rFonts w:ascii="Times New Roman" w:hAnsi="Times New Roman" w:cs="Times New Roman"/>
          <w:sz w:val="22"/>
          <w:szCs w:val="22"/>
        </w:rPr>
      </w:pPr>
    </w:p>
    <w:p w14:paraId="46624484" w14:textId="564EB55E" w:rsidR="00F34C26" w:rsidRPr="00490735" w:rsidRDefault="00811AE0" w:rsidP="00932BB5">
      <w:pPr>
        <w:pStyle w:val="Heading3"/>
        <w:spacing w:line="276" w:lineRule="auto"/>
      </w:pPr>
      <w:r w:rsidRPr="00490735">
        <w:t xml:space="preserve">Many other SDGs </w:t>
      </w:r>
      <w:r w:rsidR="00091E53" w:rsidRPr="00490735">
        <w:t xml:space="preserve">must </w:t>
      </w:r>
      <w:r w:rsidRPr="00490735">
        <w:t>also be taken into a</w:t>
      </w:r>
      <w:r w:rsidR="00D5344B" w:rsidRPr="00490735">
        <w:t>ccount, notably Goal 5 (</w:t>
      </w:r>
      <w:r w:rsidRPr="00490735">
        <w:t>Gender Equality), Goal 11 (Sustainable Cities and Communities), Goal 12 (</w:t>
      </w:r>
      <w:r w:rsidR="00D5344B" w:rsidRPr="00490735">
        <w:t>S</w:t>
      </w:r>
      <w:r w:rsidRPr="00490735">
        <w:t>ustainable con</w:t>
      </w:r>
      <w:r w:rsidR="00D5344B" w:rsidRPr="00490735">
        <w:t>sumption and production</w:t>
      </w:r>
      <w:r w:rsidRPr="00490735">
        <w:t xml:space="preserve">), and Goal 15 (Sustainably manage forests, combat desertification, halt and reverse land degradation, halt biodiversity loss). </w:t>
      </w:r>
    </w:p>
    <w:p w14:paraId="5A583221" w14:textId="77777777" w:rsidR="00F34C26" w:rsidRPr="00490735" w:rsidRDefault="00F34C26" w:rsidP="00F34C26">
      <w:pPr>
        <w:rPr>
          <w:rFonts w:ascii="Times New Roman" w:hAnsi="Times New Roman" w:cs="Times New Roman"/>
          <w:sz w:val="22"/>
          <w:szCs w:val="22"/>
        </w:rPr>
      </w:pPr>
    </w:p>
    <w:p w14:paraId="1D03AF83" w14:textId="77777777" w:rsidR="00F34C26" w:rsidRPr="00D9388D" w:rsidRDefault="00F34C26" w:rsidP="00F34C26">
      <w:pPr>
        <w:pStyle w:val="Heading1"/>
        <w:rPr>
          <w:b/>
        </w:rPr>
      </w:pPr>
      <w:r w:rsidRPr="00D9388D">
        <w:rPr>
          <w:b/>
        </w:rPr>
        <w:t>EU – PR China co-operation on Climate Change</w:t>
      </w:r>
      <w:r w:rsidRPr="00D9388D">
        <w:t xml:space="preserve"> </w:t>
      </w:r>
    </w:p>
    <w:p w14:paraId="53138AE4" w14:textId="77777777" w:rsidR="00F34C26" w:rsidRPr="00490735" w:rsidRDefault="00F34C26" w:rsidP="00F34C26">
      <w:pPr>
        <w:pStyle w:val="Heading1"/>
        <w:numPr>
          <w:ilvl w:val="0"/>
          <w:numId w:val="0"/>
        </w:numPr>
        <w:ind w:left="567"/>
        <w:rPr>
          <w:b/>
          <w:u w:val="single"/>
        </w:rPr>
      </w:pPr>
    </w:p>
    <w:p w14:paraId="3A286F06" w14:textId="2AD676FB" w:rsidR="00162D39" w:rsidRPr="00490735" w:rsidRDefault="00162D39" w:rsidP="00F34C26">
      <w:pPr>
        <w:pStyle w:val="Heading2"/>
        <w:rPr>
          <w:b/>
          <w:u w:val="single"/>
        </w:rPr>
      </w:pPr>
      <w:r w:rsidRPr="00490735">
        <w:t>At the</w:t>
      </w:r>
      <w:r w:rsidR="009F6F85">
        <w:t xml:space="preserve"> Brussels</w:t>
      </w:r>
      <w:r w:rsidRPr="00490735">
        <w:t xml:space="preserve"> 21</w:t>
      </w:r>
      <w:r w:rsidRPr="00490735">
        <w:rPr>
          <w:vertAlign w:val="superscript"/>
        </w:rPr>
        <w:t xml:space="preserve">st </w:t>
      </w:r>
      <w:r w:rsidRPr="00490735">
        <w:t xml:space="preserve">EU – China Summit, both sides </w:t>
      </w:r>
      <w:r w:rsidR="0008487F" w:rsidRPr="00490735">
        <w:t>reconfirmed the</w:t>
      </w:r>
      <w:r w:rsidR="00716C11" w:rsidRPr="00490735">
        <w:t xml:space="preserve"> commitment made at</w:t>
      </w:r>
      <w:r w:rsidRPr="00490735">
        <w:t xml:space="preserve"> the 20th Summit in July 2018 t</w:t>
      </w:r>
      <w:r w:rsidR="0008487F" w:rsidRPr="00490735">
        <w:t>hat climate change</w:t>
      </w:r>
      <w:r w:rsidRPr="00490735">
        <w:t xml:space="preserve"> will become a “main pillar</w:t>
      </w:r>
      <w:r w:rsidR="00EF2FF0">
        <w:t>"</w:t>
      </w:r>
      <w:r w:rsidR="0008487F" w:rsidRPr="00490735">
        <w:t xml:space="preserve"> of their relationship</w:t>
      </w:r>
      <w:r w:rsidRPr="00490735">
        <w:t xml:space="preserve">. The </w:t>
      </w:r>
      <w:r w:rsidR="009F6F85">
        <w:t xml:space="preserve">April </w:t>
      </w:r>
      <w:r w:rsidRPr="00490735">
        <w:t xml:space="preserve">2019 </w:t>
      </w:r>
      <w:r w:rsidR="00EF2FF0">
        <w:t xml:space="preserve">Summit </w:t>
      </w:r>
      <w:r w:rsidRPr="00490735">
        <w:t>Joint Statement</w:t>
      </w:r>
      <w:r w:rsidR="004C591B" w:rsidRPr="00490735">
        <w:t xml:space="preserve"> underlined the “strong commitment to implement the Paris Agreement” and </w:t>
      </w:r>
      <w:r w:rsidRPr="00490735">
        <w:t>stressed “the importance of showing resolve on the clean energy transition and of assuming greater lea</w:t>
      </w:r>
      <w:r w:rsidR="0008487F" w:rsidRPr="00490735">
        <w:t>d</w:t>
      </w:r>
      <w:r w:rsidRPr="00490735">
        <w:t>ership on the global environment</w:t>
      </w:r>
      <w:r w:rsidR="0008487F" w:rsidRPr="00490735">
        <w:t>a</w:t>
      </w:r>
      <w:r w:rsidR="00847233" w:rsidRPr="00490735">
        <w:t>l agenda”. Both sides a</w:t>
      </w:r>
      <w:r w:rsidRPr="00490735">
        <w:t>greed to “reinforce their cooperation on green finance</w:t>
      </w:r>
      <w:r w:rsidR="00E445D8" w:rsidRPr="00490735">
        <w:t xml:space="preserve"> in order to harness private capital flows towards a more environmentally sustainable</w:t>
      </w:r>
      <w:r w:rsidR="008D10D2">
        <w:t>”</w:t>
      </w:r>
      <w:r w:rsidR="007B29E5" w:rsidRPr="00490735">
        <w:t xml:space="preserve"> and therefore carbon-neutral</w:t>
      </w:r>
      <w:r w:rsidR="00E445D8" w:rsidRPr="00490735">
        <w:t xml:space="preserve"> economy, </w:t>
      </w:r>
      <w:r w:rsidRPr="00490735">
        <w:t xml:space="preserve">and </w:t>
      </w:r>
      <w:r w:rsidR="0008487F" w:rsidRPr="00490735">
        <w:t>t</w:t>
      </w:r>
      <w:r w:rsidRPr="00490735">
        <w:t xml:space="preserve">o work together towards a successful outcome </w:t>
      </w:r>
      <w:r w:rsidR="00E445D8" w:rsidRPr="00490735">
        <w:t xml:space="preserve">of </w:t>
      </w:r>
      <w:r w:rsidR="009F6F85">
        <w:t xml:space="preserve">both </w:t>
      </w:r>
      <w:r w:rsidRPr="00490735">
        <w:t>the UN climate</w:t>
      </w:r>
      <w:r w:rsidR="00E445D8" w:rsidRPr="00490735">
        <w:t xml:space="preserve"> and SDG</w:t>
      </w:r>
      <w:r w:rsidRPr="00490735">
        <w:t xml:space="preserve"> summit</w:t>
      </w:r>
      <w:r w:rsidR="00E445D8" w:rsidRPr="00490735">
        <w:t>s</w:t>
      </w:r>
      <w:r w:rsidRPr="00490735">
        <w:t xml:space="preserve"> </w:t>
      </w:r>
      <w:r w:rsidR="009F6F85">
        <w:t>i</w:t>
      </w:r>
      <w:r w:rsidR="008D10D2">
        <w:t xml:space="preserve">n </w:t>
      </w:r>
      <w:r w:rsidRPr="00490735">
        <w:t>September.</w:t>
      </w:r>
    </w:p>
    <w:p w14:paraId="677C92FF" w14:textId="4DD13D67" w:rsidR="00162D39" w:rsidRPr="00490735" w:rsidRDefault="00162D39" w:rsidP="00162D39">
      <w:pPr>
        <w:pStyle w:val="Heading2"/>
        <w:numPr>
          <w:ilvl w:val="0"/>
          <w:numId w:val="0"/>
        </w:numPr>
        <w:ind w:left="567"/>
        <w:rPr>
          <w:b/>
          <w:u w:val="single"/>
        </w:rPr>
      </w:pPr>
    </w:p>
    <w:p w14:paraId="22B03DBD" w14:textId="10C6E5E0" w:rsidR="00FD7B17" w:rsidRPr="00490735" w:rsidRDefault="00162D39" w:rsidP="00162D39">
      <w:pPr>
        <w:pStyle w:val="Heading3"/>
      </w:pPr>
      <w:r w:rsidRPr="00490735">
        <w:t>The 20</w:t>
      </w:r>
      <w:r w:rsidRPr="00490735">
        <w:rPr>
          <w:vertAlign w:val="superscript"/>
        </w:rPr>
        <w:t>th</w:t>
      </w:r>
      <w:r w:rsidRPr="00490735">
        <w:t xml:space="preserve"> Summit</w:t>
      </w:r>
      <w:r w:rsidR="00FD7B17" w:rsidRPr="00490735">
        <w:t xml:space="preserve"> put climate change at the heart of the EU – China relationship</w:t>
      </w:r>
      <w:r w:rsidR="00847233" w:rsidRPr="00490735">
        <w:t>, highlighting</w:t>
      </w:r>
      <w:r w:rsidR="00FD7B17" w:rsidRPr="00490735">
        <w:t xml:space="preserve"> the intention </w:t>
      </w:r>
      <w:r w:rsidR="008C311D" w:rsidRPr="00490735">
        <w:t xml:space="preserve">to work </w:t>
      </w:r>
      <w:r w:rsidR="00FD7B17" w:rsidRPr="00490735">
        <w:t xml:space="preserve">together to drive the </w:t>
      </w:r>
      <w:r w:rsidR="008D10D2">
        <w:t>whole</w:t>
      </w:r>
      <w:r w:rsidR="008C311D" w:rsidRPr="00490735">
        <w:t xml:space="preserve"> climate process forward.  It described</w:t>
      </w:r>
      <w:r w:rsidR="00FD7B17" w:rsidRPr="00490735">
        <w:t xml:space="preserve"> a series of joint steps, including “triangular” cooperation with developing countries to increase their capacity to combat climate change and build clean energy. </w:t>
      </w:r>
    </w:p>
    <w:p w14:paraId="6C5A427B" w14:textId="77777777" w:rsidR="00FD7B17" w:rsidRPr="00490735" w:rsidRDefault="00FD7B17" w:rsidP="00FD7B17">
      <w:pPr>
        <w:rPr>
          <w:rFonts w:ascii="Times New Roman" w:hAnsi="Times New Roman" w:cs="Times New Roman"/>
          <w:sz w:val="22"/>
          <w:szCs w:val="22"/>
        </w:rPr>
      </w:pPr>
    </w:p>
    <w:p w14:paraId="32EA10A2" w14:textId="77777777" w:rsidR="00D8137A" w:rsidRPr="00490735" w:rsidRDefault="00FD7B17" w:rsidP="00162D39">
      <w:pPr>
        <w:pStyle w:val="Heading3"/>
      </w:pPr>
      <w:r w:rsidRPr="00490735">
        <w:t xml:space="preserve">It </w:t>
      </w:r>
      <w:r w:rsidR="008C311D" w:rsidRPr="00490735">
        <w:t xml:space="preserve">also </w:t>
      </w:r>
      <w:r w:rsidRPr="00490735">
        <w:t xml:space="preserve">declared that the Paris Agreement was “proof that with shared political will and mutual trust, multilateralism can success in building fair and effective solutions to the </w:t>
      </w:r>
      <w:r w:rsidRPr="00490735">
        <w:lastRenderedPageBreak/>
        <w:t>most critical global problems of our time”.</w:t>
      </w:r>
      <w:r w:rsidR="008C311D" w:rsidRPr="00490735">
        <w:t xml:space="preserve"> It called on “all parties” to uphold the Agreement, which of course should include the US.</w:t>
      </w:r>
      <w:r w:rsidR="00D8137A" w:rsidRPr="00490735">
        <w:t xml:space="preserve"> </w:t>
      </w:r>
    </w:p>
    <w:p w14:paraId="32D7DE04" w14:textId="77777777" w:rsidR="00D8137A" w:rsidRPr="00490735" w:rsidRDefault="00D8137A" w:rsidP="00D8137A">
      <w:pPr>
        <w:rPr>
          <w:rFonts w:ascii="Times New Roman" w:hAnsi="Times New Roman" w:cs="Times New Roman"/>
          <w:sz w:val="22"/>
          <w:szCs w:val="22"/>
        </w:rPr>
      </w:pPr>
    </w:p>
    <w:p w14:paraId="7EDF414A" w14:textId="6694C1BA" w:rsidR="00971545" w:rsidRPr="00490735" w:rsidRDefault="00D8137A" w:rsidP="00D8137A">
      <w:pPr>
        <w:pStyle w:val="Heading2"/>
      </w:pPr>
      <w:r w:rsidRPr="00490735">
        <w:t xml:space="preserve">COP24, the 2018 UN </w:t>
      </w:r>
      <w:r w:rsidR="005506D7" w:rsidRPr="00490735">
        <w:t>Climate Change Conference held in Katowice,</w:t>
      </w:r>
      <w:r w:rsidRPr="00490735">
        <w:t xml:space="preserve"> </w:t>
      </w:r>
      <w:r w:rsidR="00971545" w:rsidRPr="00490735">
        <w:t>agreed the r</w:t>
      </w:r>
      <w:r w:rsidRPr="00490735">
        <w:t>ules to implement the Paris Agreement</w:t>
      </w:r>
      <w:r w:rsidR="00971545" w:rsidRPr="00490735">
        <w:t xml:space="preserve">, which is due to come into </w:t>
      </w:r>
      <w:r w:rsidR="00910B18" w:rsidRPr="00490735">
        <w:t xml:space="preserve">full </w:t>
      </w:r>
      <w:r w:rsidR="00971545" w:rsidRPr="00490735">
        <w:t>force in 2020</w:t>
      </w:r>
      <w:r w:rsidR="008B2C87">
        <w:t>, when new targets will be set</w:t>
      </w:r>
      <w:r w:rsidR="00971545" w:rsidRPr="00490735">
        <w:t xml:space="preserve">. These set out how governments will measure and report on their emissions cutting efforts, but other </w:t>
      </w:r>
      <w:r w:rsidR="00910B18" w:rsidRPr="00490735">
        <w:t>issues</w:t>
      </w:r>
      <w:r w:rsidR="00971545" w:rsidRPr="00490735">
        <w:t>, such as ways to increase existing commitments or support for poorer countries, were postponed.</w:t>
      </w:r>
      <w:r w:rsidR="002657D1" w:rsidRPr="00490735">
        <w:t xml:space="preserve"> </w:t>
      </w:r>
      <w:r w:rsidR="00716C11" w:rsidRPr="00490735">
        <w:t xml:space="preserve">As already mentioned, the IPCC report shows that an increase of 1.5°C would already have grave consequences, yet </w:t>
      </w:r>
      <w:r w:rsidR="002657D1" w:rsidRPr="00490735">
        <w:t xml:space="preserve">current targets </w:t>
      </w:r>
      <w:r w:rsidR="008D10D2">
        <w:t>could lead to a</w:t>
      </w:r>
      <w:r w:rsidR="002657D1" w:rsidRPr="00490735">
        <w:t xml:space="preserve"> temperature increase </w:t>
      </w:r>
      <w:r w:rsidR="008D10D2">
        <w:t>of</w:t>
      </w:r>
      <w:r w:rsidR="002657D1" w:rsidRPr="00490735">
        <w:t xml:space="preserve"> 3°C.</w:t>
      </w:r>
    </w:p>
    <w:p w14:paraId="43F4CF1C" w14:textId="77777777" w:rsidR="00A34B51" w:rsidRPr="00490735" w:rsidRDefault="00A34B51" w:rsidP="00A34B51">
      <w:pPr>
        <w:rPr>
          <w:rFonts w:ascii="Times New Roman" w:hAnsi="Times New Roman" w:cs="Times New Roman"/>
          <w:sz w:val="22"/>
          <w:szCs w:val="22"/>
        </w:rPr>
      </w:pPr>
    </w:p>
    <w:p w14:paraId="6711A1EC" w14:textId="36028808" w:rsidR="00A34B51" w:rsidRPr="00490735" w:rsidRDefault="00A34B51" w:rsidP="00041C66">
      <w:pPr>
        <w:pStyle w:val="Heading2"/>
      </w:pPr>
      <w:r w:rsidRPr="00490735">
        <w:t xml:space="preserve">China is one of the main brokers of the Paris Agreement, which the EU has welcomed. In advance of COP24, it was notable that China took a leading role in hosting many of the preparatory meetings. </w:t>
      </w:r>
      <w:r w:rsidR="00967860" w:rsidRPr="00490735">
        <w:t>This co</w:t>
      </w:r>
      <w:r w:rsidRPr="00490735">
        <w:t xml:space="preserve">ntrasted strongly </w:t>
      </w:r>
      <w:r w:rsidR="00967860" w:rsidRPr="00490735">
        <w:t xml:space="preserve">with </w:t>
      </w:r>
      <w:r w:rsidRPr="00490735">
        <w:t xml:space="preserve">some </w:t>
      </w:r>
      <w:r w:rsidR="00967860" w:rsidRPr="00490735">
        <w:t xml:space="preserve">other countries, </w:t>
      </w:r>
      <w:r w:rsidRPr="00490735">
        <w:t>notably</w:t>
      </w:r>
      <w:r w:rsidR="00967860" w:rsidRPr="00490735">
        <w:t xml:space="preserve"> the US and Russia, who refused to give full backing to the IPCC report.</w:t>
      </w:r>
      <w:r w:rsidRPr="00490735">
        <w:t xml:space="preserve"> </w:t>
      </w:r>
    </w:p>
    <w:p w14:paraId="3698D9A4" w14:textId="77777777" w:rsidR="00A34B51" w:rsidRPr="00490735" w:rsidRDefault="00A34B51" w:rsidP="00A34B51">
      <w:pPr>
        <w:rPr>
          <w:rFonts w:ascii="Times New Roman" w:hAnsi="Times New Roman" w:cs="Times New Roman"/>
          <w:sz w:val="22"/>
          <w:szCs w:val="22"/>
        </w:rPr>
      </w:pPr>
    </w:p>
    <w:p w14:paraId="6C9B12C2" w14:textId="4D9BFFB1" w:rsidR="00322079" w:rsidRPr="00490735" w:rsidRDefault="00A34B51" w:rsidP="00322079">
      <w:pPr>
        <w:pStyle w:val="Heading3"/>
        <w:spacing w:line="276" w:lineRule="auto"/>
        <w:rPr>
          <w:color w:val="14171A"/>
          <w:spacing w:val="4"/>
          <w:shd w:val="clear" w:color="auto" w:fill="FFFFFF"/>
        </w:rPr>
      </w:pPr>
      <w:r w:rsidRPr="00490735">
        <w:t xml:space="preserve">China </w:t>
      </w:r>
      <w:r w:rsidR="008D10D2">
        <w:t xml:space="preserve">however </w:t>
      </w:r>
      <w:r w:rsidRPr="00490735">
        <w:t>faces as strong a challenge as any country</w:t>
      </w:r>
      <w:r w:rsidR="0074082C" w:rsidRPr="00490735">
        <w:t xml:space="preserve"> to meet commitments made </w:t>
      </w:r>
      <w:r w:rsidR="008D10D2">
        <w:t>in</w:t>
      </w:r>
      <w:r w:rsidR="0074082C" w:rsidRPr="00490735">
        <w:t xml:space="preserve"> Paris</w:t>
      </w:r>
      <w:r w:rsidRPr="00490735">
        <w:t xml:space="preserve">. </w:t>
      </w:r>
      <w:r w:rsidR="00913FD9" w:rsidRPr="00490735">
        <w:t xml:space="preserve">China produces and uses more energy than any other country. </w:t>
      </w:r>
      <w:r w:rsidR="00322079" w:rsidRPr="00490735">
        <w:t>It</w:t>
      </w:r>
      <w:r w:rsidR="00322079" w:rsidRPr="00490735">
        <w:rPr>
          <w:color w:val="14171A"/>
          <w:spacing w:val="4"/>
          <w:shd w:val="clear" w:color="auto" w:fill="FFFFFF"/>
        </w:rPr>
        <w:t xml:space="preserve"> produces more CO2 than the EU and US combined, and more than 60 per cent of China’s power comes from coal.</w:t>
      </w:r>
    </w:p>
    <w:p w14:paraId="0720BB26" w14:textId="77777777" w:rsidR="00322079" w:rsidRPr="00490735" w:rsidRDefault="00322079" w:rsidP="00322079">
      <w:pPr>
        <w:rPr>
          <w:rFonts w:ascii="Times New Roman" w:hAnsi="Times New Roman" w:cs="Times New Roman"/>
          <w:sz w:val="22"/>
          <w:szCs w:val="22"/>
        </w:rPr>
      </w:pPr>
    </w:p>
    <w:p w14:paraId="0023AA60" w14:textId="0095205F" w:rsidR="00322079" w:rsidRPr="00490735" w:rsidRDefault="00322079" w:rsidP="00322079">
      <w:pPr>
        <w:pStyle w:val="Heading3"/>
        <w:spacing w:line="276" w:lineRule="auto"/>
      </w:pPr>
      <w:r w:rsidRPr="00490735">
        <w:rPr>
          <w:color w:val="14171A"/>
          <w:spacing w:val="4"/>
          <w:shd w:val="clear" w:color="auto" w:fill="FFFFFF"/>
        </w:rPr>
        <w:t>China</w:t>
      </w:r>
      <w:r w:rsidRPr="00490735">
        <w:rPr>
          <w:shd w:val="clear" w:color="auto" w:fill="FFFFFF"/>
        </w:rPr>
        <w:t xml:space="preserve"> is already the </w:t>
      </w:r>
      <w:r w:rsidRPr="00490735">
        <w:t xml:space="preserve">largest investor in renewable energy. It will nevertheless face a far harder task </w:t>
      </w:r>
      <w:r w:rsidR="005506D7" w:rsidRPr="00490735">
        <w:t xml:space="preserve">than most </w:t>
      </w:r>
      <w:r w:rsidRPr="00490735">
        <w:t>in sourcing 20% of its energy needs by 2030 from renewable energy sources and nuclear power. Tripling its share of non-fossil fuels will present a severe challenge if this target is to be met, and China will need major development of its emissions trading scheme. Nevertheless, China has committed to update its national climate pledge on time by 2020 in line with the Paris Agreement.</w:t>
      </w:r>
    </w:p>
    <w:p w14:paraId="3FDF32AF" w14:textId="77777777" w:rsidR="00322079" w:rsidRPr="00490735" w:rsidRDefault="00322079" w:rsidP="00322079">
      <w:pPr>
        <w:pStyle w:val="Heading3"/>
        <w:numPr>
          <w:ilvl w:val="0"/>
          <w:numId w:val="0"/>
        </w:numPr>
        <w:spacing w:line="276" w:lineRule="auto"/>
        <w:ind w:left="567"/>
      </w:pPr>
    </w:p>
    <w:p w14:paraId="70B38E97" w14:textId="7403811A" w:rsidR="00913FD9" w:rsidRPr="00490735" w:rsidRDefault="00322079" w:rsidP="00913FD9">
      <w:pPr>
        <w:pStyle w:val="Heading3"/>
        <w:spacing w:line="276" w:lineRule="auto"/>
      </w:pPr>
      <w:r w:rsidRPr="00490735">
        <w:t>T</w:t>
      </w:r>
      <w:r w:rsidR="00913FD9" w:rsidRPr="00490735">
        <w:t xml:space="preserve">he EU </w:t>
      </w:r>
      <w:r w:rsidRPr="00490735">
        <w:t xml:space="preserve">has </w:t>
      </w:r>
      <w:r w:rsidR="008D10D2">
        <w:t>welcomed China a</w:t>
      </w:r>
      <w:r w:rsidR="00913FD9" w:rsidRPr="00490735">
        <w:t xml:space="preserve">s a strategic partner on climate change and the clean energy transition. The </w:t>
      </w:r>
      <w:r w:rsidR="008D10D2" w:rsidRPr="00490735">
        <w:t>“EU – China – A Strategic outlook”</w:t>
      </w:r>
      <w:r w:rsidR="008D10D2">
        <w:t xml:space="preserve"> </w:t>
      </w:r>
      <w:r w:rsidR="005506D7" w:rsidRPr="00490735">
        <w:t xml:space="preserve">underlines </w:t>
      </w:r>
      <w:r w:rsidR="008D10D2">
        <w:t xml:space="preserve">that the EU </w:t>
      </w:r>
      <w:r w:rsidR="00913FD9" w:rsidRPr="00490735">
        <w:t>“needs to continue developing a strong relationship with China, given the sheer size of its emissions (around 27 % of the global amount), which continue to rise”.</w:t>
      </w:r>
      <w:r w:rsidRPr="00490735">
        <w:t xml:space="preserve"> </w:t>
      </w:r>
      <w:r w:rsidR="005506D7" w:rsidRPr="00490735">
        <w:t xml:space="preserve">It </w:t>
      </w:r>
      <w:r w:rsidRPr="00490735">
        <w:t>adds</w:t>
      </w:r>
      <w:r w:rsidR="008D10D2">
        <w:t>:</w:t>
      </w:r>
      <w:r w:rsidR="00913FD9" w:rsidRPr="00490735">
        <w:t xml:space="preserve"> “our partnership is essential for the success of global climate action, clean energy transition efforts and ocean governance”. </w:t>
      </w:r>
    </w:p>
    <w:p w14:paraId="6FFD0249" w14:textId="77777777" w:rsidR="00DC5DE7" w:rsidRPr="00490735" w:rsidRDefault="00DC5DE7" w:rsidP="00DC5DE7">
      <w:pPr>
        <w:rPr>
          <w:rFonts w:ascii="Times New Roman" w:hAnsi="Times New Roman" w:cs="Times New Roman"/>
          <w:sz w:val="22"/>
          <w:szCs w:val="22"/>
        </w:rPr>
      </w:pPr>
    </w:p>
    <w:p w14:paraId="26F5C837" w14:textId="6F85DDD3" w:rsidR="00D950BA" w:rsidRPr="00490735" w:rsidRDefault="00DC5DE7" w:rsidP="00DC5DE7">
      <w:pPr>
        <w:pStyle w:val="Heading3"/>
        <w:spacing w:line="276" w:lineRule="auto"/>
      </w:pPr>
      <w:r w:rsidRPr="00490735">
        <w:rPr>
          <w:color w:val="14171A"/>
          <w:spacing w:val="4"/>
          <w:shd w:val="clear" w:color="auto" w:fill="FFFFFF"/>
        </w:rPr>
        <w:t xml:space="preserve">As part of the Paris Agreement, China pledged to peak its greenhouse gas emissions by 2030. The EU nevertheless </w:t>
      </w:r>
      <w:r w:rsidRPr="00490735">
        <w:t>is seeking a commitment by China to peak emissions before then. This,</w:t>
      </w:r>
      <w:r w:rsidR="00EF2FF0">
        <w:t xml:space="preserve"> </w:t>
      </w:r>
      <w:r w:rsidR="008D10D2">
        <w:t>it</w:t>
      </w:r>
      <w:r w:rsidRPr="00490735">
        <w:t xml:space="preserve"> says, would give new impetus to fighting climate change in line with the Paris Agreement and inspire action globally. </w:t>
      </w:r>
    </w:p>
    <w:p w14:paraId="6E1A5D14" w14:textId="77777777" w:rsidR="00D950BA" w:rsidRPr="00490735" w:rsidRDefault="00D950BA" w:rsidP="00D950BA">
      <w:pPr>
        <w:rPr>
          <w:rFonts w:ascii="Times New Roman" w:hAnsi="Times New Roman" w:cs="Times New Roman"/>
          <w:sz w:val="22"/>
          <w:szCs w:val="22"/>
        </w:rPr>
      </w:pPr>
    </w:p>
    <w:p w14:paraId="78EAC5F1" w14:textId="74167FC5" w:rsidR="000E00B7" w:rsidRDefault="00041C66" w:rsidP="000E00B7">
      <w:pPr>
        <w:pStyle w:val="Heading3"/>
        <w:spacing w:line="276" w:lineRule="auto"/>
      </w:pPr>
      <w:r w:rsidRPr="00490735">
        <w:t xml:space="preserve">At the </w:t>
      </w:r>
      <w:r w:rsidR="00932BB5" w:rsidRPr="00490735">
        <w:t xml:space="preserve">same time, </w:t>
      </w:r>
      <w:r w:rsidR="00EF2FF0">
        <w:t>the EU</w:t>
      </w:r>
      <w:r w:rsidRPr="00490735">
        <w:t xml:space="preserve"> points out that </w:t>
      </w:r>
      <w:r w:rsidR="00932BB5" w:rsidRPr="00490735">
        <w:t>China is constructing coal-fired</w:t>
      </w:r>
      <w:r w:rsidRPr="00490735">
        <w:t xml:space="preserve"> </w:t>
      </w:r>
      <w:r w:rsidR="00932BB5" w:rsidRPr="00490735">
        <w:t>p</w:t>
      </w:r>
      <w:r w:rsidRPr="00490735">
        <w:t xml:space="preserve">ower stations in many countries, </w:t>
      </w:r>
      <w:r w:rsidR="00C90BC1" w:rsidRPr="00490735">
        <w:t xml:space="preserve">notably in Bosnia, </w:t>
      </w:r>
      <w:r w:rsidRPr="00490735">
        <w:t>which</w:t>
      </w:r>
      <w:r w:rsidR="00932BB5" w:rsidRPr="00490735">
        <w:t xml:space="preserve"> undermines the global goals </w:t>
      </w:r>
      <w:r w:rsidRPr="00490735">
        <w:t xml:space="preserve">set out in </w:t>
      </w:r>
      <w:r w:rsidR="00932BB5" w:rsidRPr="00490735">
        <w:t>the Paris</w:t>
      </w:r>
      <w:r w:rsidRPr="00490735">
        <w:t xml:space="preserve"> </w:t>
      </w:r>
      <w:r w:rsidR="00932BB5" w:rsidRPr="00490735">
        <w:t xml:space="preserve">Agreement. </w:t>
      </w:r>
      <w:r w:rsidR="00EF2FF0">
        <w:t>This matter need</w:t>
      </w:r>
      <w:r w:rsidR="008D10D2">
        <w:t>s</w:t>
      </w:r>
      <w:r w:rsidR="00EF2FF0">
        <w:t xml:space="preserve"> to be addressed.</w:t>
      </w:r>
    </w:p>
    <w:p w14:paraId="267BBD9D" w14:textId="7425F26B" w:rsidR="00EF2FF0" w:rsidRDefault="00EF2FF0" w:rsidP="00EF2FF0">
      <w:pPr>
        <w:rPr>
          <w:lang w:val="en-GB"/>
        </w:rPr>
      </w:pPr>
    </w:p>
    <w:p w14:paraId="6ED1F086" w14:textId="7370CEE7" w:rsidR="00EF2FF0" w:rsidRDefault="00EF2FF0" w:rsidP="00EF2FF0">
      <w:pPr>
        <w:rPr>
          <w:rFonts w:ascii="Times New Roman" w:hAnsi="Times New Roman" w:cs="Times New Roman"/>
          <w:sz w:val="22"/>
          <w:szCs w:val="22"/>
          <w:lang w:val="en-GB"/>
        </w:rPr>
      </w:pPr>
    </w:p>
    <w:p w14:paraId="49BE6C8D" w14:textId="18282593" w:rsidR="00D9388D" w:rsidRPr="00EF2FF0" w:rsidRDefault="00D9388D" w:rsidP="00D9388D">
      <w:pPr>
        <w:jc w:val="center"/>
        <w:rPr>
          <w:rFonts w:ascii="Times New Roman" w:hAnsi="Times New Roman" w:cs="Times New Roman"/>
          <w:sz w:val="22"/>
          <w:szCs w:val="22"/>
          <w:lang w:val="en-GB"/>
        </w:rPr>
      </w:pPr>
      <w:r>
        <w:rPr>
          <w:rFonts w:ascii="Times New Roman" w:hAnsi="Times New Roman" w:cs="Times New Roman"/>
          <w:sz w:val="22"/>
          <w:szCs w:val="22"/>
          <w:lang w:val="en-GB"/>
        </w:rPr>
        <w:t>______________</w:t>
      </w:r>
    </w:p>
    <w:p w14:paraId="0417FF3F" w14:textId="77777777" w:rsidR="000E00B7" w:rsidRPr="00490735" w:rsidRDefault="000E00B7" w:rsidP="000E00B7">
      <w:pPr>
        <w:rPr>
          <w:rFonts w:ascii="Times New Roman" w:hAnsi="Times New Roman" w:cs="Times New Roman"/>
          <w:sz w:val="22"/>
          <w:szCs w:val="22"/>
        </w:rPr>
      </w:pPr>
    </w:p>
    <w:p w14:paraId="43A07ED4" w14:textId="3C009633" w:rsidR="0016098D" w:rsidRPr="00490735" w:rsidRDefault="0016098D" w:rsidP="00DC5DE7">
      <w:pPr>
        <w:pStyle w:val="Heading3"/>
        <w:numPr>
          <w:ilvl w:val="0"/>
          <w:numId w:val="0"/>
        </w:numPr>
        <w:spacing w:line="276" w:lineRule="auto"/>
        <w:rPr>
          <w:color w:val="000000"/>
        </w:rPr>
      </w:pPr>
    </w:p>
    <w:sectPr w:rsidR="0016098D" w:rsidRPr="00490735" w:rsidSect="00AE7FBF">
      <w:head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D67F" w14:textId="77777777" w:rsidR="002A1EB9" w:rsidRDefault="002A1EB9" w:rsidP="00811AE0">
      <w:r>
        <w:separator/>
      </w:r>
    </w:p>
  </w:endnote>
  <w:endnote w:type="continuationSeparator" w:id="0">
    <w:p w14:paraId="3CDFCFDA" w14:textId="77777777" w:rsidR="002A1EB9" w:rsidRDefault="002A1EB9" w:rsidP="0081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E9A5" w14:textId="77777777" w:rsidR="002A1EB9" w:rsidRDefault="002A1EB9" w:rsidP="00811AE0">
      <w:r>
        <w:separator/>
      </w:r>
    </w:p>
  </w:footnote>
  <w:footnote w:type="continuationSeparator" w:id="0">
    <w:p w14:paraId="5DB63159" w14:textId="77777777" w:rsidR="002A1EB9" w:rsidRDefault="002A1EB9" w:rsidP="00811AE0">
      <w:r>
        <w:continuationSeparator/>
      </w:r>
    </w:p>
  </w:footnote>
  <w:footnote w:id="1">
    <w:p w14:paraId="48C59FDB" w14:textId="76D6EA81" w:rsidR="002A1EB9" w:rsidRPr="00AA3F23" w:rsidRDefault="002A1EB9" w:rsidP="008968A1">
      <w:pPr>
        <w:pStyle w:val="FootnoteText"/>
        <w:keepLines w:val="0"/>
        <w:spacing w:line="288" w:lineRule="auto"/>
        <w:rPr>
          <w:lang w:val="en-US"/>
        </w:rPr>
      </w:pPr>
      <w:r>
        <w:rPr>
          <w:rStyle w:val="FootnoteReference"/>
        </w:rPr>
        <w:footnoteRef/>
      </w:r>
      <w:r>
        <w:t xml:space="preserve"> </w:t>
      </w:r>
      <w:r>
        <w:tab/>
      </w:r>
      <w:r w:rsidRPr="00ED4C57">
        <w:t>The Paris Conference of the Parties to the UN Framework Convention on Climate Change (UNFCCC COP21).</w:t>
      </w:r>
    </w:p>
  </w:footnote>
  <w:footnote w:id="2">
    <w:p w14:paraId="08F31BC4" w14:textId="77777777" w:rsidR="002A1EB9" w:rsidRPr="00C233F3" w:rsidRDefault="002A1EB9" w:rsidP="00F86A2E">
      <w:pPr>
        <w:pStyle w:val="FootnoteText"/>
      </w:pPr>
      <w:r w:rsidRPr="00C233F3">
        <w:rPr>
          <w:rStyle w:val="FootnoteReference"/>
        </w:rPr>
        <w:footnoteRef/>
      </w:r>
      <w:r>
        <w:tab/>
      </w:r>
      <w:hyperlink r:id="rId1" w:history="1">
        <w:r w:rsidRPr="00C233F3">
          <w:rPr>
            <w:rStyle w:val="Hyperlink"/>
          </w:rPr>
          <w:t>Circular economy strategies and roadmaps in Europe: Identifying synergies and the potential for cooperation and alliance building</w:t>
        </w:r>
      </w:hyperlink>
      <w:r w:rsidRPr="00C233F3">
        <w:t xml:space="preserve"> (2019) by Spatial Foresight, on behalf of the EESC </w:t>
      </w:r>
    </w:p>
  </w:footnote>
  <w:footnote w:id="3">
    <w:p w14:paraId="0F7A004C" w14:textId="25A905EA" w:rsidR="002A1EB9" w:rsidRPr="00F02D59" w:rsidRDefault="002A1EB9">
      <w:pPr>
        <w:pStyle w:val="FootnoteText"/>
        <w:rPr>
          <w:lang w:val="en-US"/>
        </w:rPr>
      </w:pPr>
      <w:r>
        <w:rPr>
          <w:rStyle w:val="FootnoteReference"/>
        </w:rPr>
        <w:footnoteRef/>
      </w:r>
      <w:r>
        <w:t xml:space="preserve"> </w:t>
      </w:r>
      <w:r w:rsidRPr="00ED4C57">
        <w:t xml:space="preserve">MDG 8, </w:t>
      </w:r>
      <w:r w:rsidRPr="00ED4C57">
        <w:rPr>
          <w:i/>
        </w:rPr>
        <w:t>Develop a Global Partnership for Development</w:t>
      </w:r>
    </w:p>
  </w:footnote>
  <w:footnote w:id="4">
    <w:p w14:paraId="022C3607" w14:textId="77777777" w:rsidR="002A1EB9" w:rsidRPr="008070D1" w:rsidRDefault="002A1EB9" w:rsidP="008968A1">
      <w:pPr>
        <w:pStyle w:val="FootnoteText"/>
        <w:keepLines w:val="0"/>
        <w:spacing w:line="288" w:lineRule="auto"/>
        <w:rPr>
          <w:lang w:val="en-US"/>
        </w:rPr>
      </w:pPr>
      <w:r>
        <w:rPr>
          <w:rStyle w:val="FootnoteReference"/>
        </w:rPr>
        <w:footnoteRef/>
      </w:r>
      <w:r>
        <w:t xml:space="preserve"> </w:t>
      </w:r>
      <w:r>
        <w:tab/>
      </w:r>
      <w:r>
        <w:rPr>
          <w:lang w:val="en-US"/>
        </w:rPr>
        <w:t>UN Speech, 21.09.2016.</w:t>
      </w:r>
    </w:p>
  </w:footnote>
  <w:footnote w:id="5">
    <w:p w14:paraId="57F67A44" w14:textId="2E6AE1C4" w:rsidR="002A1EB9" w:rsidRPr="00476264" w:rsidRDefault="002A1EB9" w:rsidP="008968A1">
      <w:pPr>
        <w:pStyle w:val="FootnoteText"/>
        <w:keepLines w:val="0"/>
        <w:spacing w:line="288" w:lineRule="auto"/>
      </w:pPr>
      <w:r w:rsidRPr="00476264">
        <w:rPr>
          <w:rStyle w:val="FootnoteReference"/>
        </w:rPr>
        <w:footnoteRef/>
      </w:r>
      <w:r w:rsidRPr="00476264">
        <w:rPr>
          <w:rStyle w:val="FootnoteReference"/>
        </w:rPr>
        <w:t xml:space="preserve"> </w:t>
      </w:r>
      <w:r w:rsidRPr="00476264">
        <w:tab/>
      </w:r>
      <w:hyperlink r:id="rId2" w:history="1">
        <w:r w:rsidRPr="007D65AE">
          <w:rPr>
            <w:rStyle w:val="Hyperlink"/>
          </w:rPr>
          <w:t>https://www.wto.org/english/thewto_e/minist_e/mc10_e/mindecision_e.htm</w:t>
        </w:r>
      </w:hyperlink>
      <w:r w:rsidRPr="00BE464C">
        <w:t>.</w:t>
      </w:r>
    </w:p>
  </w:footnote>
  <w:footnote w:id="6">
    <w:p w14:paraId="05B7EE98" w14:textId="77777777" w:rsidR="002A1EB9" w:rsidRPr="001D2662" w:rsidRDefault="002A1EB9" w:rsidP="002F3B23">
      <w:pPr>
        <w:pStyle w:val="FootnoteText"/>
        <w:keepLines w:val="0"/>
        <w:spacing w:line="288" w:lineRule="auto"/>
        <w:rPr>
          <w:lang w:val="en-US"/>
        </w:rPr>
      </w:pPr>
      <w:r>
        <w:rPr>
          <w:rStyle w:val="FootnoteReference"/>
        </w:rPr>
        <w:footnoteRef/>
      </w:r>
      <w:r>
        <w:t xml:space="preserve"> </w:t>
      </w:r>
      <w:r>
        <w:tab/>
      </w:r>
      <w:hyperlink r:id="rId3" w:history="1">
        <w:proofErr w:type="gramStart"/>
        <w:r w:rsidRPr="00F31581">
          <w:rPr>
            <w:rStyle w:val="Hyperlink"/>
          </w:rPr>
          <w:t>SWD(</w:t>
        </w:r>
        <w:proofErr w:type="gramEnd"/>
        <w:r w:rsidRPr="00F31581">
          <w:rPr>
            <w:rStyle w:val="Hyperlink"/>
          </w:rPr>
          <w:t>2016) 390 final</w:t>
        </w:r>
      </w:hyperlink>
      <w:r>
        <w:t>.</w:t>
      </w:r>
    </w:p>
  </w:footnote>
  <w:footnote w:id="7">
    <w:p w14:paraId="7C48E53A" w14:textId="77777777" w:rsidR="002A1EB9" w:rsidRPr="00ED4C57" w:rsidRDefault="002A1EB9" w:rsidP="002F3B23">
      <w:pPr>
        <w:pStyle w:val="FootnoteText"/>
      </w:pPr>
      <w:r w:rsidRPr="00ED4C57">
        <w:rPr>
          <w:rStyle w:val="FootnoteReference"/>
        </w:rPr>
        <w:footnoteRef/>
      </w:r>
      <w:r w:rsidRPr="00ED4C57">
        <w:rPr>
          <w:rStyle w:val="FootnoteReference"/>
        </w:rPr>
        <w:t xml:space="preserve"> </w:t>
      </w:r>
      <w:r>
        <w:tab/>
      </w:r>
      <w:r w:rsidRPr="00ED4C57">
        <w:t xml:space="preserve">Art. </w:t>
      </w:r>
      <w:proofErr w:type="gramStart"/>
      <w:r w:rsidRPr="00ED4C57">
        <w:t>21</w:t>
      </w:r>
      <w:proofErr w:type="gramEnd"/>
      <w:r w:rsidRPr="00ED4C57">
        <w:t xml:space="preserve"> (3) TFEU.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235D" w14:textId="3ECC24D2" w:rsidR="00AE7FBF" w:rsidRDefault="00AE7FBF">
    <w:pPr>
      <w:pStyle w:val="Header"/>
    </w:pPr>
    <w:r>
      <w:rPr>
        <w:noProof/>
        <w:lang w:val="en-GB" w:eastAsia="en-GB"/>
      </w:rPr>
      <w:drawing>
        <wp:inline distT="0" distB="0" distL="0" distR="0" wp14:anchorId="38AD64DB" wp14:editId="25EDA95E">
          <wp:extent cx="5270500" cy="17570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270-1500x500-Twitter.jpg"/>
                  <pic:cNvPicPr/>
                </pic:nvPicPr>
                <pic:blipFill>
                  <a:blip r:embed="rId1">
                    <a:extLst>
                      <a:ext uri="{28A0092B-C50C-407E-A947-70E740481C1C}">
                        <a14:useLocalDpi xmlns:a14="http://schemas.microsoft.com/office/drawing/2010/main" val="0"/>
                      </a:ext>
                    </a:extLst>
                  </a:blip>
                  <a:stretch>
                    <a:fillRect/>
                  </a:stretch>
                </pic:blipFill>
                <pic:spPr>
                  <a:xfrm>
                    <a:off x="0" y="0"/>
                    <a:ext cx="5270500" cy="175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C866F1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1E179B"/>
    <w:multiLevelType w:val="singleLevel"/>
    <w:tmpl w:val="3D6E2202"/>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 w15:restartNumberingAfterBreak="0">
    <w:nsid w:val="18634309"/>
    <w:multiLevelType w:val="hybridMultilevel"/>
    <w:tmpl w:val="D7486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949A5"/>
    <w:multiLevelType w:val="singleLevel"/>
    <w:tmpl w:val="3D6E2202"/>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4" w15:restartNumberingAfterBreak="0">
    <w:nsid w:val="65083870"/>
    <w:multiLevelType w:val="singleLevel"/>
    <w:tmpl w:val="3D6E2202"/>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5" w15:restartNumberingAfterBreak="0">
    <w:nsid w:val="7D25523F"/>
    <w:multiLevelType w:val="singleLevel"/>
    <w:tmpl w:val="3D6E2202"/>
    <w:lvl w:ilvl="0">
      <w:start w:val="1"/>
      <w:numFmt w:val="bullet"/>
      <w:lvlRestart w:val="0"/>
      <w:lvlText w:val="-"/>
      <w:lvlJc w:val="left"/>
      <w:pPr>
        <w:tabs>
          <w:tab w:val="num" w:pos="0"/>
        </w:tabs>
        <w:ind w:left="283" w:hanging="283"/>
      </w:pPr>
      <w:rPr>
        <w:rFonts w:ascii="Symbol" w:hAnsi="Symbol" w:hint="default"/>
        <w:b w:val="0"/>
        <w:i w:val="0"/>
        <w:sz w:val="22"/>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A4"/>
    <w:rsid w:val="00024871"/>
    <w:rsid w:val="00041C66"/>
    <w:rsid w:val="0006048D"/>
    <w:rsid w:val="0008487F"/>
    <w:rsid w:val="00085DC7"/>
    <w:rsid w:val="00091E53"/>
    <w:rsid w:val="000C6152"/>
    <w:rsid w:val="000E00B7"/>
    <w:rsid w:val="000E3A49"/>
    <w:rsid w:val="0016098D"/>
    <w:rsid w:val="00162D39"/>
    <w:rsid w:val="00171161"/>
    <w:rsid w:val="001A5FD3"/>
    <w:rsid w:val="001B079D"/>
    <w:rsid w:val="001C6B39"/>
    <w:rsid w:val="001F26B2"/>
    <w:rsid w:val="00262E43"/>
    <w:rsid w:val="002657D1"/>
    <w:rsid w:val="00295195"/>
    <w:rsid w:val="00296B86"/>
    <w:rsid w:val="002A1EB9"/>
    <w:rsid w:val="002A38F7"/>
    <w:rsid w:val="002A3E3E"/>
    <w:rsid w:val="002B6615"/>
    <w:rsid w:val="002F3B23"/>
    <w:rsid w:val="003053E6"/>
    <w:rsid w:val="00322079"/>
    <w:rsid w:val="00360DCE"/>
    <w:rsid w:val="00382ED3"/>
    <w:rsid w:val="00391364"/>
    <w:rsid w:val="00393909"/>
    <w:rsid w:val="003A0710"/>
    <w:rsid w:val="003B1B67"/>
    <w:rsid w:val="003C2853"/>
    <w:rsid w:val="003D2972"/>
    <w:rsid w:val="003F6457"/>
    <w:rsid w:val="004558C7"/>
    <w:rsid w:val="00482211"/>
    <w:rsid w:val="00490735"/>
    <w:rsid w:val="00491DCA"/>
    <w:rsid w:val="004B7870"/>
    <w:rsid w:val="004C12F8"/>
    <w:rsid w:val="004C3B20"/>
    <w:rsid w:val="004C591B"/>
    <w:rsid w:val="004D6ABA"/>
    <w:rsid w:val="004E2774"/>
    <w:rsid w:val="00522466"/>
    <w:rsid w:val="00535BF9"/>
    <w:rsid w:val="005506D7"/>
    <w:rsid w:val="005515FC"/>
    <w:rsid w:val="00565A4D"/>
    <w:rsid w:val="00566F96"/>
    <w:rsid w:val="005B10A7"/>
    <w:rsid w:val="005B18AC"/>
    <w:rsid w:val="005C63E7"/>
    <w:rsid w:val="005E6E64"/>
    <w:rsid w:val="00621B03"/>
    <w:rsid w:val="006754A4"/>
    <w:rsid w:val="00687CCE"/>
    <w:rsid w:val="00692FD5"/>
    <w:rsid w:val="006B62AA"/>
    <w:rsid w:val="006B660B"/>
    <w:rsid w:val="006C72DF"/>
    <w:rsid w:val="006E769C"/>
    <w:rsid w:val="00711B18"/>
    <w:rsid w:val="00716C11"/>
    <w:rsid w:val="00726CE9"/>
    <w:rsid w:val="00726D4F"/>
    <w:rsid w:val="00731F6B"/>
    <w:rsid w:val="007363E9"/>
    <w:rsid w:val="0074082C"/>
    <w:rsid w:val="0075025D"/>
    <w:rsid w:val="007658A0"/>
    <w:rsid w:val="00793626"/>
    <w:rsid w:val="007A2827"/>
    <w:rsid w:val="007B29E5"/>
    <w:rsid w:val="007B3F92"/>
    <w:rsid w:val="007D47AC"/>
    <w:rsid w:val="007E045F"/>
    <w:rsid w:val="0080228F"/>
    <w:rsid w:val="00802B1E"/>
    <w:rsid w:val="00807E59"/>
    <w:rsid w:val="00811AE0"/>
    <w:rsid w:val="008129F2"/>
    <w:rsid w:val="008365F7"/>
    <w:rsid w:val="00847233"/>
    <w:rsid w:val="008545DE"/>
    <w:rsid w:val="0086180A"/>
    <w:rsid w:val="0089146C"/>
    <w:rsid w:val="008968A1"/>
    <w:rsid w:val="008B2C87"/>
    <w:rsid w:val="008C2513"/>
    <w:rsid w:val="008C2529"/>
    <w:rsid w:val="008C311D"/>
    <w:rsid w:val="008D10D2"/>
    <w:rsid w:val="008E749F"/>
    <w:rsid w:val="00910B18"/>
    <w:rsid w:val="00913FD9"/>
    <w:rsid w:val="00932BB5"/>
    <w:rsid w:val="00942273"/>
    <w:rsid w:val="009629CC"/>
    <w:rsid w:val="00966782"/>
    <w:rsid w:val="00967860"/>
    <w:rsid w:val="00971545"/>
    <w:rsid w:val="00972698"/>
    <w:rsid w:val="009B7270"/>
    <w:rsid w:val="009D0914"/>
    <w:rsid w:val="009D3AD4"/>
    <w:rsid w:val="009F29E2"/>
    <w:rsid w:val="009F6F85"/>
    <w:rsid w:val="00A01ED8"/>
    <w:rsid w:val="00A34B51"/>
    <w:rsid w:val="00A457AF"/>
    <w:rsid w:val="00A61E19"/>
    <w:rsid w:val="00A630AD"/>
    <w:rsid w:val="00A66B76"/>
    <w:rsid w:val="00AA1062"/>
    <w:rsid w:val="00AA786A"/>
    <w:rsid w:val="00AE4B51"/>
    <w:rsid w:val="00AE624E"/>
    <w:rsid w:val="00AE7FBF"/>
    <w:rsid w:val="00B30B0A"/>
    <w:rsid w:val="00B51E15"/>
    <w:rsid w:val="00B60872"/>
    <w:rsid w:val="00B61A22"/>
    <w:rsid w:val="00BB22EE"/>
    <w:rsid w:val="00BB79C9"/>
    <w:rsid w:val="00BC6D3C"/>
    <w:rsid w:val="00BD6F1C"/>
    <w:rsid w:val="00BE058E"/>
    <w:rsid w:val="00C05899"/>
    <w:rsid w:val="00C22FA2"/>
    <w:rsid w:val="00C3511C"/>
    <w:rsid w:val="00C61D16"/>
    <w:rsid w:val="00C738A4"/>
    <w:rsid w:val="00C753FA"/>
    <w:rsid w:val="00C90BC1"/>
    <w:rsid w:val="00C95600"/>
    <w:rsid w:val="00CC3155"/>
    <w:rsid w:val="00CD3285"/>
    <w:rsid w:val="00D5344B"/>
    <w:rsid w:val="00D8137A"/>
    <w:rsid w:val="00D84B5F"/>
    <w:rsid w:val="00D873A5"/>
    <w:rsid w:val="00D9388D"/>
    <w:rsid w:val="00D950BA"/>
    <w:rsid w:val="00DB0023"/>
    <w:rsid w:val="00DC5DE7"/>
    <w:rsid w:val="00DF4E46"/>
    <w:rsid w:val="00E445D8"/>
    <w:rsid w:val="00E57FB0"/>
    <w:rsid w:val="00E70565"/>
    <w:rsid w:val="00E74BBF"/>
    <w:rsid w:val="00E77012"/>
    <w:rsid w:val="00EA4988"/>
    <w:rsid w:val="00EA6AC8"/>
    <w:rsid w:val="00EF2FF0"/>
    <w:rsid w:val="00F02D59"/>
    <w:rsid w:val="00F34C26"/>
    <w:rsid w:val="00F82346"/>
    <w:rsid w:val="00F838DA"/>
    <w:rsid w:val="00F86A2E"/>
    <w:rsid w:val="00F939A0"/>
    <w:rsid w:val="00FD7B17"/>
    <w:rsid w:val="00FE0B01"/>
    <w:rsid w:val="00FF0063"/>
    <w:rsid w:val="00FF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38176"/>
  <w14:defaultImageDpi w14:val="330"/>
  <w15:docId w15:val="{4948BFE1-ED44-417E-9807-25901AC2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AE0"/>
    <w:pPr>
      <w:numPr>
        <w:numId w:val="1"/>
      </w:numPr>
      <w:spacing w:line="288" w:lineRule="auto"/>
      <w:ind w:left="567" w:hanging="567"/>
      <w:jc w:val="both"/>
      <w:outlineLvl w:val="0"/>
    </w:pPr>
    <w:rPr>
      <w:rFonts w:ascii="Times New Roman" w:eastAsia="Times New Roman" w:hAnsi="Times New Roman" w:cs="Times New Roman"/>
      <w:kern w:val="28"/>
      <w:sz w:val="22"/>
      <w:szCs w:val="22"/>
      <w:lang w:val="en-GB"/>
    </w:rPr>
  </w:style>
  <w:style w:type="paragraph" w:styleId="Heading2">
    <w:name w:val="heading 2"/>
    <w:basedOn w:val="Normal"/>
    <w:next w:val="Normal"/>
    <w:link w:val="Heading2Char"/>
    <w:qFormat/>
    <w:rsid w:val="00811AE0"/>
    <w:pPr>
      <w:numPr>
        <w:ilvl w:val="1"/>
        <w:numId w:val="1"/>
      </w:numPr>
      <w:spacing w:line="288" w:lineRule="auto"/>
      <w:ind w:left="567" w:hanging="567"/>
      <w:jc w:val="both"/>
      <w:outlineLvl w:val="1"/>
    </w:pPr>
    <w:rPr>
      <w:rFonts w:ascii="Times New Roman" w:eastAsia="Times New Roman" w:hAnsi="Times New Roman" w:cs="Times New Roman"/>
      <w:sz w:val="22"/>
      <w:szCs w:val="22"/>
      <w:lang w:val="en-GB"/>
    </w:rPr>
  </w:style>
  <w:style w:type="paragraph" w:styleId="Heading3">
    <w:name w:val="heading 3"/>
    <w:basedOn w:val="Normal"/>
    <w:next w:val="Normal"/>
    <w:link w:val="Heading3Char"/>
    <w:qFormat/>
    <w:rsid w:val="00811AE0"/>
    <w:pPr>
      <w:numPr>
        <w:ilvl w:val="2"/>
        <w:numId w:val="1"/>
      </w:numPr>
      <w:spacing w:line="288" w:lineRule="auto"/>
      <w:ind w:left="567" w:hanging="567"/>
      <w:jc w:val="both"/>
      <w:outlineLvl w:val="2"/>
    </w:pPr>
    <w:rPr>
      <w:rFonts w:ascii="Times New Roman" w:eastAsia="Times New Roman" w:hAnsi="Times New Roman" w:cs="Times New Roman"/>
      <w:sz w:val="22"/>
      <w:szCs w:val="22"/>
      <w:lang w:val="en-GB"/>
    </w:rPr>
  </w:style>
  <w:style w:type="paragraph" w:styleId="Heading4">
    <w:name w:val="heading 4"/>
    <w:basedOn w:val="Normal"/>
    <w:next w:val="Normal"/>
    <w:link w:val="Heading4Char"/>
    <w:qFormat/>
    <w:rsid w:val="00811AE0"/>
    <w:pPr>
      <w:numPr>
        <w:ilvl w:val="3"/>
        <w:numId w:val="1"/>
      </w:numPr>
      <w:spacing w:line="288" w:lineRule="auto"/>
      <w:ind w:left="567" w:hanging="567"/>
      <w:jc w:val="both"/>
      <w:outlineLvl w:val="3"/>
    </w:pPr>
    <w:rPr>
      <w:rFonts w:ascii="Times New Roman" w:eastAsia="Times New Roman" w:hAnsi="Times New Roman" w:cs="Times New Roman"/>
      <w:sz w:val="22"/>
      <w:szCs w:val="22"/>
      <w:lang w:val="en-GB"/>
    </w:rPr>
  </w:style>
  <w:style w:type="paragraph" w:styleId="Heading5">
    <w:name w:val="heading 5"/>
    <w:basedOn w:val="Normal"/>
    <w:next w:val="Normal"/>
    <w:link w:val="Heading5Char"/>
    <w:qFormat/>
    <w:rsid w:val="00811AE0"/>
    <w:pPr>
      <w:numPr>
        <w:ilvl w:val="4"/>
        <w:numId w:val="1"/>
      </w:numPr>
      <w:spacing w:line="288" w:lineRule="auto"/>
      <w:ind w:left="567" w:hanging="567"/>
      <w:jc w:val="both"/>
      <w:outlineLvl w:val="4"/>
    </w:pPr>
    <w:rPr>
      <w:rFonts w:ascii="Times New Roman" w:eastAsia="Times New Roman" w:hAnsi="Times New Roman" w:cs="Times New Roman"/>
      <w:sz w:val="22"/>
      <w:szCs w:val="22"/>
      <w:lang w:val="en-GB"/>
    </w:rPr>
  </w:style>
  <w:style w:type="paragraph" w:styleId="Heading6">
    <w:name w:val="heading 6"/>
    <w:basedOn w:val="Normal"/>
    <w:next w:val="Normal"/>
    <w:link w:val="Heading6Char"/>
    <w:qFormat/>
    <w:rsid w:val="00811AE0"/>
    <w:pPr>
      <w:numPr>
        <w:ilvl w:val="5"/>
        <w:numId w:val="1"/>
      </w:numPr>
      <w:spacing w:line="288" w:lineRule="auto"/>
      <w:ind w:left="567" w:hanging="567"/>
      <w:jc w:val="both"/>
      <w:outlineLvl w:val="5"/>
    </w:pPr>
    <w:rPr>
      <w:rFonts w:ascii="Times New Roman" w:eastAsia="Times New Roman" w:hAnsi="Times New Roman" w:cs="Times New Roman"/>
      <w:sz w:val="22"/>
      <w:szCs w:val="22"/>
      <w:lang w:val="en-GB"/>
    </w:rPr>
  </w:style>
  <w:style w:type="paragraph" w:styleId="Heading7">
    <w:name w:val="heading 7"/>
    <w:basedOn w:val="Normal"/>
    <w:next w:val="Normal"/>
    <w:link w:val="Heading7Char"/>
    <w:qFormat/>
    <w:rsid w:val="00811AE0"/>
    <w:pPr>
      <w:numPr>
        <w:ilvl w:val="6"/>
        <w:numId w:val="1"/>
      </w:numPr>
      <w:spacing w:line="288" w:lineRule="auto"/>
      <w:ind w:left="567" w:hanging="567"/>
      <w:jc w:val="both"/>
      <w:outlineLvl w:val="6"/>
    </w:pPr>
    <w:rPr>
      <w:rFonts w:ascii="Times New Roman" w:eastAsia="Times New Roman" w:hAnsi="Times New Roman" w:cs="Times New Roman"/>
      <w:sz w:val="22"/>
      <w:szCs w:val="22"/>
      <w:lang w:val="en-GB"/>
    </w:rPr>
  </w:style>
  <w:style w:type="paragraph" w:styleId="Heading8">
    <w:name w:val="heading 8"/>
    <w:basedOn w:val="Normal"/>
    <w:next w:val="Normal"/>
    <w:link w:val="Heading8Char"/>
    <w:qFormat/>
    <w:rsid w:val="00811AE0"/>
    <w:pPr>
      <w:numPr>
        <w:ilvl w:val="7"/>
        <w:numId w:val="1"/>
      </w:numPr>
      <w:spacing w:line="288" w:lineRule="auto"/>
      <w:ind w:left="567" w:hanging="567"/>
      <w:jc w:val="both"/>
      <w:outlineLvl w:val="7"/>
    </w:pPr>
    <w:rPr>
      <w:rFonts w:ascii="Times New Roman" w:eastAsia="Times New Roman" w:hAnsi="Times New Roman" w:cs="Times New Roman"/>
      <w:sz w:val="22"/>
      <w:szCs w:val="22"/>
      <w:lang w:val="en-GB"/>
    </w:rPr>
  </w:style>
  <w:style w:type="paragraph" w:styleId="Heading9">
    <w:name w:val="heading 9"/>
    <w:basedOn w:val="Normal"/>
    <w:next w:val="Normal"/>
    <w:link w:val="Heading9Char"/>
    <w:qFormat/>
    <w:rsid w:val="00811AE0"/>
    <w:pPr>
      <w:numPr>
        <w:ilvl w:val="8"/>
        <w:numId w:val="1"/>
      </w:numPr>
      <w:spacing w:line="288" w:lineRule="auto"/>
      <w:ind w:left="567" w:hanging="567"/>
      <w:jc w:val="both"/>
      <w:outlineLvl w:val="8"/>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8A4"/>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rsid w:val="00811AE0"/>
    <w:rPr>
      <w:rFonts w:ascii="Times New Roman" w:eastAsia="Times New Roman" w:hAnsi="Times New Roman" w:cs="Times New Roman"/>
      <w:kern w:val="28"/>
      <w:sz w:val="22"/>
      <w:szCs w:val="22"/>
      <w:lang w:val="en-GB"/>
    </w:rPr>
  </w:style>
  <w:style w:type="character" w:customStyle="1" w:styleId="Heading2Char">
    <w:name w:val="Heading 2 Char"/>
    <w:basedOn w:val="DefaultParagraphFont"/>
    <w:link w:val="Heading2"/>
    <w:rsid w:val="00811AE0"/>
    <w:rPr>
      <w:rFonts w:ascii="Times New Roman" w:eastAsia="Times New Roman" w:hAnsi="Times New Roman" w:cs="Times New Roman"/>
      <w:sz w:val="22"/>
      <w:szCs w:val="22"/>
      <w:lang w:val="en-GB"/>
    </w:rPr>
  </w:style>
  <w:style w:type="character" w:customStyle="1" w:styleId="Heading3Char">
    <w:name w:val="Heading 3 Char"/>
    <w:basedOn w:val="DefaultParagraphFont"/>
    <w:link w:val="Heading3"/>
    <w:rsid w:val="00811AE0"/>
    <w:rPr>
      <w:rFonts w:ascii="Times New Roman" w:eastAsia="Times New Roman" w:hAnsi="Times New Roman" w:cs="Times New Roman"/>
      <w:sz w:val="22"/>
      <w:szCs w:val="22"/>
      <w:lang w:val="en-GB"/>
    </w:rPr>
  </w:style>
  <w:style w:type="character" w:customStyle="1" w:styleId="Heading4Char">
    <w:name w:val="Heading 4 Char"/>
    <w:basedOn w:val="DefaultParagraphFont"/>
    <w:link w:val="Heading4"/>
    <w:rsid w:val="00811AE0"/>
    <w:rPr>
      <w:rFonts w:ascii="Times New Roman" w:eastAsia="Times New Roman" w:hAnsi="Times New Roman" w:cs="Times New Roman"/>
      <w:sz w:val="22"/>
      <w:szCs w:val="22"/>
      <w:lang w:val="en-GB"/>
    </w:rPr>
  </w:style>
  <w:style w:type="character" w:customStyle="1" w:styleId="Heading5Char">
    <w:name w:val="Heading 5 Char"/>
    <w:basedOn w:val="DefaultParagraphFont"/>
    <w:link w:val="Heading5"/>
    <w:rsid w:val="00811AE0"/>
    <w:rPr>
      <w:rFonts w:ascii="Times New Roman" w:eastAsia="Times New Roman" w:hAnsi="Times New Roman" w:cs="Times New Roman"/>
      <w:sz w:val="22"/>
      <w:szCs w:val="22"/>
      <w:lang w:val="en-GB"/>
    </w:rPr>
  </w:style>
  <w:style w:type="character" w:customStyle="1" w:styleId="Heading6Char">
    <w:name w:val="Heading 6 Char"/>
    <w:basedOn w:val="DefaultParagraphFont"/>
    <w:link w:val="Heading6"/>
    <w:rsid w:val="00811AE0"/>
    <w:rPr>
      <w:rFonts w:ascii="Times New Roman" w:eastAsia="Times New Roman" w:hAnsi="Times New Roman" w:cs="Times New Roman"/>
      <w:sz w:val="22"/>
      <w:szCs w:val="22"/>
      <w:lang w:val="en-GB"/>
    </w:rPr>
  </w:style>
  <w:style w:type="character" w:customStyle="1" w:styleId="Heading7Char">
    <w:name w:val="Heading 7 Char"/>
    <w:basedOn w:val="DefaultParagraphFont"/>
    <w:link w:val="Heading7"/>
    <w:rsid w:val="00811AE0"/>
    <w:rPr>
      <w:rFonts w:ascii="Times New Roman" w:eastAsia="Times New Roman" w:hAnsi="Times New Roman" w:cs="Times New Roman"/>
      <w:sz w:val="22"/>
      <w:szCs w:val="22"/>
      <w:lang w:val="en-GB"/>
    </w:rPr>
  </w:style>
  <w:style w:type="character" w:customStyle="1" w:styleId="Heading8Char">
    <w:name w:val="Heading 8 Char"/>
    <w:basedOn w:val="DefaultParagraphFont"/>
    <w:link w:val="Heading8"/>
    <w:rsid w:val="00811AE0"/>
    <w:rPr>
      <w:rFonts w:ascii="Times New Roman" w:eastAsia="Times New Roman" w:hAnsi="Times New Roman" w:cs="Times New Roman"/>
      <w:sz w:val="22"/>
      <w:szCs w:val="22"/>
      <w:lang w:val="en-GB"/>
    </w:rPr>
  </w:style>
  <w:style w:type="character" w:customStyle="1" w:styleId="Heading9Char">
    <w:name w:val="Heading 9 Char"/>
    <w:basedOn w:val="DefaultParagraphFont"/>
    <w:link w:val="Heading9"/>
    <w:rsid w:val="00811AE0"/>
    <w:rPr>
      <w:rFonts w:ascii="Times New Roman" w:eastAsia="Times New Roman" w:hAnsi="Times New Roman" w:cs="Times New Roman"/>
      <w:sz w:val="22"/>
      <w:szCs w:val="22"/>
      <w:lang w:val="en-GB"/>
    </w:rPr>
  </w:style>
  <w:style w:type="character" w:styleId="Hyperlink">
    <w:name w:val="Hyperlink"/>
    <w:basedOn w:val="DefaultParagraphFont"/>
    <w:unhideWhenUsed/>
    <w:rsid w:val="00811AE0"/>
    <w:rPr>
      <w:color w:val="0000FF"/>
      <w:u w:val="single"/>
    </w:rPr>
  </w:style>
  <w:style w:type="paragraph" w:styleId="FootnoteText">
    <w:name w:val="footnote text"/>
    <w:basedOn w:val="Normal"/>
    <w:link w:val="FootnoteTextChar"/>
    <w:qFormat/>
    <w:rsid w:val="00811AE0"/>
    <w:pPr>
      <w:keepLines/>
      <w:spacing w:after="60"/>
      <w:ind w:left="567" w:hanging="567"/>
      <w:jc w:val="both"/>
    </w:pPr>
    <w:rPr>
      <w:rFonts w:ascii="Times New Roman" w:eastAsia="Times New Roman" w:hAnsi="Times New Roman" w:cs="Times New Roman"/>
      <w:sz w:val="16"/>
      <w:szCs w:val="22"/>
      <w:lang w:val="en-GB"/>
    </w:rPr>
  </w:style>
  <w:style w:type="character" w:customStyle="1" w:styleId="FootnoteTextChar">
    <w:name w:val="Footnote Text Char"/>
    <w:basedOn w:val="DefaultParagraphFont"/>
    <w:link w:val="FootnoteText"/>
    <w:rsid w:val="00811AE0"/>
    <w:rPr>
      <w:rFonts w:ascii="Times New Roman" w:eastAsia="Times New Roman" w:hAnsi="Times New Roman" w:cs="Times New Roman"/>
      <w:sz w:val="16"/>
      <w:szCs w:val="22"/>
      <w:lang w:val="en-GB"/>
    </w:rPr>
  </w:style>
  <w:style w:type="character" w:styleId="FootnoteReference">
    <w:name w:val="footnote reference"/>
    <w:basedOn w:val="DefaultParagraphFont"/>
    <w:unhideWhenUsed/>
    <w:qFormat/>
    <w:rsid w:val="00811AE0"/>
    <w:rPr>
      <w:sz w:val="24"/>
      <w:vertAlign w:val="superscript"/>
    </w:rPr>
  </w:style>
  <w:style w:type="paragraph" w:styleId="ListParagraph">
    <w:name w:val="List Paragraph"/>
    <w:basedOn w:val="Normal"/>
    <w:uiPriority w:val="34"/>
    <w:qFormat/>
    <w:rsid w:val="00C3511C"/>
    <w:pPr>
      <w:overflowPunct w:val="0"/>
      <w:autoSpaceDE w:val="0"/>
      <w:autoSpaceDN w:val="0"/>
      <w:adjustRightInd w:val="0"/>
      <w:spacing w:line="288" w:lineRule="auto"/>
      <w:ind w:left="720"/>
      <w:contextualSpacing/>
      <w:jc w:val="both"/>
      <w:textAlignment w:val="baseline"/>
    </w:pPr>
    <w:rPr>
      <w:rFonts w:ascii="Times New Roman" w:eastAsia="Times New Roman" w:hAnsi="Times New Roman" w:cs="Times New Roman"/>
      <w:sz w:val="22"/>
      <w:szCs w:val="20"/>
      <w:lang w:val="en-GB"/>
    </w:rPr>
  </w:style>
  <w:style w:type="character" w:styleId="FollowedHyperlink">
    <w:name w:val="FollowedHyperlink"/>
    <w:basedOn w:val="DefaultParagraphFont"/>
    <w:uiPriority w:val="99"/>
    <w:semiHidden/>
    <w:unhideWhenUsed/>
    <w:rsid w:val="004558C7"/>
    <w:rPr>
      <w:color w:val="800080" w:themeColor="followedHyperlink"/>
      <w:u w:val="single"/>
    </w:rPr>
  </w:style>
  <w:style w:type="paragraph" w:styleId="BalloonText">
    <w:name w:val="Balloon Text"/>
    <w:basedOn w:val="Normal"/>
    <w:link w:val="BalloonTextChar"/>
    <w:uiPriority w:val="99"/>
    <w:semiHidden/>
    <w:unhideWhenUsed/>
    <w:rsid w:val="00BE0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8E"/>
    <w:rPr>
      <w:rFonts w:ascii="Segoe UI" w:hAnsi="Segoe UI" w:cs="Segoe UI"/>
      <w:sz w:val="18"/>
      <w:szCs w:val="18"/>
    </w:rPr>
  </w:style>
  <w:style w:type="paragraph" w:styleId="Header">
    <w:name w:val="header"/>
    <w:basedOn w:val="Normal"/>
    <w:link w:val="HeaderChar"/>
    <w:uiPriority w:val="99"/>
    <w:unhideWhenUsed/>
    <w:rsid w:val="00AE7FBF"/>
    <w:pPr>
      <w:tabs>
        <w:tab w:val="center" w:pos="4513"/>
        <w:tab w:val="right" w:pos="9026"/>
      </w:tabs>
    </w:pPr>
  </w:style>
  <w:style w:type="character" w:customStyle="1" w:styleId="HeaderChar">
    <w:name w:val="Header Char"/>
    <w:basedOn w:val="DefaultParagraphFont"/>
    <w:link w:val="Header"/>
    <w:uiPriority w:val="99"/>
    <w:rsid w:val="00AE7FBF"/>
  </w:style>
  <w:style w:type="paragraph" w:styleId="Footer">
    <w:name w:val="footer"/>
    <w:basedOn w:val="Normal"/>
    <w:link w:val="FooterChar"/>
    <w:uiPriority w:val="99"/>
    <w:unhideWhenUsed/>
    <w:rsid w:val="00AE7FBF"/>
    <w:pPr>
      <w:tabs>
        <w:tab w:val="center" w:pos="4513"/>
        <w:tab w:val="right" w:pos="9026"/>
      </w:tabs>
    </w:pPr>
  </w:style>
  <w:style w:type="character" w:customStyle="1" w:styleId="FooterChar">
    <w:name w:val="Footer Char"/>
    <w:basedOn w:val="DefaultParagraphFont"/>
    <w:link w:val="Footer"/>
    <w:uiPriority w:val="99"/>
    <w:rsid w:val="00AE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4745">
      <w:bodyDiv w:val="1"/>
      <w:marLeft w:val="0"/>
      <w:marRight w:val="0"/>
      <w:marTop w:val="0"/>
      <w:marBottom w:val="0"/>
      <w:divBdr>
        <w:top w:val="none" w:sz="0" w:space="0" w:color="auto"/>
        <w:left w:val="none" w:sz="0" w:space="0" w:color="auto"/>
        <w:bottom w:val="none" w:sz="0" w:space="0" w:color="auto"/>
        <w:right w:val="none" w:sz="0" w:space="0" w:color="auto"/>
      </w:divBdr>
    </w:div>
    <w:div w:id="470683069">
      <w:bodyDiv w:val="1"/>
      <w:marLeft w:val="0"/>
      <w:marRight w:val="0"/>
      <w:marTop w:val="0"/>
      <w:marBottom w:val="0"/>
      <w:divBdr>
        <w:top w:val="none" w:sz="0" w:space="0" w:color="auto"/>
        <w:left w:val="none" w:sz="0" w:space="0" w:color="auto"/>
        <w:bottom w:val="none" w:sz="0" w:space="0" w:color="auto"/>
        <w:right w:val="none" w:sz="0" w:space="0" w:color="auto"/>
      </w:divBdr>
    </w:div>
    <w:div w:id="1032609824">
      <w:bodyDiv w:val="1"/>
      <w:marLeft w:val="0"/>
      <w:marRight w:val="0"/>
      <w:marTop w:val="0"/>
      <w:marBottom w:val="0"/>
      <w:divBdr>
        <w:top w:val="none" w:sz="0" w:space="0" w:color="auto"/>
        <w:left w:val="none" w:sz="0" w:space="0" w:color="auto"/>
        <w:bottom w:val="none" w:sz="0" w:space="0" w:color="auto"/>
        <w:right w:val="none" w:sz="0" w:space="0" w:color="auto"/>
      </w:divBdr>
    </w:div>
    <w:div w:id="1059598721">
      <w:bodyDiv w:val="1"/>
      <w:marLeft w:val="0"/>
      <w:marRight w:val="0"/>
      <w:marTop w:val="0"/>
      <w:marBottom w:val="0"/>
      <w:divBdr>
        <w:top w:val="none" w:sz="0" w:space="0" w:color="auto"/>
        <w:left w:val="none" w:sz="0" w:space="0" w:color="auto"/>
        <w:bottom w:val="none" w:sz="0" w:space="0" w:color="auto"/>
        <w:right w:val="none" w:sz="0" w:space="0" w:color="auto"/>
      </w:divBdr>
    </w:div>
    <w:div w:id="1773279270">
      <w:bodyDiv w:val="1"/>
      <w:marLeft w:val="0"/>
      <w:marRight w:val="0"/>
      <w:marTop w:val="0"/>
      <w:marBottom w:val="0"/>
      <w:divBdr>
        <w:top w:val="none" w:sz="0" w:space="0" w:color="auto"/>
        <w:left w:val="none" w:sz="0" w:space="0" w:color="auto"/>
        <w:bottom w:val="none" w:sz="0" w:space="0" w:color="auto"/>
        <w:right w:val="none" w:sz="0" w:space="0" w:color="auto"/>
      </w:divBdr>
    </w:div>
    <w:div w:id="1776359411">
      <w:bodyDiv w:val="1"/>
      <w:marLeft w:val="0"/>
      <w:marRight w:val="0"/>
      <w:marTop w:val="0"/>
      <w:marBottom w:val="0"/>
      <w:divBdr>
        <w:top w:val="none" w:sz="0" w:space="0" w:color="auto"/>
        <w:left w:val="none" w:sz="0" w:space="0" w:color="auto"/>
        <w:bottom w:val="none" w:sz="0" w:space="0" w:color="auto"/>
        <w:right w:val="none" w:sz="0" w:space="0" w:color="auto"/>
      </w:divBdr>
    </w:div>
    <w:div w:id="1819298208">
      <w:bodyDiv w:val="1"/>
      <w:marLeft w:val="0"/>
      <w:marRight w:val="0"/>
      <w:marTop w:val="0"/>
      <w:marBottom w:val="0"/>
      <w:divBdr>
        <w:top w:val="none" w:sz="0" w:space="0" w:color="auto"/>
        <w:left w:val="none" w:sz="0" w:space="0" w:color="auto"/>
        <w:bottom w:val="none" w:sz="0" w:space="0" w:color="auto"/>
        <w:right w:val="none" w:sz="0" w:space="0" w:color="auto"/>
      </w:divBdr>
      <w:divsChild>
        <w:div w:id="81305864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532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hlp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81618952890&amp;uri=CELEX:52016SC0390" TargetMode="External"/><Relationship Id="rId2" Type="http://schemas.openxmlformats.org/officeDocument/2006/relationships/hyperlink" Target="https://www.wto.org/english/thewto_e/minist_e/mc10_e/mindecision_e.htm" TargetMode="External"/><Relationship Id="rId1" Type="http://schemas.openxmlformats.org/officeDocument/2006/relationships/hyperlink" Target="https://www.eesc.europa.eu/en/our-work/publications-other-work/publications/circular-economy-strategies-and-roadmaps-europe-identifying-synergies-and-potential-cooperation-and-alliance-buil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1E34-E289-46BD-8A8A-FF0C3073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Jonathan Peel</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Peel</dc:creator>
  <cp:lastModifiedBy>nkac</cp:lastModifiedBy>
  <cp:revision>4</cp:revision>
  <cp:lastPrinted>2019-05-23T15:45:00Z</cp:lastPrinted>
  <dcterms:created xsi:type="dcterms:W3CDTF">2019-05-27T09:53:00Z</dcterms:created>
  <dcterms:modified xsi:type="dcterms:W3CDTF">2019-06-05T19:11:00Z</dcterms:modified>
</cp:coreProperties>
</file>