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A0C10" w:rsidRPr="0042688C" w14:paraId="606EDBFE" w14:textId="77777777" w:rsidTr="005A0C10">
        <w:trPr>
          <w:jc w:val="center"/>
        </w:trPr>
        <w:tc>
          <w:tcPr>
            <w:tcW w:w="4530" w:type="dxa"/>
          </w:tcPr>
          <w:p w14:paraId="10943D30" w14:textId="6473D8E7" w:rsidR="005A0C10" w:rsidRPr="0042688C" w:rsidRDefault="000B707E" w:rsidP="009C16C3">
            <w:pPr>
              <w:jc w:val="center"/>
            </w:pPr>
            <w:r>
              <w:rPr>
                <w:noProof/>
                <w:lang w:val="en-US"/>
              </w:rPr>
              <w:drawing>
                <wp:inline distT="0" distB="0" distL="0" distR="0" wp14:anchorId="4B54F767" wp14:editId="15A400F7">
                  <wp:extent cx="1792800" cy="1242000"/>
                  <wp:effectExtent l="0" t="0" r="0" b="0"/>
                  <wp:docPr id="3" name="Picture 3" title="EESCLogo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nl-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p>
        </w:tc>
        <w:tc>
          <w:tcPr>
            <w:tcW w:w="4530" w:type="dxa"/>
          </w:tcPr>
          <w:p w14:paraId="21FC2046" w14:textId="77777777" w:rsidR="005A0C10" w:rsidRPr="0042688C" w:rsidRDefault="005A0C10" w:rsidP="0042688C">
            <w:r>
              <w:rPr>
                <w:noProof/>
              </w:rPr>
              <w:drawing>
                <wp:anchor distT="0" distB="0" distL="114300" distR="114300" simplePos="0" relativeHeight="251659264" behindDoc="1" locked="0" layoutInCell="1" allowOverlap="1" wp14:anchorId="42E2EE24" wp14:editId="183D62FB">
                  <wp:simplePos x="4428877" y="1053548"/>
                  <wp:positionH relativeFrom="column">
                    <wp:align>center</wp:align>
                  </wp:positionH>
                  <wp:positionV relativeFrom="paragraph">
                    <wp:posOffset>153698</wp:posOffset>
                  </wp:positionV>
                  <wp:extent cx="1188000" cy="1004400"/>
                  <wp:effectExtent l="0" t="0" r="0" b="5715"/>
                  <wp:wrapTight wrapText="bothSides">
                    <wp:wrapPolygon edited="0">
                      <wp:start x="0" y="0"/>
                      <wp:lineTo x="0" y="21313"/>
                      <wp:lineTo x="21138" y="21313"/>
                      <wp:lineTo x="2113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6060"/>
                          <a:stretch/>
                        </pic:blipFill>
                        <pic:spPr bwMode="auto">
                          <a:xfrm>
                            <a:off x="0" y="0"/>
                            <a:ext cx="1188000" cy="100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1A23E76" w14:textId="77777777" w:rsidR="008602E8" w:rsidRPr="0042688C" w:rsidRDefault="008602E8" w:rsidP="00E11AB7">
      <w:pPr>
        <w:jc w:val="center"/>
        <w:rPr>
          <w:noProof/>
          <w:lang w:val="en-GB" w:eastAsia="fr-BE" w:bidi="ne-NP"/>
        </w:rPr>
      </w:pPr>
    </w:p>
    <w:p w14:paraId="6FB36FE0" w14:textId="26D417D0" w:rsidR="005A0C10" w:rsidRPr="0042688C" w:rsidRDefault="00710E3E" w:rsidP="00E11AB7">
      <w:pPr>
        <w:jc w:val="center"/>
        <w:rPr>
          <w:noProof/>
        </w:rPr>
      </w:pPr>
      <w:r>
        <w:rPr>
          <w:noProof/>
          <w:sz w:val="20"/>
        </w:rPr>
        <mc:AlternateContent>
          <mc:Choice Requires="wps">
            <w:drawing>
              <wp:anchor distT="0" distB="0" distL="114300" distR="114300" simplePos="0" relativeHeight="251661312" behindDoc="1" locked="0" layoutInCell="0" allowOverlap="1" wp14:anchorId="5C428D17" wp14:editId="002B85E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24352" w14:textId="77777777" w:rsidR="00710E3E" w:rsidRPr="00260E65" w:rsidRDefault="00710E3E">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28D17"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6724352" w14:textId="77777777" w:rsidR="00710E3E" w:rsidRPr="00260E65" w:rsidRDefault="00710E3E">
                      <w:pPr>
                        <w:jc w:val="center"/>
                        <w:rPr>
                          <w:rFonts w:ascii="Arial" w:hAnsi="Arial" w:cs="Arial"/>
                          <w:b/>
                          <w:bCs/>
                          <w:sz w:val="48"/>
                        </w:rPr>
                      </w:pPr>
                      <w:r>
                        <w:rPr>
                          <w:rFonts w:ascii="Arial" w:hAnsi="Arial"/>
                          <w:b/>
                          <w:sz w:val="48"/>
                        </w:rPr>
                        <w:t>NL</w:t>
                      </w:r>
                    </w:p>
                  </w:txbxContent>
                </v:textbox>
                <w10:wrap anchorx="page" anchory="page"/>
              </v:shape>
            </w:pict>
          </mc:Fallback>
        </mc:AlternateContent>
      </w:r>
    </w:p>
    <w:p w14:paraId="5E2484A8" w14:textId="77777777" w:rsidR="005A0C10" w:rsidRPr="0042688C" w:rsidRDefault="005A0C10" w:rsidP="00E11AB7">
      <w:pPr>
        <w:jc w:val="center"/>
        <w:rPr>
          <w:noProof/>
          <w:lang w:val="en-GB" w:eastAsia="fr-BE" w:bidi="ne-NP"/>
        </w:rPr>
      </w:pPr>
    </w:p>
    <w:p w14:paraId="405C5022" w14:textId="6E0CFA72" w:rsidR="00E11AB7" w:rsidRPr="0042688C" w:rsidRDefault="00E11AB7" w:rsidP="00E11AB7">
      <w:pPr>
        <w:jc w:val="center"/>
        <w:rPr>
          <w:rFonts w:ascii="Palatino Linotype" w:hAnsi="Palatino Linotype"/>
          <w:b/>
          <w:bCs/>
          <w:sz w:val="28"/>
          <w:szCs w:val="28"/>
        </w:rPr>
      </w:pPr>
      <w:r>
        <w:rPr>
          <w:rFonts w:ascii="Palatino Linotype" w:hAnsi="Palatino Linotype"/>
          <w:b/>
          <w:sz w:val="28"/>
        </w:rPr>
        <w:t>Jaarlijkse bijeenkomst van de voorzitters en secretarissen-generaal van het EESC en de sociaaleconomische raden in de Europese Unie</w:t>
      </w:r>
    </w:p>
    <w:p w14:paraId="307B099C" w14:textId="77777777" w:rsidR="00E11AB7" w:rsidRPr="0042688C" w:rsidRDefault="00E11AB7" w:rsidP="00E11AB7">
      <w:pPr>
        <w:jc w:val="center"/>
        <w:rPr>
          <w:rFonts w:ascii="Palatino Linotype" w:hAnsi="Palatino Linotype"/>
          <w:b/>
          <w:bCs/>
          <w:sz w:val="28"/>
          <w:szCs w:val="28"/>
        </w:rPr>
      </w:pPr>
      <w:r>
        <w:rPr>
          <w:rFonts w:ascii="Palatino Linotype" w:hAnsi="Palatino Linotype"/>
          <w:b/>
          <w:sz w:val="28"/>
        </w:rPr>
        <w:t>Boekarest, 9-10 november 2022</w:t>
      </w:r>
    </w:p>
    <w:p w14:paraId="7B2C76AB" w14:textId="77777777" w:rsidR="00E11AB7" w:rsidRPr="0042688C" w:rsidRDefault="00E11AB7" w:rsidP="00E11AB7">
      <w:pPr>
        <w:rPr>
          <w:rFonts w:ascii="Palatino Linotype" w:hAnsi="Palatino Linotype"/>
          <w:lang w:val="en-GB"/>
        </w:rPr>
      </w:pPr>
    </w:p>
    <w:p w14:paraId="433092A2" w14:textId="02F0EA51" w:rsidR="00E11AB7" w:rsidRPr="0042688C" w:rsidRDefault="00E11AB7" w:rsidP="00E11AB7">
      <w:pPr>
        <w:jc w:val="center"/>
        <w:rPr>
          <w:rFonts w:ascii="Palatino Linotype" w:hAnsi="Palatino Linotype"/>
          <w:b/>
          <w:bCs/>
          <w:sz w:val="28"/>
          <w:szCs w:val="28"/>
        </w:rPr>
      </w:pPr>
      <w:r>
        <w:rPr>
          <w:rFonts w:ascii="Palatino Linotype" w:hAnsi="Palatino Linotype"/>
          <w:b/>
          <w:sz w:val="28"/>
        </w:rPr>
        <w:t>Van geopolitieke uitdagingen een succesverhaal van de Europese Unie maken: de bijdrage van het maatschappelijk middenveld</w:t>
      </w:r>
    </w:p>
    <w:p w14:paraId="3976194F" w14:textId="77777777" w:rsidR="00E11AB7" w:rsidRPr="0042688C" w:rsidRDefault="00E11AB7" w:rsidP="00E11AB7">
      <w:pPr>
        <w:jc w:val="center"/>
        <w:rPr>
          <w:rFonts w:ascii="Palatino Linotype" w:hAnsi="Palatino Linotype"/>
          <w:b/>
          <w:bCs/>
          <w:sz w:val="28"/>
          <w:szCs w:val="28"/>
          <w:lang w:val="en-GB"/>
        </w:rPr>
      </w:pPr>
    </w:p>
    <w:p w14:paraId="02B5B7FB" w14:textId="77777777" w:rsidR="00E11AB7" w:rsidRPr="0042688C" w:rsidRDefault="00E11AB7" w:rsidP="00E11AB7">
      <w:pPr>
        <w:jc w:val="center"/>
        <w:rPr>
          <w:rFonts w:ascii="Palatino Linotype" w:hAnsi="Palatino Linotype"/>
          <w:b/>
          <w:bCs/>
          <w:sz w:val="28"/>
          <w:szCs w:val="28"/>
          <w:lang w:val="en-GB"/>
        </w:rPr>
      </w:pPr>
    </w:p>
    <w:p w14:paraId="105FC837" w14:textId="77777777" w:rsidR="00E11AB7" w:rsidRPr="0042688C" w:rsidRDefault="00E11AB7" w:rsidP="00E11AB7">
      <w:pPr>
        <w:jc w:val="center"/>
        <w:rPr>
          <w:rFonts w:ascii="Palatino Linotype" w:hAnsi="Palatino Linotype"/>
          <w:b/>
          <w:bCs/>
          <w:sz w:val="36"/>
          <w:szCs w:val="36"/>
        </w:rPr>
      </w:pPr>
      <w:r>
        <w:rPr>
          <w:rFonts w:ascii="Palatino Linotype" w:hAnsi="Palatino Linotype"/>
          <w:b/>
          <w:sz w:val="36"/>
        </w:rPr>
        <w:t>CONCLUSIES</w:t>
      </w:r>
    </w:p>
    <w:p w14:paraId="4590AA05" w14:textId="77777777" w:rsidR="00E11AB7" w:rsidRPr="0042688C" w:rsidRDefault="00E11AB7" w:rsidP="00E11AB7">
      <w:pPr>
        <w:rPr>
          <w:rFonts w:ascii="Palatino Linotype" w:hAnsi="Palatino Linotype"/>
          <w:lang w:val="en-GB"/>
        </w:rPr>
      </w:pPr>
    </w:p>
    <w:p w14:paraId="6B4662FA" w14:textId="77777777" w:rsidR="009D63E3" w:rsidRPr="0042688C" w:rsidRDefault="009D63E3" w:rsidP="00E11AB7">
      <w:pPr>
        <w:rPr>
          <w:rFonts w:ascii="Palatino Linotype" w:hAnsi="Palatino Linotype"/>
          <w:lang w:val="en-GB"/>
        </w:rPr>
        <w:sectPr w:rsidR="009D63E3" w:rsidRPr="0042688C" w:rsidSect="007A11EC">
          <w:footerReference w:type="default" r:id="rId13"/>
          <w:pgSz w:w="11907" w:h="16839"/>
          <w:pgMar w:top="1417" w:right="1417" w:bottom="1417" w:left="1417" w:header="709" w:footer="709" w:gutter="0"/>
          <w:pgNumType w:start="1"/>
          <w:cols w:space="708"/>
          <w:docGrid w:linePitch="360"/>
        </w:sectPr>
      </w:pPr>
    </w:p>
    <w:p w14:paraId="646FB5F3" w14:textId="26AE691A" w:rsidR="00E11AB7" w:rsidRPr="0042688C" w:rsidRDefault="00E11AB7" w:rsidP="00E11AB7">
      <w:pPr>
        <w:rPr>
          <w:b/>
          <w:bCs/>
        </w:rPr>
      </w:pPr>
      <w:r>
        <w:rPr>
          <w:b/>
        </w:rPr>
        <w:lastRenderedPageBreak/>
        <w:t>Het maatschappelijk middenveld loopt voorop bij het bevorderen van de integratie van oorlogsvluchtelingen uit Oekraïne: goede praktijken, uitdagingen en perspectieven</w:t>
      </w:r>
    </w:p>
    <w:p w14:paraId="1901A109" w14:textId="77777777" w:rsidR="009D63E3" w:rsidRPr="000B707E" w:rsidRDefault="009D63E3" w:rsidP="00E11AB7">
      <w:pPr>
        <w:rPr>
          <w:sz w:val="18"/>
          <w:szCs w:val="18"/>
          <w:lang w:val="en-GB"/>
        </w:rPr>
      </w:pPr>
    </w:p>
    <w:p w14:paraId="2CA41D18" w14:textId="26752611" w:rsidR="00E11AB7" w:rsidRPr="0042688C" w:rsidRDefault="00E11AB7" w:rsidP="00E11AB7">
      <w:r w:rsidRPr="000B707E">
        <w:rPr>
          <w:spacing w:val="-2"/>
        </w:rPr>
        <w:t>De Russische niet-uitgelokte en ongerechtvaardigde militaire agressie tegen Oekraïne die op 24</w:t>
      </w:r>
      <w:r w:rsidR="000B707E" w:rsidRPr="000B707E">
        <w:rPr>
          <w:spacing w:val="-2"/>
        </w:rPr>
        <w:t> </w:t>
      </w:r>
      <w:r w:rsidRPr="000B707E">
        <w:rPr>
          <w:spacing w:val="-2"/>
        </w:rPr>
        <w:t>februari</w:t>
      </w:r>
      <w:r w:rsidR="000B707E">
        <w:rPr>
          <w:spacing w:val="-2"/>
        </w:rPr>
        <w:t> </w:t>
      </w:r>
      <w:r w:rsidRPr="000B707E">
        <w:rPr>
          <w:spacing w:val="-2"/>
        </w:rPr>
        <w:t>2022 begon, heeft tot een massale toestroom van vluchtelingen in heel Europa geleid. Volgens het VN-Vluchtelingenbureau stonden er begin november 2022 in Europa meer dan 7,8 miljoen vluchtelingen uit Oekraïne geregistreerd</w:t>
      </w:r>
      <w:r w:rsidR="00A23889" w:rsidRPr="000B707E">
        <w:rPr>
          <w:rStyle w:val="FootnoteReference"/>
          <w:spacing w:val="-2"/>
          <w:lang w:val="en-GB"/>
        </w:rPr>
        <w:footnoteReference w:id="1"/>
      </w:r>
      <w:r w:rsidRPr="000B707E">
        <w:rPr>
          <w:spacing w:val="-2"/>
        </w:rPr>
        <w:t xml:space="preserve">. Het EESC en de nationale sociaaleconomische raden (SER’s) prijzen de EU voor haar snelle reactie om de </w:t>
      </w:r>
      <w:r w:rsidRPr="000B707E">
        <w:rPr>
          <w:b/>
          <w:spacing w:val="-2"/>
        </w:rPr>
        <w:t>humanitaire gevolgen</w:t>
      </w:r>
      <w:r w:rsidRPr="000B707E">
        <w:rPr>
          <w:spacing w:val="-2"/>
        </w:rPr>
        <w:t xml:space="preserve"> van de oorlog te verzachten. Europa heeft zich </w:t>
      </w:r>
      <w:r w:rsidRPr="000B707E">
        <w:rPr>
          <w:b/>
          <w:spacing w:val="-2"/>
        </w:rPr>
        <w:t>solidair</w:t>
      </w:r>
      <w:r w:rsidRPr="000B707E">
        <w:rPr>
          <w:spacing w:val="-2"/>
        </w:rPr>
        <w:t xml:space="preserve"> getoond met Oekraïne en zijn </w:t>
      </w:r>
      <w:r w:rsidRPr="000B707E">
        <w:rPr>
          <w:b/>
          <w:spacing w:val="-2"/>
        </w:rPr>
        <w:t>tijdelijke beschermingsmechanisme</w:t>
      </w:r>
      <w:r w:rsidRPr="000B707E">
        <w:rPr>
          <w:spacing w:val="-2"/>
        </w:rPr>
        <w:t xml:space="preserve"> in werking gesteld, hetgeen betekent dat er een aantal </w:t>
      </w:r>
      <w:r w:rsidRPr="000B707E">
        <w:rPr>
          <w:b/>
          <w:spacing w:val="-2"/>
        </w:rPr>
        <w:t>rechten</w:t>
      </w:r>
      <w:r w:rsidRPr="000B707E">
        <w:rPr>
          <w:spacing w:val="-2"/>
        </w:rPr>
        <w:t xml:space="preserve"> en </w:t>
      </w:r>
      <w:r w:rsidRPr="000B707E">
        <w:rPr>
          <w:b/>
          <w:spacing w:val="-2"/>
        </w:rPr>
        <w:t>garanties</w:t>
      </w:r>
      <w:r w:rsidRPr="000B707E">
        <w:rPr>
          <w:spacing w:val="-2"/>
        </w:rPr>
        <w:t xml:space="preserve"> wordt toegekend aan </w:t>
      </w:r>
      <w:r w:rsidRPr="000B707E">
        <w:rPr>
          <w:b/>
          <w:spacing w:val="-2"/>
        </w:rPr>
        <w:t>ontheemden</w:t>
      </w:r>
      <w:r w:rsidRPr="000B707E">
        <w:rPr>
          <w:spacing w:val="-2"/>
        </w:rPr>
        <w:t xml:space="preserve"> uit niet-EU-landen die onmiddellijke bescherming nodig hebben</w:t>
      </w:r>
      <w:r>
        <w:t xml:space="preserve">. </w:t>
      </w:r>
    </w:p>
    <w:p w14:paraId="2B6009BB" w14:textId="77777777" w:rsidR="00281D8D" w:rsidRPr="000B707E" w:rsidRDefault="00281D8D" w:rsidP="00E11AB7">
      <w:pPr>
        <w:rPr>
          <w:sz w:val="18"/>
          <w:szCs w:val="18"/>
          <w:lang w:val="en-GB"/>
        </w:rPr>
      </w:pPr>
    </w:p>
    <w:p w14:paraId="2EFCF830" w14:textId="415ECC0B" w:rsidR="00E11AB7" w:rsidRPr="0042688C" w:rsidRDefault="00E11AB7" w:rsidP="00E11AB7">
      <w:r>
        <w:t xml:space="preserve">Het EESC en de nationale SER’s wijzen ook op de </w:t>
      </w:r>
      <w:r>
        <w:rPr>
          <w:b/>
        </w:rPr>
        <w:t>snelle reactie van maatschappelijke organisaties</w:t>
      </w:r>
      <w:r>
        <w:t xml:space="preserve">. Zij hebben een cruciale rol gespeeld in de noodzakelijke respons om de humanitaire, sociale en economische gevolgen van de oorlog voor vluchtelingen in heel Europa aan te pakken, met name in de landen die de meeste vluchtelingen te verwerken hebben gekregen, waaronder landen als Polen, Roemenië, Hongarije en Duitsland. </w:t>
      </w:r>
    </w:p>
    <w:p w14:paraId="66F98CB2" w14:textId="77777777" w:rsidR="009D63E3" w:rsidRPr="000B707E" w:rsidRDefault="009D63E3" w:rsidP="00E11AB7">
      <w:pPr>
        <w:rPr>
          <w:sz w:val="18"/>
          <w:szCs w:val="18"/>
          <w:lang w:val="en-GB"/>
        </w:rPr>
      </w:pPr>
    </w:p>
    <w:p w14:paraId="39CA1471" w14:textId="27AE07C2" w:rsidR="00E11AB7" w:rsidRPr="0042688C" w:rsidRDefault="00E11AB7" w:rsidP="00E11AB7">
      <w:r>
        <w:t xml:space="preserve">Dankzij een flexibele aanpak en nauwe samenwerking met lokale en regionale overheden en burgers hebben het EESC en partnerorganisaties van de nationale SER’s humanitaire, logistieke en medische bijstand verleend aan mensen die de oorlog zijn ontvlucht. Zo hebben zij het woningtekort voor vluchtelingen helpen oplossen door accommodatie voor ontheemde gezinnen te regelen. </w:t>
      </w:r>
    </w:p>
    <w:p w14:paraId="70BD75EB" w14:textId="77777777" w:rsidR="008E6165" w:rsidRPr="000B707E" w:rsidRDefault="008E6165" w:rsidP="00E11AB7">
      <w:pPr>
        <w:rPr>
          <w:sz w:val="18"/>
          <w:szCs w:val="18"/>
          <w:lang w:val="en-GB"/>
        </w:rPr>
      </w:pPr>
    </w:p>
    <w:p w14:paraId="187F0613" w14:textId="5A6C694D" w:rsidR="00E11AB7" w:rsidRPr="0042688C" w:rsidRDefault="00E11AB7" w:rsidP="00E11AB7">
      <w:r>
        <w:t>Naarmate de oorlog aanhoudt, doen het EESC en de nationale SER’s een dringend beroep op alle regeringen om ervoor te zorgen dat de Oekraïense bevolking in de oorlogsgebieden toegang heeft tot essentiële goederen, met name schoon water, voedsel, geneesmiddelen en elektriciteit. Tegelijkertijd waarschuwen zij voor het gevaar van “solidariteitsmoeheid” onder vrijwilligers en in de hele samenleving, met name nu er economisch zware tijden aanbreken voor EU-burgers. Wij blijven vierkant achter Oekraïne staan en blijven de lidstaten helpen om de impact van de vluchtelingenstromen te verkleinen.</w:t>
      </w:r>
    </w:p>
    <w:p w14:paraId="731526EC" w14:textId="77777777" w:rsidR="008E6165" w:rsidRPr="000B707E" w:rsidRDefault="008E6165" w:rsidP="00E11AB7">
      <w:pPr>
        <w:rPr>
          <w:sz w:val="18"/>
          <w:szCs w:val="18"/>
          <w:lang w:val="en-GB"/>
        </w:rPr>
      </w:pPr>
    </w:p>
    <w:p w14:paraId="472DB4B2" w14:textId="4FF0A75C" w:rsidR="008602E8" w:rsidRPr="0042688C" w:rsidRDefault="00E64ACE" w:rsidP="008602E8">
      <w:r>
        <w:t xml:space="preserve">Het is belangrijk ervoor te zorgen dat </w:t>
      </w:r>
      <w:r>
        <w:rPr>
          <w:b/>
        </w:rPr>
        <w:t>Oekraïense vluchtelingen</w:t>
      </w:r>
      <w:r>
        <w:t xml:space="preserve"> en met name vrouwen, die de overgrote meerderheid van de vluchtelingen uitmaken, </w:t>
      </w:r>
      <w:r>
        <w:rPr>
          <w:b/>
        </w:rPr>
        <w:t>gemakkelijker toegang krijgen tot de arbeidsmarkt in de EU</w:t>
      </w:r>
      <w:r>
        <w:t xml:space="preserve">. Dit zal ook het economisch herstel van de EU ten goede komen, gezien de grote tekorten aan vaardigheden en arbeidskrachten die de groei in veel sectoren in de EU belemmeren. Daarom spelen de </w:t>
      </w:r>
      <w:r>
        <w:rPr>
          <w:b/>
        </w:rPr>
        <w:t>erkenning van de kwalificaties van Oekraïense vluchtelingen, taalcursussen, de ontwikkeling van een passend opleidingsaanbod en de beschikbaarheid van kinderopvang</w:t>
      </w:r>
      <w:r>
        <w:t xml:space="preserve"> een belangrijke rol. Ook moet er erkenning komen voor de specifieke situatie van deze vrouwen en kinderen in conflictgebieden en bij aankomst in gastlanden, waaronder het risico op </w:t>
      </w:r>
      <w:r>
        <w:rPr>
          <w:b/>
        </w:rPr>
        <w:t>uitbuiting</w:t>
      </w:r>
      <w:r>
        <w:t xml:space="preserve"> en </w:t>
      </w:r>
      <w:r>
        <w:rPr>
          <w:b/>
        </w:rPr>
        <w:t>gendergerelateerd geweld</w:t>
      </w:r>
      <w:r>
        <w:t>, met name seksueel geweld en mensenhandel.</w:t>
      </w:r>
    </w:p>
    <w:p w14:paraId="7BA80D70" w14:textId="77777777" w:rsidR="008E6165" w:rsidRPr="0042688C" w:rsidRDefault="008E6165" w:rsidP="00E11AB7">
      <w:pPr>
        <w:rPr>
          <w:lang w:val="en-GB"/>
        </w:rPr>
      </w:pPr>
    </w:p>
    <w:p w14:paraId="2AB20D77" w14:textId="7F265DED" w:rsidR="00CD11A5" w:rsidRPr="0042688C" w:rsidRDefault="00E11AB7" w:rsidP="00E11AB7">
      <w:r>
        <w:t xml:space="preserve">Voorts moet er oog zijn voor de </w:t>
      </w:r>
      <w:r>
        <w:rPr>
          <w:b/>
        </w:rPr>
        <w:t>financiële lasten</w:t>
      </w:r>
      <w:r>
        <w:t xml:space="preserve"> van de lidstaten die de meeste vluchtelingen hebben opgevangen, ook op regionaal en lokaal niveau, en moeten de betreffende maatschappelijke organisaties, die ook daadwerkelijk moeten worden betrokken bij de programmering en monitoring van de humanitaire hulp van de EU en de lidstaten, financieel worden gesteund.</w:t>
      </w:r>
    </w:p>
    <w:p w14:paraId="2F88CCBB" w14:textId="77777777" w:rsidR="00CD11A5" w:rsidRPr="0042688C" w:rsidRDefault="00CD11A5" w:rsidP="00E11AB7">
      <w:pPr>
        <w:rPr>
          <w:lang w:val="en-GB"/>
        </w:rPr>
      </w:pPr>
    </w:p>
    <w:p w14:paraId="43108B99" w14:textId="0746624A" w:rsidR="00E11AB7" w:rsidRPr="0042688C" w:rsidRDefault="00CD11A5" w:rsidP="00E11AB7">
      <w:r>
        <w:t xml:space="preserve">Tot slot zijn wij er groot voorstander van dat de lessen die uit het conflict in Oekraïne zijn getrokken, worden verwerkt in het Europees migratiebeleid. </w:t>
      </w:r>
    </w:p>
    <w:p w14:paraId="0629D6B7" w14:textId="77777777" w:rsidR="00E64ACE" w:rsidRPr="0042688C" w:rsidRDefault="00E64ACE" w:rsidP="00E11AB7">
      <w:pPr>
        <w:rPr>
          <w:lang w:val="en-GB"/>
        </w:rPr>
      </w:pPr>
    </w:p>
    <w:p w14:paraId="6CC83C74" w14:textId="434FA680" w:rsidR="00E11AB7" w:rsidRPr="0042688C" w:rsidRDefault="00E11AB7" w:rsidP="00582961">
      <w:pPr>
        <w:keepNext/>
        <w:rPr>
          <w:b/>
          <w:bCs/>
        </w:rPr>
      </w:pPr>
      <w:r>
        <w:rPr>
          <w:b/>
        </w:rPr>
        <w:t>Het EESC en de nationale SER’s als belangrijke partners voor de follow-up van de Conferentie over de toekomst van Europa</w:t>
      </w:r>
    </w:p>
    <w:p w14:paraId="472D99E3" w14:textId="77777777" w:rsidR="009D63E3" w:rsidRPr="0042688C" w:rsidRDefault="009D63E3" w:rsidP="00582961">
      <w:pPr>
        <w:keepNext/>
        <w:rPr>
          <w:lang w:val="en-GB"/>
        </w:rPr>
      </w:pPr>
    </w:p>
    <w:p w14:paraId="5A5A230D" w14:textId="695A459D" w:rsidR="00EA356A" w:rsidRPr="0042688C" w:rsidRDefault="00E11AB7" w:rsidP="00E11AB7">
      <w:r>
        <w:t xml:space="preserve">Het EESC en de nationale SER’s pleiten al geruime tijd voor een </w:t>
      </w:r>
      <w:r>
        <w:rPr>
          <w:b/>
        </w:rPr>
        <w:t>sterkere participatiedemocratie</w:t>
      </w:r>
      <w:r>
        <w:t xml:space="preserve"> en een grotere inbreng in de besluitvorming van de EU, om het contact met de burgers in de EU te verbeteren en het </w:t>
      </w:r>
      <w:r>
        <w:rPr>
          <w:b/>
        </w:rPr>
        <w:t>maatschappelijk middenveld te betrekken bij het wetgevingsproces van de EU</w:t>
      </w:r>
      <w:r>
        <w:t xml:space="preserve">. Het doet ons genoegen dat de organisatie van de Conferentie over de toekomst van Europa heeft geleid tot een innovatieve bottom-up-exercitie waarbij burgers in de hele EU hun standpunten kenbaar konden maken. </w:t>
      </w:r>
    </w:p>
    <w:p w14:paraId="3B1C4059" w14:textId="77777777" w:rsidR="00EA356A" w:rsidRPr="0042688C" w:rsidRDefault="00EA356A" w:rsidP="00E11AB7">
      <w:pPr>
        <w:rPr>
          <w:lang w:val="en-GB"/>
        </w:rPr>
      </w:pPr>
    </w:p>
    <w:p w14:paraId="6D8C0F05" w14:textId="5966AE47" w:rsidR="00732FAB" w:rsidRPr="0042688C" w:rsidRDefault="00E11AB7" w:rsidP="00E11AB7">
      <w:r>
        <w:t>De 325 maatregelen ter verwezenlijking van de 49 doelstellingen, die zijn opgetekend in een eindverslag dat in mei 2022 is uitgebracht, zijn substantieel en ingrijpend. Het EESC en de nationale SER’s hebben hierbij een cruciale rol gespeeld door mee te helpen aan de organisatie van 75</w:t>
      </w:r>
      <w:r w:rsidR="000B707E">
        <w:t> </w:t>
      </w:r>
      <w:r>
        <w:t xml:space="preserve">evenementen, die in 60 % van de gevallen meer dan 7 600 deelnemers telden, en bij te dragen aan de uiteindelijke aanbevelingen. </w:t>
      </w:r>
    </w:p>
    <w:p w14:paraId="6896CA13" w14:textId="77777777" w:rsidR="008E6165" w:rsidRPr="0042688C" w:rsidRDefault="008E6165" w:rsidP="00E11AB7">
      <w:pPr>
        <w:rPr>
          <w:lang w:val="en-GB"/>
        </w:rPr>
      </w:pPr>
    </w:p>
    <w:p w14:paraId="517C309D" w14:textId="7CF49D0E" w:rsidR="00E11AB7" w:rsidRPr="0042688C" w:rsidRDefault="00AD0B61" w:rsidP="00E11AB7">
      <w:r>
        <w:t xml:space="preserve">Wij stellen met name vast dat in het eindverslag uitdrukkelijk wordt gewezen op het belang van het </w:t>
      </w:r>
      <w:r>
        <w:rPr>
          <w:b/>
        </w:rPr>
        <w:t>maatschappelijk middenveld in de Europese democratie</w:t>
      </w:r>
      <w:r>
        <w:t xml:space="preserve"> en dat de EU wordt aanbevolen om de sociale partners en het maatschappelijk middenveld in de EU meer te betrekken. Voorts wordt aangedrongen op “een grotere institutionele rol voor het EESC en op versterking van diens positie als facilitator en pleitbezorger van activiteiten op het gebied van participerende democratie”. </w:t>
      </w:r>
    </w:p>
    <w:p w14:paraId="06D708AB" w14:textId="77777777" w:rsidR="00AD0B61" w:rsidRPr="0042688C" w:rsidRDefault="00AD0B61" w:rsidP="00E11AB7">
      <w:pPr>
        <w:rPr>
          <w:lang w:val="en-GB"/>
        </w:rPr>
      </w:pPr>
    </w:p>
    <w:p w14:paraId="2461C6B0" w14:textId="1C53638D" w:rsidR="00E11AB7" w:rsidRPr="0042688C" w:rsidRDefault="00E11AB7" w:rsidP="00E11AB7">
      <w:r>
        <w:t xml:space="preserve">In de toespraak over de Staat van de Unie van 14 september erkende voorzitter Von der Leyen het belang van </w:t>
      </w:r>
      <w:r>
        <w:rPr>
          <w:b/>
        </w:rPr>
        <w:t>burgerpanels</w:t>
      </w:r>
      <w:r>
        <w:t>, die volgens haar een regulier onderdeel van het democratisch bestel moeten worden.</w:t>
      </w:r>
    </w:p>
    <w:p w14:paraId="4C3DC161" w14:textId="77777777" w:rsidR="00AD0B61" w:rsidRPr="0042688C" w:rsidRDefault="00AD0B61" w:rsidP="00E11AB7">
      <w:pPr>
        <w:rPr>
          <w:lang w:val="en-GB"/>
        </w:rPr>
      </w:pPr>
    </w:p>
    <w:p w14:paraId="561004A2" w14:textId="59FC5AD3" w:rsidR="00E11AB7" w:rsidRPr="0042688C" w:rsidRDefault="00E11AB7" w:rsidP="00E11AB7">
      <w:r>
        <w:t xml:space="preserve">Wij zijn er stellig van overtuigd dat een </w:t>
      </w:r>
      <w:r>
        <w:rPr>
          <w:b/>
        </w:rPr>
        <w:t>tastbare en transparante follow-up</w:t>
      </w:r>
      <w:r>
        <w:t xml:space="preserve"> van cruciaal belang is en dat het EESC en de nationale SER’s daar een essentieel onderdeel van moeten uitmaken. We moeten ervoor zorgen dat ons netwerk zo nauw mogelijk wordt betrokken bij toekomstige burgerpanels, die een structureel, permanent en institutioneel karakter moeten krijgen. </w:t>
      </w:r>
    </w:p>
    <w:p w14:paraId="7A87C7AA" w14:textId="77777777" w:rsidR="00EA356A" w:rsidRPr="0042688C" w:rsidRDefault="00EA356A" w:rsidP="00E11AB7">
      <w:pPr>
        <w:rPr>
          <w:lang w:val="en-GB"/>
        </w:rPr>
      </w:pPr>
    </w:p>
    <w:p w14:paraId="3F8EAB9E" w14:textId="413528C5" w:rsidR="00E11AB7" w:rsidRPr="0042688C" w:rsidRDefault="00E11AB7" w:rsidP="00E11AB7">
      <w:r>
        <w:t>Het EESC en de nationale SER’s kijken ernaar uit om volwaardig deel te nemen aan de follow-up van de conferentie en hieraan een waardevolle bijdrage te leveren. Wij zullen ervoor blijven ijveren dat de stem van het maatschappelijk middenveld op Europees niveau wordt gehoord.</w:t>
      </w:r>
    </w:p>
    <w:p w14:paraId="5F9C114F" w14:textId="4F1184BD" w:rsidR="004D688A" w:rsidRPr="0042688C" w:rsidRDefault="004D688A">
      <w:pPr>
        <w:rPr>
          <w:lang w:val="en-GB"/>
        </w:rPr>
      </w:pPr>
    </w:p>
    <w:p w14:paraId="25F67EC3" w14:textId="6B48A831" w:rsidR="00AB0E74" w:rsidRPr="0042688C" w:rsidRDefault="00AB0E74" w:rsidP="00582961">
      <w:pPr>
        <w:keepNext/>
      </w:pPr>
      <w:r>
        <w:rPr>
          <w:b/>
        </w:rPr>
        <w:t>De versterking van de open strategische autonomie van de EU vanuit het oogpunt van het EESC, de nationale SER’s en het maatschappelijk middenveld: de energie- en voedingssector</w:t>
      </w:r>
    </w:p>
    <w:p w14:paraId="1FE0E17B" w14:textId="77777777" w:rsidR="00C35904" w:rsidRPr="0042688C" w:rsidRDefault="00C35904" w:rsidP="00582961">
      <w:pPr>
        <w:keepNext/>
        <w:rPr>
          <w:lang w:val="en-GB"/>
        </w:rPr>
      </w:pPr>
    </w:p>
    <w:p w14:paraId="7C69C319" w14:textId="4166865C" w:rsidR="00AB0E74" w:rsidRPr="0042688C" w:rsidRDefault="00AB0E74" w:rsidP="00AB0E74">
      <w:r>
        <w:t xml:space="preserve">Als gevolg van de militaire invasie van Oekraïne door de Russische Federatie is er een geopolitieke situatie ontstaan die Europa en de rest van de wereld in een nog diepere </w:t>
      </w:r>
      <w:r>
        <w:rPr>
          <w:b/>
        </w:rPr>
        <w:t>energiecrisis</w:t>
      </w:r>
      <w:r>
        <w:t xml:space="preserve"> heeft gestort. Door het effect van de oorlog op de energievoorziening en -prijzen in de EU dringt de behoefte aan een grotere en sterkere </w:t>
      </w:r>
      <w:r>
        <w:rPr>
          <w:b/>
        </w:rPr>
        <w:t>open strategische autonomie van de EU op het gebied van energie</w:t>
      </w:r>
      <w:r>
        <w:t xml:space="preserve"> zich op. </w:t>
      </w:r>
    </w:p>
    <w:p w14:paraId="4AD8F0EE" w14:textId="77777777" w:rsidR="00AB0E74" w:rsidRPr="0042688C" w:rsidRDefault="00AB0E74" w:rsidP="00AB0E74">
      <w:pPr>
        <w:rPr>
          <w:lang w:val="en-GB"/>
        </w:rPr>
      </w:pPr>
    </w:p>
    <w:p w14:paraId="20AE6C49" w14:textId="6E23B4D6" w:rsidR="00EA356A" w:rsidRPr="0042688C" w:rsidRDefault="00AB0E74" w:rsidP="00AB0E74">
      <w:r>
        <w:t xml:space="preserve">De verwezenlijking van dit doel vergt in de eerste plaats dat de soevereiniteit van de EU wordt versterkt, dat de afhankelijkheid van de EU van onbetrouwbare leveranciers of van landen die de waarden van de EU niet delen tot een minimum wordt beperkt en dat de energievoorziening voor consumenten en bedrijven tegen een “zo betaalbaar mogelijke” prijs wordt gegarandeerd. </w:t>
      </w:r>
    </w:p>
    <w:p w14:paraId="7CAEF17F" w14:textId="77777777" w:rsidR="00EA356A" w:rsidRPr="0042688C" w:rsidRDefault="00EA356A" w:rsidP="00AB0E74">
      <w:pPr>
        <w:rPr>
          <w:lang w:val="en-GB"/>
        </w:rPr>
      </w:pPr>
    </w:p>
    <w:p w14:paraId="006E8222" w14:textId="1EDD39FB" w:rsidR="00AB0E74" w:rsidRPr="0042688C" w:rsidRDefault="00AB0E74" w:rsidP="00AB0E74">
      <w:r>
        <w:t xml:space="preserve">Dit betekent dat er in eerste instantie moet worden samengewerkt met landen die Europa op korte termijn energie kunnen leveren zonder dat er op lange termijn nieuwe afhankelijkheden ontstaan en dat er, in tweede instantie, wordt overgegaan tot de ontwikkeling van een duurzamer energiesysteem voor de EU, in overeenstemming met de groene transitie zoals omschreven in de Europese Green Deal en het “Fit for 55”-pakket. </w:t>
      </w:r>
    </w:p>
    <w:p w14:paraId="2AC9972F" w14:textId="77777777" w:rsidR="00AB0E74" w:rsidRPr="0042688C" w:rsidRDefault="00AB0E74" w:rsidP="00AB0E74">
      <w:pPr>
        <w:rPr>
          <w:lang w:val="en-GB"/>
        </w:rPr>
      </w:pPr>
    </w:p>
    <w:p w14:paraId="2A830322" w14:textId="427A4987" w:rsidR="00AB0E74" w:rsidRPr="0042688C" w:rsidRDefault="00AB0E74" w:rsidP="00AB0E74">
      <w:r>
        <w:t xml:space="preserve">Het EESC en de nationale SER’s herhalen dat het bereiken van strategische autonomie hand in hand gaat met de naleving van de </w:t>
      </w:r>
      <w:r>
        <w:rPr>
          <w:b/>
        </w:rPr>
        <w:t>klimaatdoelstellingen</w:t>
      </w:r>
      <w:r>
        <w:t xml:space="preserve"> die op EU-niveau zijn vastgesteld. Een energievoorziening op basis van hernieuwbare energiebronnen in de EU of koolstofarme energie zou aanzienlijk bijdragen tot onze </w:t>
      </w:r>
      <w:r>
        <w:rPr>
          <w:b/>
        </w:rPr>
        <w:t>energiezekerheid</w:t>
      </w:r>
      <w:r>
        <w:t>. Daarom moet het EU-potentieel op het gebied van zelfgeproduceerde hernieuwbare energie op zo breed mogelijke schaal worden benut. In dit verband onderstrepen wij dat omvangrijke investeringen in slimme en hernieuwbare energiesystemen en opslaginfrastructuur uiterst belangrijk zijn.</w:t>
      </w:r>
    </w:p>
    <w:p w14:paraId="785DE433" w14:textId="77777777" w:rsidR="00AB0E74" w:rsidRPr="0042688C" w:rsidRDefault="00AB0E74" w:rsidP="00AB0E74">
      <w:pPr>
        <w:rPr>
          <w:lang w:val="en-GB"/>
        </w:rPr>
      </w:pPr>
    </w:p>
    <w:p w14:paraId="7F1BEC57" w14:textId="76221FE0" w:rsidR="00AB0E74" w:rsidRPr="0042688C" w:rsidRDefault="00AB0E74" w:rsidP="00AB0E74">
      <w:r>
        <w:t xml:space="preserve">De stijging van de energieprijzen heeft geleid tot een gierende inflatie in de energiesector en de economie in ruimere zin, en een toenemend aantal burgers in de EU wordt getroffen door energiearmoede. Daarom is het van belang dat investeringen in energie-efficiëntie, alsook grootschalige renovatie van gebouwen ten goede komen aan de laagste-inkomensgroepen. Door ervoor te zorgen dat </w:t>
      </w:r>
      <w:r>
        <w:rPr>
          <w:b/>
        </w:rPr>
        <w:t>huishoudens</w:t>
      </w:r>
      <w:r>
        <w:t xml:space="preserve"> over de financiële middelen beschikken om </w:t>
      </w:r>
      <w:r>
        <w:rPr>
          <w:b/>
        </w:rPr>
        <w:t>zelf energie te produceren</w:t>
      </w:r>
      <w:r>
        <w:t xml:space="preserve"> (prosumenten), kunnen zij individueel of als onderdeel van </w:t>
      </w:r>
      <w:r>
        <w:rPr>
          <w:b/>
        </w:rPr>
        <w:t>energiegemeenschappen</w:t>
      </w:r>
      <w:r>
        <w:t xml:space="preserve"> bijdragen tot strategische autonomie.</w:t>
      </w:r>
    </w:p>
    <w:p w14:paraId="78966EFC" w14:textId="77777777" w:rsidR="00AB0E74" w:rsidRPr="0042688C" w:rsidRDefault="00AB0E74" w:rsidP="00AB0E74">
      <w:pPr>
        <w:rPr>
          <w:lang w:val="en-GB"/>
        </w:rPr>
      </w:pPr>
    </w:p>
    <w:p w14:paraId="6D46CBC3" w14:textId="75135C99" w:rsidR="00AB0E74" w:rsidRPr="0042688C" w:rsidRDefault="00AB0E74" w:rsidP="00AB0E74">
      <w:r>
        <w:t xml:space="preserve">Tot slot zijn wij van mening dat bij alle maatregelen die in het kader van de </w:t>
      </w:r>
      <w:r>
        <w:rPr>
          <w:b/>
        </w:rPr>
        <w:t>energietransitie</w:t>
      </w:r>
      <w:r>
        <w:t xml:space="preserve"> worden gepland, rekening moet worden gehouden met de sociale dimensie, teneinde het publieke draagvlak voor de noodzakelijke veranderingen niet op het spel te zetten en voor een rechtvaardige transitie te zorgen, alsook het pad te effenen voor positieve ontwikkelingen in de economie, waaronder het scheppen van nieuwe banen, die de maatschappelijke acceptatie en omarming van de energietransitie door burgers en bedrijven bevorderen en aldus strategische autonomie dichterbij brengen. Wat bedrijven betreft, is het van essentieel belang dat de energietransitie op een zodanige manier wordt gerealiseerd dat er altijd </w:t>
      </w:r>
      <w:r>
        <w:rPr>
          <w:b/>
        </w:rPr>
        <w:t>betaalbare energie voorhanden is</w:t>
      </w:r>
      <w:r>
        <w:t xml:space="preserve">, omdat we anders het risico lopen belangrijke sectoren te verliezen, die ofwel permanent sluiten ofwel naar een ander continent verhuizen. Maatschappelijke organisaties hebben een duidelijke rol te spelen bij het ondersteunen van (met name de meest kwetsbare) burgers, consumenten en bedrijven in hun streven naar rechtvaardige energietransitie. Zij kunnen noodhulp bieden aan degenen die zich in de meest kritieke situatie bevinden, inclusief aan </w:t>
      </w:r>
      <w:r>
        <w:rPr>
          <w:b/>
        </w:rPr>
        <w:t>kmo’s</w:t>
      </w:r>
      <w:r>
        <w:t xml:space="preserve"> en </w:t>
      </w:r>
      <w:r>
        <w:rPr>
          <w:b/>
        </w:rPr>
        <w:t>energie-intensieve sectoren</w:t>
      </w:r>
      <w:r>
        <w:t xml:space="preserve">. Zij zijn betrokken bij grote voorlichtingscampagnes over energiebesparing en vermindering van het gasverbruik. </w:t>
      </w:r>
    </w:p>
    <w:p w14:paraId="55128A2B" w14:textId="77777777" w:rsidR="00AB0E74" w:rsidRPr="0042688C" w:rsidRDefault="00AB0E74" w:rsidP="00AB0E74">
      <w:pPr>
        <w:rPr>
          <w:lang w:val="en-GB"/>
        </w:rPr>
      </w:pPr>
    </w:p>
    <w:p w14:paraId="5003EDB4" w14:textId="3EFBB8E8" w:rsidR="00AB0E74" w:rsidRPr="0042688C" w:rsidRDefault="00AB0E74" w:rsidP="00AB0E74">
      <w:r>
        <w:t xml:space="preserve">Wat de </w:t>
      </w:r>
      <w:r>
        <w:rPr>
          <w:b/>
        </w:rPr>
        <w:t>levensmiddelensector</w:t>
      </w:r>
      <w:r>
        <w:t xml:space="preserve"> betreft, is de beschikbaarheid van voedsel op dit moment geen probleem in de EU, zo blijkt uit een recente publicatie van het Europees Parlement. De betaalbaarheid, daarentegen, is dat wel: vanwege de sterk gestegen prijzen van landbouwproducten en inputs bij de </w:t>
      </w:r>
      <w:r>
        <w:lastRenderedPageBreak/>
        <w:t xml:space="preserve">voedselproductie dreigen </w:t>
      </w:r>
      <w:r>
        <w:rPr>
          <w:b/>
        </w:rPr>
        <w:t>levensmiddelen</w:t>
      </w:r>
      <w:r>
        <w:t xml:space="preserve"> met name voor huishoudens met een laag inkomen </w:t>
      </w:r>
      <w:r>
        <w:rPr>
          <w:b/>
        </w:rPr>
        <w:t>steeds onbetaalbaarder</w:t>
      </w:r>
      <w:r>
        <w:t xml:space="preserve"> te worden. Zelfs vóór de oorlog in Oekraïne hebben het EESC en de nationale SER’s al voorgesteld om de </w:t>
      </w:r>
      <w:r>
        <w:rPr>
          <w:b/>
        </w:rPr>
        <w:t>strategische autonomie van de EU voor voedselsystemen te versterken</w:t>
      </w:r>
      <w:r>
        <w:t>.</w:t>
      </w:r>
    </w:p>
    <w:p w14:paraId="6D95A3D5" w14:textId="77777777" w:rsidR="00AB0E74" w:rsidRPr="0042688C" w:rsidRDefault="00AB0E74" w:rsidP="00AB0E74">
      <w:pPr>
        <w:rPr>
          <w:lang w:val="en-GB"/>
        </w:rPr>
      </w:pPr>
    </w:p>
    <w:p w14:paraId="41C2E197" w14:textId="59F17332" w:rsidR="00AB0E74" w:rsidRPr="0042688C" w:rsidRDefault="00AB0E74" w:rsidP="00AB0E74">
      <w:r>
        <w:t>Zoals eerder aangegeven, verstaan wij hieronder een autonomie die gebaseerd is op voedselproductie, arbeidskrachten en eerlijke handel, met als doel voedselzekerheid en duurzaam voedsel voor alle EU-burgers veilig te stellen door middel van een eerlijke, gezonde, duurzame en veerkrachtige levensmiddelenvoorziening. Om dit te bereiken, stellen wij een reeks maatregelen voor.</w:t>
      </w:r>
    </w:p>
    <w:p w14:paraId="410EE9E4" w14:textId="77777777" w:rsidR="00AB0E74" w:rsidRPr="0042688C" w:rsidRDefault="00AB0E74" w:rsidP="00AB0E74">
      <w:pPr>
        <w:rPr>
          <w:lang w:val="en-GB"/>
        </w:rPr>
      </w:pPr>
    </w:p>
    <w:p w14:paraId="6C553778" w14:textId="14107DEF" w:rsidR="00AB0E74" w:rsidRPr="0042688C" w:rsidRDefault="00AB0E74" w:rsidP="00AB0E74">
      <w:r>
        <w:t xml:space="preserve">Om afhankelijkheid van leveranciers met een monopolie voor bepaalde landbouwproducten of productiemiddelen te voorkomen, dringen wij er nogmaals op aan om </w:t>
      </w:r>
      <w:r>
        <w:rPr>
          <w:b/>
        </w:rPr>
        <w:t>na te gaan of de beschikbaarheid van voedsel in de EU is veiliggesteld</w:t>
      </w:r>
      <w:r>
        <w:t xml:space="preserve">. Wij stellen voor onze afhankelijkheid van landbouwproductiemiddelen te verminderen. Het EESC en de nationale SER’s pleiten voor </w:t>
      </w:r>
      <w:r>
        <w:rPr>
          <w:b/>
        </w:rPr>
        <w:t>diversifiëring van voedselsystemen in de EU</w:t>
      </w:r>
      <w:r>
        <w:t>, met inbegrip van biologische landbouw, boerderijwinkels en stadslandbouw, en steunen de “local-for-local”-aanpak.</w:t>
      </w:r>
    </w:p>
    <w:p w14:paraId="637E7770" w14:textId="77777777" w:rsidR="00AB0E74" w:rsidRPr="0042688C" w:rsidRDefault="00AB0E74" w:rsidP="00AB0E74">
      <w:pPr>
        <w:rPr>
          <w:lang w:val="en-GB"/>
        </w:rPr>
      </w:pPr>
    </w:p>
    <w:p w14:paraId="6E1E212C" w14:textId="57BBEF19" w:rsidR="00AB0E74" w:rsidRPr="0042688C" w:rsidRDefault="00AB0E74" w:rsidP="00AB0E74">
      <w:r>
        <w:t xml:space="preserve">Om de EU veerkrachtiger te maken op het gebied van voedsel, roepen wij op tot </w:t>
      </w:r>
      <w:r>
        <w:rPr>
          <w:b/>
        </w:rPr>
        <w:t>korte toeleveringsketens</w:t>
      </w:r>
      <w:r>
        <w:t xml:space="preserve"> en </w:t>
      </w:r>
      <w:r>
        <w:rPr>
          <w:b/>
        </w:rPr>
        <w:t>intelligent beheer van voedselvoorraden</w:t>
      </w:r>
      <w:r>
        <w:t xml:space="preserve">. Om de gestructureerde betrokkenheid van het maatschappelijk middenveld en belanghebbenden in de hele voedselvoorzieningsketen te waarborgen, herinneren wij aan onze aanbeveling om de mogelijkheid van een </w:t>
      </w:r>
      <w:r>
        <w:rPr>
          <w:b/>
        </w:rPr>
        <w:t>Europese Voedselraad</w:t>
      </w:r>
      <w:r>
        <w:t xml:space="preserve"> te onderzoeken, die de risico’s in de voedselvoorzieningsketen zou kunnen helpen beoordelen.</w:t>
      </w:r>
    </w:p>
    <w:p w14:paraId="7B367837" w14:textId="28A0D413" w:rsidR="00E11AB7" w:rsidRPr="0042688C" w:rsidRDefault="00E11AB7">
      <w:pPr>
        <w:rPr>
          <w:lang w:val="en-GB"/>
        </w:rPr>
      </w:pPr>
    </w:p>
    <w:p w14:paraId="7E7763AF" w14:textId="44B2E57C" w:rsidR="00A52B4A" w:rsidRDefault="009F2383" w:rsidP="00A52B4A">
      <w:r>
        <w:t xml:space="preserve">De geopolitieke uitdagingen waarmee de EU momenteel wordt geconfronteerd, bieden de Unie de </w:t>
      </w:r>
      <w:r>
        <w:rPr>
          <w:b/>
        </w:rPr>
        <w:t>kans</w:t>
      </w:r>
      <w:r>
        <w:t xml:space="preserve"> om zich zowel assertiever op te stellen op het wereldtoneel als haar economische en sociale cohesie te versterken. Het EESC en de nationale SER’s benadrukken dat het cruciaal is dat het Europees maatschappelijk middenveld wordt gehoord, als we deze uitdagingen het hoofd willen bieden. Daarom is het van bijzonder groot belang dat de nationale SER’s daadwerkelijk worden betrokken bij het beleidsvormingsproces en dat zij voldoende tijd krijgen om hun standpunten over wetgevingsvoorstellen kenbaar te maken. </w:t>
      </w:r>
      <w:bookmarkStart w:id="0" w:name="_Hlk119076917"/>
      <w:r>
        <w:t>Om de huidige crises te boven te komen moet de EU steunen op sociale dialoog op elk niveau en op civiele dialoog.</w:t>
      </w:r>
      <w:bookmarkEnd w:id="0"/>
    </w:p>
    <w:p w14:paraId="42B54620" w14:textId="45383A98" w:rsidR="00DD680E" w:rsidRPr="0042688C" w:rsidRDefault="00DD680E">
      <w:pPr>
        <w:rPr>
          <w:lang w:val="en-GB"/>
        </w:rPr>
      </w:pPr>
    </w:p>
    <w:p w14:paraId="4B7A0930" w14:textId="2AC61F83" w:rsidR="001E1C56" w:rsidRPr="0042688C" w:rsidRDefault="001E1C56">
      <w:pPr>
        <w:rPr>
          <w:lang w:val="en-GB"/>
        </w:rPr>
      </w:pPr>
    </w:p>
    <w:p w14:paraId="49F206FC" w14:textId="77777777" w:rsidR="001E1C56" w:rsidRPr="009C16C3" w:rsidRDefault="001E1C56">
      <w:pPr>
        <w:overflowPunct w:val="0"/>
        <w:autoSpaceDE w:val="0"/>
        <w:autoSpaceDN w:val="0"/>
        <w:adjustRightInd w:val="0"/>
        <w:jc w:val="center"/>
        <w:textAlignment w:val="baseline"/>
      </w:pPr>
      <w:r>
        <w:t>_____________</w:t>
      </w:r>
    </w:p>
    <w:p w14:paraId="0DB3BC56" w14:textId="25500604" w:rsidR="001E1C56" w:rsidRPr="0042688C" w:rsidRDefault="001E1C56">
      <w:pPr>
        <w:rPr>
          <w:lang w:val="en-GB"/>
        </w:rPr>
      </w:pPr>
    </w:p>
    <w:sectPr w:rsidR="001E1C56" w:rsidRPr="0042688C" w:rsidSect="007A11EC">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4281" w14:textId="77777777" w:rsidR="00DF36C4" w:rsidRDefault="00DF36C4" w:rsidP="00AB0E74">
      <w:pPr>
        <w:spacing w:line="240" w:lineRule="auto"/>
      </w:pPr>
      <w:r>
        <w:separator/>
      </w:r>
    </w:p>
  </w:endnote>
  <w:endnote w:type="continuationSeparator" w:id="0">
    <w:p w14:paraId="161EE94F" w14:textId="77777777" w:rsidR="00DF36C4" w:rsidRDefault="00DF36C4" w:rsidP="00AB0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C6C5" w14:textId="783CAC46" w:rsidR="00710E3E" w:rsidRPr="007A11EC" w:rsidRDefault="007A11EC" w:rsidP="007A11EC">
    <w:pPr>
      <w:pStyle w:val="Footer"/>
    </w:pPr>
    <w:r>
      <w:t xml:space="preserve">EESC-2022-05261-00-02-TCD-TRA (EN) </w:t>
    </w:r>
    <w:r>
      <w:fldChar w:fldCharType="begin"/>
    </w:r>
    <w:r>
      <w:instrText xml:space="preserve"> PAGE  \* Arabic  \* MERGEFORMAT </w:instrText>
    </w:r>
    <w:r>
      <w:fldChar w:fldCharType="separate"/>
    </w:r>
    <w:r w:rsidR="007C2F2C">
      <w:t>1</w:t>
    </w:r>
    <w:r>
      <w:fldChar w:fldCharType="end"/>
    </w:r>
    <w:r>
      <w:t>/</w:t>
    </w:r>
    <w:r w:rsidR="0067788A">
      <w:fldChar w:fldCharType="begin"/>
    </w:r>
    <w:r w:rsidR="0067788A">
      <w:instrText xml:space="preserve"> NUMPAGES </w:instrText>
    </w:r>
    <w:r w:rsidR="0067788A">
      <w:fldChar w:fldCharType="separate"/>
    </w:r>
    <w:r w:rsidR="007C2F2C">
      <w:t>1</w:t>
    </w:r>
    <w:r w:rsidR="0067788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1347" w14:textId="77777777" w:rsidR="007A11EC" w:rsidRPr="007A11EC" w:rsidRDefault="007A11EC" w:rsidP="007A1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9110" w14:textId="481FC628" w:rsidR="00E37925" w:rsidRPr="007A11EC" w:rsidRDefault="007A11EC" w:rsidP="007A11EC">
    <w:pPr>
      <w:pStyle w:val="Footer"/>
    </w:pPr>
    <w:r>
      <w:t xml:space="preserve">EESC-2022-05261-00-02-TCD-TRA (EN) </w:t>
    </w:r>
    <w:r>
      <w:fldChar w:fldCharType="begin"/>
    </w:r>
    <w:r>
      <w:instrText xml:space="preserve"> PAGE  \* Arabic  \* MERGEFORMAT </w:instrText>
    </w:r>
    <w:r>
      <w:fldChar w:fldCharType="separate"/>
    </w:r>
    <w:r>
      <w:t>2</w:t>
    </w:r>
    <w:r>
      <w:fldChar w:fldCharType="end"/>
    </w:r>
    <w:r>
      <w:t>/</w:t>
    </w:r>
    <w:r w:rsidR="0067788A">
      <w:fldChar w:fldCharType="begin"/>
    </w:r>
    <w:r w:rsidR="0067788A">
      <w:instrText xml:space="preserve"> NUMPAGES </w:instrText>
    </w:r>
    <w:r w:rsidR="0067788A">
      <w:fldChar w:fldCharType="separate"/>
    </w:r>
    <w:r>
      <w:t>5</w:t>
    </w:r>
    <w:r w:rsidR="0067788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FB4B" w14:textId="77777777" w:rsidR="007A11EC" w:rsidRPr="007A11EC" w:rsidRDefault="007A11EC" w:rsidP="007A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AA90" w14:textId="77777777" w:rsidR="00DF36C4" w:rsidRDefault="00DF36C4" w:rsidP="00AB0E74">
      <w:pPr>
        <w:spacing w:line="240" w:lineRule="auto"/>
      </w:pPr>
      <w:r>
        <w:separator/>
      </w:r>
    </w:p>
  </w:footnote>
  <w:footnote w:type="continuationSeparator" w:id="0">
    <w:p w14:paraId="7B2270EA" w14:textId="77777777" w:rsidR="00DF36C4" w:rsidRDefault="00DF36C4" w:rsidP="00AB0E74">
      <w:pPr>
        <w:spacing w:line="240" w:lineRule="auto"/>
      </w:pPr>
      <w:r>
        <w:continuationSeparator/>
      </w:r>
    </w:p>
  </w:footnote>
  <w:footnote w:id="1">
    <w:p w14:paraId="3FA7F98B" w14:textId="33B50335" w:rsidR="00A23889" w:rsidRPr="001B59A2" w:rsidRDefault="00A23889" w:rsidP="00A23889">
      <w:pPr>
        <w:pStyle w:val="FootnoteText"/>
      </w:pPr>
      <w:r>
        <w:rPr>
          <w:rStyle w:val="FootnoteReference"/>
        </w:rPr>
        <w:footnoteRef/>
      </w:r>
      <w:r>
        <w:tab/>
      </w:r>
      <w:hyperlink r:id="rId1" w:history="1">
        <w:r>
          <w:rPr>
            <w:rStyle w:val="Hyperlink"/>
          </w:rPr>
          <w:t>Ukraine Refugee Situation (unhcr.org)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A348" w14:textId="77777777" w:rsidR="007A11EC" w:rsidRPr="007A11EC" w:rsidRDefault="007A11EC" w:rsidP="007A1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3F8E" w14:textId="61978F4C" w:rsidR="007A11EC" w:rsidRPr="007A11EC" w:rsidRDefault="007A11EC" w:rsidP="007A1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A397" w14:textId="77777777" w:rsidR="007A11EC" w:rsidRPr="007A11EC" w:rsidRDefault="007A11EC" w:rsidP="007A1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B7"/>
    <w:rsid w:val="000B2D3D"/>
    <w:rsid w:val="000B707E"/>
    <w:rsid w:val="000E5927"/>
    <w:rsid w:val="00112BBA"/>
    <w:rsid w:val="00114E7D"/>
    <w:rsid w:val="00193F06"/>
    <w:rsid w:val="001C6CEB"/>
    <w:rsid w:val="001C78AB"/>
    <w:rsid w:val="001D34EA"/>
    <w:rsid w:val="001E1C56"/>
    <w:rsid w:val="002339E7"/>
    <w:rsid w:val="002717FB"/>
    <w:rsid w:val="002745AB"/>
    <w:rsid w:val="00281D8D"/>
    <w:rsid w:val="00286AA7"/>
    <w:rsid w:val="003409F7"/>
    <w:rsid w:val="003470BD"/>
    <w:rsid w:val="003D77DF"/>
    <w:rsid w:val="004018EB"/>
    <w:rsid w:val="0042688C"/>
    <w:rsid w:val="004C5E40"/>
    <w:rsid w:val="004D2464"/>
    <w:rsid w:val="004D688A"/>
    <w:rsid w:val="004E12C5"/>
    <w:rsid w:val="005369B6"/>
    <w:rsid w:val="005718B4"/>
    <w:rsid w:val="00582961"/>
    <w:rsid w:val="005A0C10"/>
    <w:rsid w:val="005C60B5"/>
    <w:rsid w:val="005D4D0B"/>
    <w:rsid w:val="00634C1E"/>
    <w:rsid w:val="00646187"/>
    <w:rsid w:val="0067788A"/>
    <w:rsid w:val="006A5353"/>
    <w:rsid w:val="00710E3E"/>
    <w:rsid w:val="00732FAB"/>
    <w:rsid w:val="00751EE8"/>
    <w:rsid w:val="00761592"/>
    <w:rsid w:val="007A11EC"/>
    <w:rsid w:val="007C2F2C"/>
    <w:rsid w:val="007D5A07"/>
    <w:rsid w:val="008602E8"/>
    <w:rsid w:val="008B0467"/>
    <w:rsid w:val="008E6165"/>
    <w:rsid w:val="00902587"/>
    <w:rsid w:val="0091138C"/>
    <w:rsid w:val="00990460"/>
    <w:rsid w:val="009C16C3"/>
    <w:rsid w:val="009D1D9E"/>
    <w:rsid w:val="009D63E3"/>
    <w:rsid w:val="009F2383"/>
    <w:rsid w:val="00A20DE2"/>
    <w:rsid w:val="00A23889"/>
    <w:rsid w:val="00A52B4A"/>
    <w:rsid w:val="00A7344E"/>
    <w:rsid w:val="00A91EDD"/>
    <w:rsid w:val="00A977AA"/>
    <w:rsid w:val="00AB0E74"/>
    <w:rsid w:val="00AD0B61"/>
    <w:rsid w:val="00AE523D"/>
    <w:rsid w:val="00B96500"/>
    <w:rsid w:val="00BB2526"/>
    <w:rsid w:val="00BD6509"/>
    <w:rsid w:val="00C35904"/>
    <w:rsid w:val="00C65076"/>
    <w:rsid w:val="00C715F9"/>
    <w:rsid w:val="00CD11A5"/>
    <w:rsid w:val="00CD2E0C"/>
    <w:rsid w:val="00D77037"/>
    <w:rsid w:val="00DB1CC6"/>
    <w:rsid w:val="00DD075F"/>
    <w:rsid w:val="00DD0B68"/>
    <w:rsid w:val="00DD680E"/>
    <w:rsid w:val="00DF36C4"/>
    <w:rsid w:val="00DF582F"/>
    <w:rsid w:val="00DF6765"/>
    <w:rsid w:val="00E11AB7"/>
    <w:rsid w:val="00E2452C"/>
    <w:rsid w:val="00E24F6C"/>
    <w:rsid w:val="00E37925"/>
    <w:rsid w:val="00E64ACE"/>
    <w:rsid w:val="00EA356A"/>
    <w:rsid w:val="00ED2657"/>
    <w:rsid w:val="00EE1F8D"/>
    <w:rsid w:val="00EE7FCA"/>
    <w:rsid w:val="00F055EB"/>
    <w:rsid w:val="00F15CBC"/>
    <w:rsid w:val="00F2266E"/>
    <w:rsid w:val="00FC28EE"/>
    <w:rsid w:val="00FC4431"/>
    <w:rsid w:val="00FD2E5E"/>
    <w:rsid w:val="00FD7E5A"/>
    <w:rsid w:val="00FE48EB"/>
    <w:rsid w:val="00FE51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557641"/>
  <w15:chartTrackingRefBased/>
  <w15:docId w15:val="{FFEDAFD3-E81C-4D1D-854D-5FE53975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E11AB7"/>
    <w:pPr>
      <w:numPr>
        <w:numId w:val="1"/>
      </w:numPr>
      <w:ind w:left="567" w:hanging="567"/>
      <w:outlineLvl w:val="0"/>
    </w:pPr>
    <w:rPr>
      <w:kern w:val="28"/>
    </w:rPr>
  </w:style>
  <w:style w:type="paragraph" w:styleId="Heading2">
    <w:name w:val="heading 2"/>
    <w:basedOn w:val="Normal"/>
    <w:next w:val="Normal"/>
    <w:link w:val="Heading2Char"/>
    <w:qFormat/>
    <w:rsid w:val="00E11AB7"/>
    <w:pPr>
      <w:numPr>
        <w:ilvl w:val="1"/>
        <w:numId w:val="1"/>
      </w:numPr>
      <w:ind w:left="567" w:hanging="567"/>
      <w:outlineLvl w:val="1"/>
    </w:pPr>
  </w:style>
  <w:style w:type="paragraph" w:styleId="Heading3">
    <w:name w:val="heading 3"/>
    <w:basedOn w:val="Normal"/>
    <w:next w:val="Normal"/>
    <w:link w:val="Heading3Char"/>
    <w:qFormat/>
    <w:rsid w:val="00E11AB7"/>
    <w:pPr>
      <w:numPr>
        <w:ilvl w:val="2"/>
        <w:numId w:val="1"/>
      </w:numPr>
      <w:ind w:left="567" w:hanging="567"/>
      <w:outlineLvl w:val="2"/>
    </w:pPr>
  </w:style>
  <w:style w:type="paragraph" w:styleId="Heading4">
    <w:name w:val="heading 4"/>
    <w:basedOn w:val="Normal"/>
    <w:next w:val="Normal"/>
    <w:link w:val="Heading4Char"/>
    <w:qFormat/>
    <w:rsid w:val="00E11AB7"/>
    <w:pPr>
      <w:numPr>
        <w:ilvl w:val="3"/>
        <w:numId w:val="1"/>
      </w:numPr>
      <w:ind w:left="567" w:hanging="567"/>
      <w:outlineLvl w:val="3"/>
    </w:pPr>
  </w:style>
  <w:style w:type="paragraph" w:styleId="Heading5">
    <w:name w:val="heading 5"/>
    <w:basedOn w:val="Normal"/>
    <w:next w:val="Normal"/>
    <w:link w:val="Heading5Char"/>
    <w:qFormat/>
    <w:rsid w:val="00E11AB7"/>
    <w:pPr>
      <w:numPr>
        <w:ilvl w:val="4"/>
        <w:numId w:val="1"/>
      </w:numPr>
      <w:ind w:left="567" w:hanging="567"/>
      <w:outlineLvl w:val="4"/>
    </w:pPr>
  </w:style>
  <w:style w:type="paragraph" w:styleId="Heading6">
    <w:name w:val="heading 6"/>
    <w:basedOn w:val="Normal"/>
    <w:next w:val="Normal"/>
    <w:link w:val="Heading6Char"/>
    <w:qFormat/>
    <w:rsid w:val="00E11AB7"/>
    <w:pPr>
      <w:numPr>
        <w:ilvl w:val="5"/>
        <w:numId w:val="1"/>
      </w:numPr>
      <w:ind w:left="567" w:hanging="567"/>
      <w:outlineLvl w:val="5"/>
    </w:pPr>
  </w:style>
  <w:style w:type="paragraph" w:styleId="Heading7">
    <w:name w:val="heading 7"/>
    <w:basedOn w:val="Normal"/>
    <w:next w:val="Normal"/>
    <w:link w:val="Heading7Char"/>
    <w:qFormat/>
    <w:rsid w:val="00E11AB7"/>
    <w:pPr>
      <w:numPr>
        <w:ilvl w:val="6"/>
        <w:numId w:val="1"/>
      </w:numPr>
      <w:ind w:left="567" w:hanging="567"/>
      <w:outlineLvl w:val="6"/>
    </w:pPr>
  </w:style>
  <w:style w:type="paragraph" w:styleId="Heading8">
    <w:name w:val="heading 8"/>
    <w:basedOn w:val="Normal"/>
    <w:next w:val="Normal"/>
    <w:link w:val="Heading8Char"/>
    <w:qFormat/>
    <w:rsid w:val="00E11AB7"/>
    <w:pPr>
      <w:numPr>
        <w:ilvl w:val="7"/>
        <w:numId w:val="1"/>
      </w:numPr>
      <w:ind w:left="567" w:hanging="567"/>
      <w:outlineLvl w:val="7"/>
    </w:pPr>
  </w:style>
  <w:style w:type="paragraph" w:styleId="Heading9">
    <w:name w:val="heading 9"/>
    <w:basedOn w:val="Normal"/>
    <w:next w:val="Normal"/>
    <w:link w:val="Heading9Char"/>
    <w:qFormat/>
    <w:rsid w:val="00E11A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AB7"/>
    <w:rPr>
      <w:rFonts w:ascii="Times New Roman" w:eastAsia="Times New Roman" w:hAnsi="Times New Roman" w:cs="Times New Roman"/>
      <w:kern w:val="28"/>
      <w:lang w:val="nl-NL"/>
    </w:rPr>
  </w:style>
  <w:style w:type="character" w:customStyle="1" w:styleId="Heading2Char">
    <w:name w:val="Heading 2 Char"/>
    <w:basedOn w:val="DefaultParagraphFont"/>
    <w:link w:val="Heading2"/>
    <w:rsid w:val="00E11AB7"/>
    <w:rPr>
      <w:rFonts w:ascii="Times New Roman" w:eastAsia="Times New Roman" w:hAnsi="Times New Roman" w:cs="Times New Roman"/>
      <w:lang w:val="nl-NL"/>
    </w:rPr>
  </w:style>
  <w:style w:type="character" w:customStyle="1" w:styleId="Heading3Char">
    <w:name w:val="Heading 3 Char"/>
    <w:basedOn w:val="DefaultParagraphFont"/>
    <w:link w:val="Heading3"/>
    <w:rsid w:val="00E11AB7"/>
    <w:rPr>
      <w:rFonts w:ascii="Times New Roman" w:eastAsia="Times New Roman" w:hAnsi="Times New Roman" w:cs="Times New Roman"/>
      <w:lang w:val="nl-NL"/>
    </w:rPr>
  </w:style>
  <w:style w:type="character" w:customStyle="1" w:styleId="Heading4Char">
    <w:name w:val="Heading 4 Char"/>
    <w:basedOn w:val="DefaultParagraphFont"/>
    <w:link w:val="Heading4"/>
    <w:rsid w:val="00E11AB7"/>
    <w:rPr>
      <w:rFonts w:ascii="Times New Roman" w:eastAsia="Times New Roman" w:hAnsi="Times New Roman" w:cs="Times New Roman"/>
      <w:lang w:val="nl-NL"/>
    </w:rPr>
  </w:style>
  <w:style w:type="character" w:customStyle="1" w:styleId="Heading5Char">
    <w:name w:val="Heading 5 Char"/>
    <w:basedOn w:val="DefaultParagraphFont"/>
    <w:link w:val="Heading5"/>
    <w:rsid w:val="00E11AB7"/>
    <w:rPr>
      <w:rFonts w:ascii="Times New Roman" w:eastAsia="Times New Roman" w:hAnsi="Times New Roman" w:cs="Times New Roman"/>
      <w:lang w:val="nl-NL"/>
    </w:rPr>
  </w:style>
  <w:style w:type="character" w:customStyle="1" w:styleId="Heading6Char">
    <w:name w:val="Heading 6 Char"/>
    <w:basedOn w:val="DefaultParagraphFont"/>
    <w:link w:val="Heading6"/>
    <w:rsid w:val="00E11AB7"/>
    <w:rPr>
      <w:rFonts w:ascii="Times New Roman" w:eastAsia="Times New Roman" w:hAnsi="Times New Roman" w:cs="Times New Roman"/>
      <w:lang w:val="nl-NL"/>
    </w:rPr>
  </w:style>
  <w:style w:type="character" w:customStyle="1" w:styleId="Heading7Char">
    <w:name w:val="Heading 7 Char"/>
    <w:basedOn w:val="DefaultParagraphFont"/>
    <w:link w:val="Heading7"/>
    <w:rsid w:val="00E11AB7"/>
    <w:rPr>
      <w:rFonts w:ascii="Times New Roman" w:eastAsia="Times New Roman" w:hAnsi="Times New Roman" w:cs="Times New Roman"/>
      <w:lang w:val="nl-NL"/>
    </w:rPr>
  </w:style>
  <w:style w:type="character" w:customStyle="1" w:styleId="Heading8Char">
    <w:name w:val="Heading 8 Char"/>
    <w:basedOn w:val="DefaultParagraphFont"/>
    <w:link w:val="Heading8"/>
    <w:rsid w:val="00E11AB7"/>
    <w:rPr>
      <w:rFonts w:ascii="Times New Roman" w:eastAsia="Times New Roman" w:hAnsi="Times New Roman" w:cs="Times New Roman"/>
      <w:lang w:val="nl-NL"/>
    </w:rPr>
  </w:style>
  <w:style w:type="character" w:customStyle="1" w:styleId="Heading9Char">
    <w:name w:val="Heading 9 Char"/>
    <w:basedOn w:val="DefaultParagraphFont"/>
    <w:link w:val="Heading9"/>
    <w:rsid w:val="00E11AB7"/>
    <w:rPr>
      <w:rFonts w:ascii="Times New Roman" w:eastAsia="Times New Roman" w:hAnsi="Times New Roman" w:cs="Times New Roman"/>
      <w:lang w:val="nl-NL"/>
    </w:rPr>
  </w:style>
  <w:style w:type="paragraph" w:styleId="Footer">
    <w:name w:val="footer"/>
    <w:basedOn w:val="Normal"/>
    <w:link w:val="FooterChar"/>
    <w:qFormat/>
    <w:rsid w:val="00E11AB7"/>
  </w:style>
  <w:style w:type="character" w:customStyle="1" w:styleId="FooterChar">
    <w:name w:val="Footer Char"/>
    <w:basedOn w:val="DefaultParagraphFont"/>
    <w:link w:val="Footer"/>
    <w:rsid w:val="00E11AB7"/>
    <w:rPr>
      <w:rFonts w:ascii="Times New Roman" w:eastAsia="Times New Roman" w:hAnsi="Times New Roman" w:cs="Times New Roman"/>
      <w:lang w:val="nl-NL"/>
    </w:rPr>
  </w:style>
  <w:style w:type="paragraph" w:styleId="FootnoteText">
    <w:name w:val="footnote text"/>
    <w:basedOn w:val="Normal"/>
    <w:link w:val="FootnoteTextChar"/>
    <w:uiPriority w:val="99"/>
    <w:qFormat/>
    <w:rsid w:val="00E11AB7"/>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rsid w:val="00E11AB7"/>
    <w:rPr>
      <w:rFonts w:ascii="Times New Roman" w:eastAsia="Times New Roman" w:hAnsi="Times New Roman" w:cs="Times New Roman"/>
      <w:sz w:val="16"/>
      <w:lang w:val="nl-NL"/>
    </w:rPr>
  </w:style>
  <w:style w:type="paragraph" w:styleId="Header">
    <w:name w:val="header"/>
    <w:basedOn w:val="Normal"/>
    <w:link w:val="HeaderChar"/>
    <w:qFormat/>
    <w:rsid w:val="00E11AB7"/>
  </w:style>
  <w:style w:type="character" w:customStyle="1" w:styleId="HeaderChar">
    <w:name w:val="Header Char"/>
    <w:basedOn w:val="DefaultParagraphFont"/>
    <w:link w:val="Header"/>
    <w:rsid w:val="00E11AB7"/>
    <w:rPr>
      <w:rFonts w:ascii="Times New Roman" w:eastAsia="Times New Roman" w:hAnsi="Times New Roman" w:cs="Times New Roman"/>
      <w:lang w:val="nl-NL"/>
    </w:rPr>
  </w:style>
  <w:style w:type="paragraph" w:customStyle="1" w:styleId="quotes">
    <w:name w:val="quotes"/>
    <w:basedOn w:val="Normal"/>
    <w:next w:val="Normal"/>
    <w:rsid w:val="00E11AB7"/>
    <w:pPr>
      <w:ind w:left="720"/>
    </w:pPr>
    <w:rPr>
      <w:i/>
    </w:rPr>
  </w:style>
  <w:style w:type="character" w:styleId="FootnoteReference">
    <w:name w:val="footnote reference"/>
    <w:basedOn w:val="DefaultParagraphFont"/>
    <w:uiPriority w:val="99"/>
    <w:unhideWhenUsed/>
    <w:qFormat/>
    <w:rsid w:val="00E11AB7"/>
    <w:rPr>
      <w:sz w:val="24"/>
      <w:vertAlign w:val="superscript"/>
    </w:rPr>
  </w:style>
  <w:style w:type="character" w:styleId="Hyperlink">
    <w:name w:val="Hyperlink"/>
    <w:basedOn w:val="DefaultParagraphFont"/>
    <w:uiPriority w:val="99"/>
    <w:unhideWhenUsed/>
    <w:rsid w:val="00E11AB7"/>
    <w:rPr>
      <w:color w:val="0563C1" w:themeColor="hyperlink"/>
      <w:u w:val="single"/>
    </w:rPr>
  </w:style>
  <w:style w:type="character" w:styleId="FollowedHyperlink">
    <w:name w:val="FollowedHyperlink"/>
    <w:basedOn w:val="DefaultParagraphFont"/>
    <w:uiPriority w:val="99"/>
    <w:semiHidden/>
    <w:unhideWhenUsed/>
    <w:rsid w:val="00E11AB7"/>
    <w:rPr>
      <w:color w:val="954F72" w:themeColor="followedHyperlink"/>
      <w:u w:val="single"/>
    </w:rPr>
  </w:style>
  <w:style w:type="character" w:styleId="CommentReference">
    <w:name w:val="annotation reference"/>
    <w:basedOn w:val="DefaultParagraphFont"/>
    <w:uiPriority w:val="99"/>
    <w:semiHidden/>
    <w:unhideWhenUsed/>
    <w:rsid w:val="00E64ACE"/>
    <w:rPr>
      <w:sz w:val="16"/>
      <w:szCs w:val="16"/>
    </w:rPr>
  </w:style>
  <w:style w:type="paragraph" w:styleId="CommentText">
    <w:name w:val="annotation text"/>
    <w:basedOn w:val="Normal"/>
    <w:link w:val="CommentTextChar"/>
    <w:uiPriority w:val="99"/>
    <w:semiHidden/>
    <w:unhideWhenUsed/>
    <w:rsid w:val="00E64ACE"/>
    <w:pPr>
      <w:spacing w:line="240" w:lineRule="auto"/>
    </w:pPr>
    <w:rPr>
      <w:sz w:val="20"/>
      <w:szCs w:val="20"/>
    </w:rPr>
  </w:style>
  <w:style w:type="character" w:customStyle="1" w:styleId="CommentTextChar">
    <w:name w:val="Comment Text Char"/>
    <w:basedOn w:val="DefaultParagraphFont"/>
    <w:link w:val="CommentText"/>
    <w:uiPriority w:val="99"/>
    <w:semiHidden/>
    <w:rsid w:val="00E64ACE"/>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E64ACE"/>
    <w:rPr>
      <w:b/>
      <w:bCs/>
    </w:rPr>
  </w:style>
  <w:style w:type="character" w:customStyle="1" w:styleId="CommentSubjectChar">
    <w:name w:val="Comment Subject Char"/>
    <w:basedOn w:val="CommentTextChar"/>
    <w:link w:val="CommentSubject"/>
    <w:uiPriority w:val="99"/>
    <w:semiHidden/>
    <w:rsid w:val="00E64ACE"/>
    <w:rPr>
      <w:rFonts w:ascii="Times New Roman" w:eastAsia="Times New Roman" w:hAnsi="Times New Roman" w:cs="Times New Roman"/>
      <w:b/>
      <w:bCs/>
      <w:sz w:val="20"/>
      <w:szCs w:val="20"/>
      <w:lang w:val="nl-NL"/>
    </w:rPr>
  </w:style>
  <w:style w:type="paragraph" w:styleId="Revision">
    <w:name w:val="Revision"/>
    <w:hidden/>
    <w:uiPriority w:val="99"/>
    <w:semiHidden/>
    <w:rsid w:val="00E64ACE"/>
    <w:pPr>
      <w:spacing w:after="0" w:line="240" w:lineRule="auto"/>
    </w:pPr>
    <w:rPr>
      <w:rFonts w:ascii="Times New Roman" w:eastAsia="Times New Roman" w:hAnsi="Times New Roman" w:cs="Times New Roman"/>
    </w:rPr>
  </w:style>
  <w:style w:type="table" w:styleId="TableGrid">
    <w:name w:val="Table Grid"/>
    <w:basedOn w:val="TableNormal"/>
    <w:uiPriority w:val="59"/>
    <w:rsid w:val="00BB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ata.unhcr.org/en/situations/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P6FJPSUHKDC2-371278765-2145</_dlc_DocId>
    <_dlc_DocIdUrl xmlns="1299d781-265f-4ceb-999e-e1eca3df2c90">
      <Url>http://dm2016/eesc/2022/_layouts/15/DocIdRedir.aspx?ID=P6FJPSUHKDC2-371278765-2145</Url>
      <Description>P6FJPSUHKDC2-371278765-2145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2022-11-16T12:00:00+00:00</ProductionDate>
    <DocumentNumber xmlns="281c40f8-cf82-492d-ab76-d64788f6d6e7">5261</DocumentNumber>
    <FicheYear xmlns="1299d781-265f-4ceb-999e-e1eca3df2c90" xsi:nil="true"/>
    <DocumentVersion xmlns="1299d781-265f-4ceb-999e-e1eca3df2c90">2</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2022-11-09T12:00:00+00:00</MeetingDate>
    <TaxCatchAll xmlns="1299d781-265f-4ceb-999e-e1eca3df2c90">
      <Value>55</Value>
      <Value>54</Value>
      <Value>46</Value>
      <Value>45</Value>
      <Value>44</Value>
      <Value>43</Value>
      <Value>42</Value>
      <Value>40</Value>
      <Value>38</Value>
      <Value>37</Value>
      <Value>36</Value>
      <Value>35</Value>
      <Value>34</Value>
      <Value>33</Value>
      <Value>32</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13350</FicheNumber>
    <OriginalSender xmlns="1299d781-265f-4ceb-999e-e1eca3df2c90">
      <UserInfo>
        <DisplayName>Wagter Helena</DisplayName>
        <AccountId>1707</AccountId>
        <AccountType/>
      </UserInfo>
    </OriginalSender>
    <DocumentPart xmlns="1299d781-265f-4ceb-999e-e1eca3df2c90">0</DocumentPart>
    <AdoptionDate xmlns="1299d781-265f-4ceb-999e-e1eca3df2c90" xsi:nil="true"/>
    <RequestingService xmlns="1299d781-265f-4ceb-999e-e1eca3df2c90">Relations avec les conseils économiques et sociaux nationaux et la société civile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4" ma:contentTypeDescription="Defines the documents for Document Manager V2" ma:contentTypeScope="" ma:versionID="e7b576e62d8472452529cdd9dabab6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b294384907821532d986b3fb395bd2ba"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9CCA5-ED32-481F-AE2F-97FC4B6622B1}">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281c40f8-cf82-492d-ab76-d64788f6d6e7"/>
  </ds:schemaRefs>
</ds:datastoreItem>
</file>

<file path=customXml/itemProps2.xml><?xml version="1.0" encoding="utf-8"?>
<ds:datastoreItem xmlns:ds="http://schemas.openxmlformats.org/officeDocument/2006/customXml" ds:itemID="{B991F14D-4528-4858-BE15-730793C41819}">
  <ds:schemaRefs>
    <ds:schemaRef ds:uri="http://schemas.microsoft.com/sharepoint/v3/contenttype/forms"/>
  </ds:schemaRefs>
</ds:datastoreItem>
</file>

<file path=customXml/itemProps3.xml><?xml version="1.0" encoding="utf-8"?>
<ds:datastoreItem xmlns:ds="http://schemas.openxmlformats.org/officeDocument/2006/customXml" ds:itemID="{0D46FECD-A9EF-4881-B0E5-2CA6B43FF179}">
  <ds:schemaRefs>
    <ds:schemaRef ds:uri="http://schemas.microsoft.com/sharepoint/events"/>
  </ds:schemaRefs>
</ds:datastoreItem>
</file>

<file path=customXml/itemProps4.xml><?xml version="1.0" encoding="utf-8"?>
<ds:datastoreItem xmlns:ds="http://schemas.openxmlformats.org/officeDocument/2006/customXml" ds:itemID="{BF6E579E-189E-4B24-9B7A-FD4EA8506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281c40f8-cf82-492d-ab76-d64788f6d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Draft conclusions revised by CAB/Groups (to be adopted during the 2022 annual meeting of presidents and SG)</vt:lpstr>
    </vt:vector>
  </TitlesOfParts>
  <Company>CESE-CdR</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Conclusies (post 2022 Jaarlijkse bijeenkomst van de voorzitters en secretarissen-generaal van het EESC en de sociaaleconomische raden in de Europese Unie)</dc:title>
  <dc:subject>TCD</dc:subject>
  <dc:creator>Scordamaglia Damiano</dc:creator>
  <cp:keywords>EESC-2022-05261-00-02-TCD-TRA-EN</cp:keywords>
  <dc:description>Rapporteur:  - Original language: EN - Date of document: 16/11/2022 - Date of meeting: 30/09/2022 14:30 - External documents:  - Administrator:  SCORDAMAGLIA DAMIANO</dc:description>
  <cp:lastModifiedBy>Calvy Sonia</cp:lastModifiedBy>
  <cp:revision>2</cp:revision>
  <cp:lastPrinted>2022-10-10T09:23:00Z</cp:lastPrinted>
  <dcterms:created xsi:type="dcterms:W3CDTF">2022-11-16T15:38:00Z</dcterms:created>
  <dcterms:modified xsi:type="dcterms:W3CDTF">2022-11-16T15:38:00Z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15/11/2022, 04/11/2022, 26/10/2022</vt:lpwstr>
  </property>
  <property fmtid="{D5CDD505-2E9C-101B-9397-08002B2CF9AE}" pid="4" name="Pref_Time">
    <vt:lpwstr>15:38:38, 16:24:55, 17:30:59</vt:lpwstr>
  </property>
  <property fmtid="{D5CDD505-2E9C-101B-9397-08002B2CF9AE}" pid="5" name="Pref_User">
    <vt:lpwstr>jhvi, amett, amett</vt:lpwstr>
  </property>
  <property fmtid="{D5CDD505-2E9C-101B-9397-08002B2CF9AE}" pid="6" name="Pref_FileName">
    <vt:lpwstr>EESC-2022-05261-00-02-TCD-ORI.docx, EESC-2022-05261-00-01-TCD-TRA-EN-CRR.docx, EESC-2022-05261-00-00-TCD-TRA-EN-CRR.docx</vt:lpwstr>
  </property>
  <property fmtid="{D5CDD505-2E9C-101B-9397-08002B2CF9AE}" pid="7" name="ContentTypeId">
    <vt:lpwstr>0x010100EA97B91038054C99906057A708A1480A00DD3FA595162D7E46B831C309E09FD749</vt:lpwstr>
  </property>
  <property fmtid="{D5CDD505-2E9C-101B-9397-08002B2CF9AE}" pid="8" name="_dlc_DocIdItemGuid">
    <vt:lpwstr>21242e76-634e-409d-a9cc-a15e9f98e550</vt:lpwstr>
  </property>
  <property fmtid="{D5CDD505-2E9C-101B-9397-08002B2CF9AE}" pid="9" name="AvailableTranslations">
    <vt:lpwstr>31;#ES|e7a6b05b-ae16-40c8-add9-68b64b03aeba;#32;#DA|5d49c027-8956-412b-aa16-e85a0f96ad0e;#22;#DE|f6b31e5a-26fa-4935-b661-318e46daf27e;#55;#HR|2f555653-ed1a-4fe6-8362-9082d95989e5;#46;#EL|6d4f4d51-af9b-4650-94b4-4276bee85c91;#26;#LV|46f7e311-5d9f-4663-b433-18aeccb7ace7;#45;#RO|feb747a2-64cd-4299-af12-4833ddc30497;#38;#FI|87606a43-d45f-42d6-b8c9-e1a3457db5b7;#4;#EN|f2175f21-25d7-44a3-96da-d6a61b075e1b;#35;#MT|7df99101-6854-4a26-b53a-b88c0da02c26;#33;#IT|0774613c-01ed-4e5d-a25d-11d2388de825;#36;#HU|6b229040-c589-4408-b4c1-4285663d20a8;#43;#NL|55c6556c-b4f4-441d-9acf-c498d4f838bd;#42;#SL|98a412ae-eb01-49e9-ae3d-585a81724cfc;#44;#LT|a7ff5ce7-6123-4f68-865a-a57c31810414;#34;#SK|46d9fce0-ef79-4f71-b89b-cd6aa82426b8;#30;#PL|1e03da61-4678-4e07-b136-b5024ca9197b;#40;#BG|1a1b3951-7821-4e6a-85f5-5673fc08bd2c;#37;#PT|50ccc04a-eadd-42ae-a0cb-acaf45f812ba;#11;#FR|d2afafd3-4c81-4f60-8f52-ee33f2f54ff3;#29;#SV|c2ed69e7-a339-43d7-8f22-d93680a92aa0;#54;#ET|ff6c3f4c-b02c-4c3c-ab07-2c37995a7a0a</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5261</vt:i4>
  </property>
  <property fmtid="{D5CDD505-2E9C-101B-9397-08002B2CF9AE}" pid="14" name="DocumentYear">
    <vt:i4>2022</vt:i4>
  </property>
  <property fmtid="{D5CDD505-2E9C-101B-9397-08002B2CF9AE}" pid="15" name="DocumentVersion">
    <vt:i4>2</vt:i4>
  </property>
  <property fmtid="{D5CDD505-2E9C-101B-9397-08002B2CF9AE}" pid="16" name="FicheNumber">
    <vt:i4>13350</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25;#TCD|cd9d6eb6-3f4f-424a-b2d1-57c9d450eaaf</vt:lpwstr>
  </property>
  <property fmtid="{D5CDD505-2E9C-101B-9397-08002B2CF9AE}" pid="22" name="RequestingService">
    <vt:lpwstr>Relations avec les conseils économiques et sociaux nationaux et la société civile</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MeetingDate">
    <vt:filetime>2022-11-09T12:00:00Z</vt:filetime>
  </property>
  <property fmtid="{D5CDD505-2E9C-101B-9397-08002B2CF9AE}" pid="29" name="AvailableTranslations_0">
    <vt:lpwstr>ES|e7a6b05b-ae16-40c8-add9-68b64b03aeba;DE|f6b31e5a-26fa-4935-b661-318e46daf27e;HR|2f555653-ed1a-4fe6-8362-9082d95989e5;LV|46f7e311-5d9f-4663-b433-18aeccb7ace7;RO|feb747a2-64cd-4299-af12-4833ddc30497;FI|87606a43-d45f-42d6-b8c9-e1a3457db5b7;EN|f2175f21-25d7-44a3-96da-d6a61b075e1b;MT|7df99101-6854-4a26-b53a-b88c0da02c26;IT|0774613c-01ed-4e5d-a25d-11d2388de825;HU|6b229040-c589-4408-b4c1-4285663d20a8;SL|98a412ae-eb01-49e9-ae3d-585a81724cfc;SK|46d9fce0-ef79-4f71-b89b-cd6aa82426b8;PL|1e03da61-4678-4e07-b136-b5024ca9197b;BG|1a1b3951-7821-4e6a-85f5-5673fc08bd2c;PT|50ccc04a-eadd-42ae-a0cb-acaf45f812ba;FR|d2afafd3-4c81-4f60-8f52-ee33f2f54ff3;SV|c2ed69e7-a339-43d7-8f22-d93680a92aa0;ET|ff6c3f4c-b02c-4c3c-ab07-2c37995a7a0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HU|6b229040-c589-4408-b4c1-4285663d20a8;#35;#MT|7df99101-6854-4a26-b53a-b88c0da02c26;#34;#SK|46d9fce0-ef79-4f71-b89b-cd6aa82426b8;#33;#IT|0774613c-01ed-4e5d-a25d-11d2388de825;#31;#ES|e7a6b05b-ae16-40c8-add9-68b64b03aeba;#30;#PL|1e03da61-4678-4e07-b136-b5024ca9197b;#29;#SV|c2ed69e7-a339-43d7-8f22-d93680a92aa0;#26;#LV|46f7e311-5d9f-4663-b433-18aeccb7ace7;#25;#TCD|cd9d6eb6-3f4f-424a-b2d1-57c9d450eaaf;#38;#FI|87606a43-d45f-42d6-b8c9-e1a3457db5b7;#22;#DE|f6b31e5a-26fa-4935-b661-318e46daf27e;#55;#HR|2f555653-ed1a-4fe6-8362-9082d95989e5;#54;#ET|ff6c3f4c-b02c-4c3c-ab07-2c37995a7a0a;#11;#FR|d2afafd3-4c81-4f60-8f52-ee33f2f54ff3;#9;#Unrestricted|826e22d7-d029-4ec0-a450-0c28ff673572;#45;#RO|feb747a2-64cd-4299-af12-4833ddc30497;#7;#TRA|150d2a88-1431-44e6-a8ca-0bb753ab8672;#6;#Final|ea5e6674-7b27-4bac-b091-73adbb394efe;#42;#SL|98a412ae-eb01-49e9-ae3d-585a81724cfc;#4;#EN|f2175f21-25d7-44a3-96da-d6a61b075e1b;#40;#BG|1a1b3951-7821-4e6a-85f5-5673fc08bd2c;#1;#EESC|422833ec-8d7e-4e65-8e4e-8bed07ffb729;#37;#PT|50ccc04a-eadd-42ae-a0cb-acaf45f812b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Language">
    <vt:lpwstr>43;#NL|55c6556c-b4f4-441d-9acf-c498d4f838bd</vt:lpwstr>
  </property>
</Properties>
</file>