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B8" w:rsidRDefault="00C324B8" w:rsidP="00BA214C">
      <w:pPr>
        <w:jc w:val="center"/>
        <w:rPr>
          <w:rFonts w:ascii="Arial" w:hAnsi="Arial" w:cs="Arial"/>
          <w:b/>
          <w:bCs/>
          <w:iCs/>
          <w:color w:val="244061" w:themeColor="accent1" w:themeShade="80"/>
          <w:sz w:val="28"/>
          <w:szCs w:val="28"/>
          <w:lang w:val="en-GB"/>
        </w:rPr>
      </w:pPr>
      <w:r>
        <w:rPr>
          <w:rFonts w:ascii="Arial" w:hAnsi="Arial" w:cs="Arial"/>
          <w:b/>
          <w:bCs/>
          <w:iCs/>
          <w:noProof/>
          <w:color w:val="244061" w:themeColor="accent1" w:themeShade="80"/>
          <w:sz w:val="28"/>
          <w:szCs w:val="28"/>
          <w:lang w:val="fr-FR" w:eastAsia="fr-FR"/>
        </w:rPr>
        <w:drawing>
          <wp:inline distT="0" distB="0" distL="0" distR="0">
            <wp:extent cx="5761355" cy="2594610"/>
            <wp:effectExtent l="133350" t="133350" r="144145" b="1676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_140 600x270 dynamics 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59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24B8" w:rsidRDefault="00C324B8" w:rsidP="00BA214C">
      <w:pPr>
        <w:jc w:val="center"/>
        <w:rPr>
          <w:rFonts w:ascii="Arial" w:hAnsi="Arial" w:cs="Arial"/>
          <w:b/>
          <w:bCs/>
          <w:iCs/>
          <w:color w:val="244061" w:themeColor="accent1" w:themeShade="80"/>
          <w:sz w:val="28"/>
          <w:szCs w:val="28"/>
          <w:lang w:val="en-GB"/>
        </w:rPr>
      </w:pPr>
    </w:p>
    <w:p w:rsidR="00BA214C" w:rsidRPr="00F71F15" w:rsidRDefault="00BA214C" w:rsidP="00BA214C">
      <w:pPr>
        <w:jc w:val="center"/>
        <w:rPr>
          <w:rFonts w:ascii="Arial" w:hAnsi="Arial" w:cs="Arial"/>
          <w:b/>
          <w:bCs/>
          <w:iCs/>
          <w:color w:val="244061" w:themeColor="accent1" w:themeShade="80"/>
          <w:sz w:val="36"/>
          <w:szCs w:val="36"/>
          <w:lang w:val="en-GB"/>
        </w:rPr>
      </w:pPr>
      <w:r w:rsidRPr="00F71F15">
        <w:rPr>
          <w:rFonts w:ascii="Arial" w:hAnsi="Arial" w:cs="Arial"/>
          <w:b/>
          <w:bCs/>
          <w:iCs/>
          <w:color w:val="244061" w:themeColor="accent1" w:themeShade="80"/>
          <w:sz w:val="36"/>
          <w:szCs w:val="36"/>
          <w:lang w:val="en-GB"/>
        </w:rPr>
        <w:t>Minutes</w:t>
      </w:r>
    </w:p>
    <w:p w:rsidR="00BA214C" w:rsidRPr="00F71F15" w:rsidRDefault="00BA214C" w:rsidP="00BA214C">
      <w:pPr>
        <w:jc w:val="center"/>
        <w:rPr>
          <w:rFonts w:ascii="Arial" w:hAnsi="Arial" w:cs="Arial"/>
          <w:b/>
          <w:bCs/>
          <w:iCs/>
          <w:color w:val="244061" w:themeColor="accent1" w:themeShade="80"/>
          <w:sz w:val="36"/>
          <w:szCs w:val="36"/>
          <w:lang w:val="en-GB"/>
        </w:rPr>
      </w:pP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9640"/>
      </w:tblGrid>
      <w:tr w:rsidR="00BA214C" w:rsidRPr="00583B18" w:rsidTr="00F71F15">
        <w:trPr>
          <w:trHeight w:val="701"/>
        </w:trPr>
        <w:tc>
          <w:tcPr>
            <w:tcW w:w="284" w:type="dxa"/>
            <w:vAlign w:val="center"/>
          </w:tcPr>
          <w:p w:rsidR="00BA214C" w:rsidRPr="00583B18" w:rsidRDefault="00BA214C" w:rsidP="00BA3581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9640" w:type="dxa"/>
            <w:shd w:val="clear" w:color="auto" w:fill="FFFFFF" w:themeFill="background1"/>
          </w:tcPr>
          <w:p w:rsidR="00BA214C" w:rsidRDefault="00CF5CDA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ECO section president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BA214C" w:rsidRPr="00583B18">
              <w:rPr>
                <w:rFonts w:ascii="Arial" w:hAnsi="Arial" w:cs="Arial"/>
                <w:b/>
                <w:lang w:val="en-GB"/>
              </w:rPr>
              <w:t>Stefano Palmieri</w:t>
            </w:r>
            <w:r w:rsidRPr="00583B18">
              <w:rPr>
                <w:rFonts w:ascii="Arial" w:hAnsi="Arial" w:cs="Arial"/>
                <w:lang w:val="en-GB"/>
              </w:rPr>
              <w:t xml:space="preserve"> welcomed participants and underlined the importance of strategic </w:t>
            </w:r>
            <w:r w:rsidR="00C57452" w:rsidRPr="00583B18">
              <w:rPr>
                <w:rFonts w:ascii="Arial" w:hAnsi="Arial" w:cs="Arial"/>
                <w:lang w:val="en-GB"/>
              </w:rPr>
              <w:t>foresight</w:t>
            </w:r>
            <w:r w:rsidRPr="00583B18">
              <w:rPr>
                <w:rFonts w:ascii="Arial" w:hAnsi="Arial" w:cs="Arial"/>
                <w:lang w:val="en-GB"/>
              </w:rPr>
              <w:t xml:space="preserve">, </w:t>
            </w:r>
            <w:r w:rsidR="006440BC" w:rsidRPr="00583B18">
              <w:rPr>
                <w:rFonts w:ascii="Arial" w:hAnsi="Arial" w:cs="Arial"/>
                <w:lang w:val="en-GB"/>
              </w:rPr>
              <w:t xml:space="preserve">which </w:t>
            </w:r>
            <w:r w:rsidR="00DD4D25" w:rsidRPr="00583B18">
              <w:rPr>
                <w:rFonts w:ascii="Arial" w:hAnsi="Arial" w:cs="Arial"/>
                <w:lang w:val="en-GB"/>
              </w:rPr>
              <w:t>wa</w:t>
            </w:r>
            <w:r w:rsidRPr="00583B18">
              <w:rPr>
                <w:rFonts w:ascii="Arial" w:hAnsi="Arial" w:cs="Arial"/>
                <w:lang w:val="en-GB"/>
              </w:rPr>
              <w:t xml:space="preserve">s a practice </w:t>
            </w:r>
            <w:r w:rsidR="006440BC" w:rsidRPr="00583B18">
              <w:rPr>
                <w:rFonts w:ascii="Arial" w:hAnsi="Arial" w:cs="Arial"/>
                <w:lang w:val="en-GB"/>
              </w:rPr>
              <w:t xml:space="preserve">increasingly used </w:t>
            </w:r>
            <w:r w:rsidRPr="00583B18">
              <w:rPr>
                <w:rFonts w:ascii="Arial" w:hAnsi="Arial" w:cs="Arial"/>
                <w:lang w:val="en-GB"/>
              </w:rPr>
              <w:t xml:space="preserve">in government, large companies, and </w:t>
            </w:r>
            <w:r w:rsidR="00C57452" w:rsidRPr="00583B18">
              <w:rPr>
                <w:rFonts w:ascii="Arial" w:hAnsi="Arial" w:cs="Arial"/>
                <w:lang w:val="en-GB"/>
              </w:rPr>
              <w:t xml:space="preserve">in </w:t>
            </w:r>
            <w:r w:rsidRPr="00583B18">
              <w:rPr>
                <w:rFonts w:ascii="Arial" w:hAnsi="Arial" w:cs="Arial"/>
                <w:lang w:val="en-GB"/>
              </w:rPr>
              <w:t xml:space="preserve">non-profit organisations. </w:t>
            </w:r>
            <w:r w:rsidR="006504F6" w:rsidRPr="00583B18">
              <w:rPr>
                <w:rFonts w:ascii="Arial" w:hAnsi="Arial" w:cs="Arial"/>
                <w:lang w:val="en-GB"/>
              </w:rPr>
              <w:t xml:space="preserve">Mr Palmieri </w:t>
            </w:r>
            <w:r w:rsidRPr="00583B18">
              <w:rPr>
                <w:rFonts w:ascii="Arial" w:hAnsi="Arial" w:cs="Arial"/>
                <w:lang w:val="en-GB"/>
              </w:rPr>
              <w:t xml:space="preserve">made reference to a recent EESC opinion that contained many comments and policy proposals to influence and shape the future path that strategic foresight should take following </w:t>
            </w:r>
            <w:r w:rsidR="00C57452" w:rsidRPr="00583B18">
              <w:rPr>
                <w:rFonts w:ascii="Arial" w:hAnsi="Arial" w:cs="Arial"/>
                <w:lang w:val="en-GB"/>
              </w:rPr>
              <w:t>the Commission</w:t>
            </w:r>
            <w:r w:rsidRPr="00583B18">
              <w:rPr>
                <w:rFonts w:ascii="Arial" w:hAnsi="Arial" w:cs="Arial"/>
                <w:lang w:val="en-GB"/>
              </w:rPr>
              <w:t>´s first annual foresight report.</w:t>
            </w:r>
            <w:r w:rsidR="00BA214C" w:rsidRPr="00583B18">
              <w:rPr>
                <w:rFonts w:ascii="Arial" w:hAnsi="Arial" w:cs="Arial"/>
                <w:lang w:val="en-GB"/>
              </w:rPr>
              <w:t xml:space="preserve"> </w:t>
            </w:r>
            <w:r w:rsidRPr="00583B18">
              <w:rPr>
                <w:rFonts w:ascii="Arial" w:hAnsi="Arial" w:cs="Arial"/>
                <w:lang w:val="en-GB"/>
              </w:rPr>
              <w:t xml:space="preserve">He pointed out that when dealing with the uncertainty of the future, there </w:t>
            </w:r>
            <w:r w:rsidR="00077EDB" w:rsidRPr="00583B18">
              <w:rPr>
                <w:rFonts w:ascii="Arial" w:hAnsi="Arial" w:cs="Arial"/>
                <w:lang w:val="en-GB"/>
              </w:rPr>
              <w:t>was</w:t>
            </w:r>
            <w:r w:rsidRPr="00583B18">
              <w:rPr>
                <w:rFonts w:ascii="Arial" w:hAnsi="Arial" w:cs="Arial"/>
                <w:lang w:val="en-GB"/>
              </w:rPr>
              <w:t xml:space="preserve"> a distinction between forecasting</w:t>
            </w:r>
            <w:r w:rsidR="00DD4D25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on </w:t>
            </w:r>
            <w:r w:rsidR="00FA53E0" w:rsidRPr="00583B18">
              <w:rPr>
                <w:rFonts w:ascii="Arial" w:hAnsi="Arial" w:cs="Arial"/>
                <w:lang w:val="en-GB"/>
              </w:rPr>
              <w:t xml:space="preserve">the one </w:t>
            </w:r>
            <w:r w:rsidR="001733D7" w:rsidRPr="00583B18">
              <w:rPr>
                <w:rFonts w:ascii="Arial" w:hAnsi="Arial" w:cs="Arial"/>
                <w:lang w:val="en-GB"/>
              </w:rPr>
              <w:t>hand</w:t>
            </w:r>
            <w:r w:rsidR="00DD4D25" w:rsidRPr="00583B18">
              <w:rPr>
                <w:rFonts w:ascii="Arial" w:hAnsi="Arial" w:cs="Arial"/>
                <w:lang w:val="en-GB"/>
              </w:rPr>
              <w:t>,</w:t>
            </w:r>
            <w:r w:rsidR="001733D7" w:rsidRPr="00583B18">
              <w:rPr>
                <w:rFonts w:ascii="Arial" w:hAnsi="Arial" w:cs="Arial"/>
                <w:lang w:val="en-GB"/>
              </w:rPr>
              <w:t xml:space="preserve"> and</w:t>
            </w:r>
            <w:r w:rsidRPr="00583B18">
              <w:rPr>
                <w:rFonts w:ascii="Arial" w:hAnsi="Arial" w:cs="Arial"/>
                <w:lang w:val="en-GB"/>
              </w:rPr>
              <w:t xml:space="preserve"> foresight</w:t>
            </w:r>
            <w:r w:rsidR="00DD4D25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on the other.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By using </w:t>
            </w:r>
            <w:r w:rsidR="00077EDB" w:rsidRPr="00583B18">
              <w:rPr>
                <w:rFonts w:ascii="Arial" w:hAnsi="Arial" w:cs="Arial"/>
                <w:lang w:val="en-GB"/>
              </w:rPr>
              <w:t>strategic f</w:t>
            </w:r>
            <w:r w:rsidR="0040328E" w:rsidRPr="00583B18">
              <w:rPr>
                <w:rFonts w:ascii="Arial" w:hAnsi="Arial" w:cs="Arial"/>
                <w:lang w:val="en-GB"/>
              </w:rPr>
              <w:t>oresight, we tr</w:t>
            </w:r>
            <w:r w:rsidR="00DD4D25" w:rsidRPr="00583B18">
              <w:rPr>
                <w:rFonts w:ascii="Arial" w:hAnsi="Arial" w:cs="Arial"/>
                <w:lang w:val="en-GB"/>
              </w:rPr>
              <w:t>ied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to anticipate trends and issues </w:t>
            </w:r>
            <w:r w:rsidR="001733D7" w:rsidRPr="00583B18">
              <w:rPr>
                <w:rFonts w:ascii="Arial" w:hAnsi="Arial" w:cs="Arial"/>
                <w:lang w:val="en-GB"/>
              </w:rPr>
              <w:t>that might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emerge, and look at their potential implications</w:t>
            </w:r>
            <w:r w:rsidR="00077EDB" w:rsidRPr="00583B18">
              <w:rPr>
                <w:rFonts w:ascii="Arial" w:hAnsi="Arial" w:cs="Arial"/>
                <w:lang w:val="en-GB"/>
              </w:rPr>
              <w:t>, challenges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and opportunities. Ultimately, we want</w:t>
            </w:r>
            <w:r w:rsidR="00DD4D25" w:rsidRPr="00583B18">
              <w:rPr>
                <w:rFonts w:ascii="Arial" w:hAnsi="Arial" w:cs="Arial"/>
                <w:lang w:val="en-GB"/>
              </w:rPr>
              <w:t>ed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to draw useful insights for strategic planning, policy-making and preparedness.</w:t>
            </w:r>
            <w:r w:rsidR="00077EDB" w:rsidRPr="00583B18">
              <w:rPr>
                <w:rFonts w:ascii="Arial" w:hAnsi="Arial" w:cs="Arial"/>
                <w:lang w:val="en-GB"/>
              </w:rPr>
              <w:t xml:space="preserve"> </w:t>
            </w:r>
            <w:r w:rsidR="00F71F15" w:rsidRPr="00583B18">
              <w:rPr>
                <w:rFonts w:ascii="Arial" w:hAnsi="Arial" w:cs="Arial"/>
                <w:lang w:val="en-GB"/>
              </w:rPr>
              <w:t>B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y using strategic </w:t>
            </w:r>
            <w:r w:rsidR="00F17712" w:rsidRPr="00583B18">
              <w:rPr>
                <w:rFonts w:ascii="Arial" w:hAnsi="Arial" w:cs="Arial"/>
                <w:lang w:val="en-GB"/>
              </w:rPr>
              <w:t>foresight,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we g</w:t>
            </w:r>
            <w:r w:rsidR="00DD4D25" w:rsidRPr="00583B18">
              <w:rPr>
                <w:rFonts w:ascii="Arial" w:hAnsi="Arial" w:cs="Arial"/>
                <w:lang w:val="en-GB"/>
              </w:rPr>
              <w:t>o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t an idea of how we should act in the present to shape the future in </w:t>
            </w:r>
            <w:r w:rsidR="00F17712" w:rsidRPr="00583B18">
              <w:rPr>
                <w:rFonts w:ascii="Arial" w:hAnsi="Arial" w:cs="Arial"/>
                <w:lang w:val="en-GB"/>
              </w:rPr>
              <w:t>the way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we want</w:t>
            </w:r>
            <w:r w:rsidR="001D7AD3" w:rsidRPr="00583B18">
              <w:rPr>
                <w:rFonts w:ascii="Arial" w:hAnsi="Arial" w:cs="Arial"/>
                <w:lang w:val="en-GB"/>
              </w:rPr>
              <w:t>ed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it to be. </w:t>
            </w:r>
            <w:r w:rsidR="00F71F15" w:rsidRPr="00583B18">
              <w:rPr>
                <w:rFonts w:ascii="Arial" w:hAnsi="Arial" w:cs="Arial"/>
                <w:lang w:val="en-GB"/>
              </w:rPr>
              <w:t>Mr Palmieri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</w:t>
            </w:r>
            <w:r w:rsidR="00E733C0" w:rsidRPr="00583B18">
              <w:rPr>
                <w:rFonts w:ascii="Arial" w:hAnsi="Arial" w:cs="Arial"/>
                <w:lang w:val="en-GB"/>
              </w:rPr>
              <w:t>also referred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to </w:t>
            </w:r>
            <w:r w:rsidR="00077EDB" w:rsidRPr="00583B18">
              <w:rPr>
                <w:rFonts w:ascii="Arial" w:hAnsi="Arial" w:cs="Arial"/>
                <w:lang w:val="en-GB"/>
              </w:rPr>
              <w:t>the variety of different</w:t>
            </w:r>
            <w:r w:rsidR="0040328E" w:rsidRPr="00583B18">
              <w:rPr>
                <w:rFonts w:ascii="Arial" w:hAnsi="Arial" w:cs="Arial"/>
                <w:lang w:val="en-GB"/>
              </w:rPr>
              <w:t xml:space="preserve"> methods employed in foresight</w:t>
            </w:r>
            <w:r w:rsidR="00F71F15" w:rsidRPr="00583B18">
              <w:rPr>
                <w:rFonts w:ascii="Arial" w:hAnsi="Arial" w:cs="Arial"/>
                <w:lang w:val="en-GB"/>
              </w:rPr>
              <w:t>.</w:t>
            </w:r>
          </w:p>
          <w:p w:rsidR="00BA3581" w:rsidRPr="00583B18" w:rsidRDefault="00BA3581" w:rsidP="00BA3581">
            <w:pPr>
              <w:rPr>
                <w:rFonts w:ascii="Arial" w:hAnsi="Arial" w:cs="Arial"/>
                <w:lang w:val="en-GB"/>
              </w:rPr>
            </w:pPr>
          </w:p>
          <w:p w:rsidR="00BA3581" w:rsidRDefault="0040328E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Eamonn Noonan</w:t>
            </w:r>
            <w:r w:rsidR="003A44A8" w:rsidRPr="00583B18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3A44A8" w:rsidRPr="00583B18">
              <w:rPr>
                <w:rFonts w:ascii="Arial" w:hAnsi="Arial" w:cs="Arial"/>
                <w:b/>
              </w:rPr>
              <w:t xml:space="preserve">Policy Analyst, Strategic Foresight and Capabilities Unit, </w:t>
            </w:r>
            <w:r w:rsidR="003A44A8" w:rsidRPr="00583B18">
              <w:rPr>
                <w:rFonts w:ascii="Arial" w:hAnsi="Arial" w:cs="Arial"/>
                <w:b/>
                <w:lang w:val="en-GB"/>
              </w:rPr>
              <w:t xml:space="preserve">European Parliamentary Research service (EPRS),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introduced ESPAS, the European Strategy and Policy Analysis System. Whilst foresight activities </w:t>
            </w:r>
            <w:proofErr w:type="gramStart"/>
            <w:r w:rsidR="001D7AD3" w:rsidRPr="00583B18">
              <w:rPr>
                <w:rFonts w:ascii="Arial" w:hAnsi="Arial" w:cs="Arial"/>
                <w:lang w:val="en-GB"/>
              </w:rPr>
              <w:t xml:space="preserve">had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also </w:t>
            </w:r>
            <w:r w:rsidR="00864B71" w:rsidRPr="00583B18">
              <w:rPr>
                <w:rFonts w:ascii="Arial" w:hAnsi="Arial" w:cs="Arial"/>
                <w:lang w:val="en-GB"/>
              </w:rPr>
              <w:t>been carried out</w:t>
            </w:r>
            <w:proofErr w:type="gramEnd"/>
            <w:r w:rsidR="00864B71" w:rsidRPr="00583B18">
              <w:rPr>
                <w:rFonts w:ascii="Arial" w:hAnsi="Arial" w:cs="Arial"/>
                <w:lang w:val="en-GB"/>
              </w:rPr>
              <w:t xml:space="preserve"> previously </w:t>
            </w:r>
            <w:r w:rsidR="00593D3F" w:rsidRPr="00583B18">
              <w:rPr>
                <w:rFonts w:ascii="Arial" w:hAnsi="Arial" w:cs="Arial"/>
                <w:lang w:val="en-GB"/>
              </w:rPr>
              <w:t>in different EU institutions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, ESPAS was </w:t>
            </w:r>
            <w:r w:rsidR="00593D3F" w:rsidRPr="00583B18">
              <w:rPr>
                <w:rFonts w:ascii="Arial" w:hAnsi="Arial" w:cs="Arial"/>
                <w:lang w:val="en-GB"/>
              </w:rPr>
              <w:t xml:space="preserve">now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tying </w:t>
            </w:r>
            <w:r w:rsidR="00593D3F" w:rsidRPr="00583B18">
              <w:rPr>
                <w:rFonts w:ascii="Arial" w:hAnsi="Arial" w:cs="Arial"/>
                <w:lang w:val="en-GB"/>
              </w:rPr>
              <w:t xml:space="preserve">these </w:t>
            </w:r>
            <w:r w:rsidR="00F71F15" w:rsidRPr="00583B18">
              <w:rPr>
                <w:rFonts w:ascii="Arial" w:hAnsi="Arial" w:cs="Arial"/>
                <w:lang w:val="en-GB"/>
              </w:rPr>
              <w:t>activities</w:t>
            </w:r>
            <w:r w:rsidR="00864B71" w:rsidRPr="00583B18">
              <w:rPr>
                <w:rFonts w:ascii="Arial" w:hAnsi="Arial" w:cs="Arial"/>
                <w:lang w:val="en-GB"/>
              </w:rPr>
              <w:t xml:space="preserve"> together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. </w:t>
            </w:r>
            <w:r w:rsidR="00A9253A" w:rsidRPr="00583B18">
              <w:rPr>
                <w:rFonts w:ascii="Arial" w:hAnsi="Arial" w:cs="Arial"/>
                <w:lang w:val="en-GB"/>
              </w:rPr>
              <w:t>I</w:t>
            </w:r>
            <w:r w:rsidR="00016B92" w:rsidRPr="00583B18">
              <w:rPr>
                <w:rFonts w:ascii="Arial" w:hAnsi="Arial" w:cs="Arial"/>
                <w:lang w:val="en-GB"/>
              </w:rPr>
              <w:t>n the economic sphere</w:t>
            </w:r>
            <w:r w:rsidR="00864B71" w:rsidRPr="00583B18">
              <w:rPr>
                <w:rFonts w:ascii="Arial" w:hAnsi="Arial" w:cs="Arial"/>
                <w:lang w:val="en-GB"/>
              </w:rPr>
              <w:t>,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 a lot </w:t>
            </w:r>
            <w:r w:rsidR="00593D3F" w:rsidRPr="00583B18">
              <w:rPr>
                <w:rFonts w:ascii="Arial" w:hAnsi="Arial" w:cs="Arial"/>
                <w:lang w:val="en-GB"/>
              </w:rPr>
              <w:t xml:space="preserve">of economic 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forecasting </w:t>
            </w:r>
            <w:proofErr w:type="gramStart"/>
            <w:r w:rsidR="002D7075" w:rsidRPr="00583B18">
              <w:rPr>
                <w:rFonts w:ascii="Arial" w:hAnsi="Arial" w:cs="Arial"/>
                <w:lang w:val="en-GB"/>
              </w:rPr>
              <w:t xml:space="preserve">was being </w:t>
            </w:r>
            <w:r w:rsidR="00016B92" w:rsidRPr="00583B18">
              <w:rPr>
                <w:rFonts w:ascii="Arial" w:hAnsi="Arial" w:cs="Arial"/>
                <w:lang w:val="en-GB"/>
              </w:rPr>
              <w:t>done</w:t>
            </w:r>
            <w:proofErr w:type="gramEnd"/>
            <w:r w:rsidR="00016B92" w:rsidRPr="00583B18">
              <w:rPr>
                <w:rFonts w:ascii="Arial" w:hAnsi="Arial" w:cs="Arial"/>
                <w:lang w:val="en-GB"/>
              </w:rPr>
              <w:t xml:space="preserve">, </w:t>
            </w:r>
            <w:r w:rsidR="002D7075" w:rsidRPr="00583B18">
              <w:rPr>
                <w:rFonts w:ascii="Arial" w:hAnsi="Arial" w:cs="Arial"/>
                <w:lang w:val="en-GB"/>
              </w:rPr>
              <w:t xml:space="preserve">but 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foresight </w:t>
            </w:r>
            <w:r w:rsidR="002D7075" w:rsidRPr="00583B18">
              <w:rPr>
                <w:rFonts w:ascii="Arial" w:hAnsi="Arial" w:cs="Arial"/>
                <w:lang w:val="en-GB"/>
              </w:rPr>
              <w:t xml:space="preserve">still 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had an important role to play.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Many issues flagged </w:t>
            </w:r>
            <w:r w:rsidR="00275EBD" w:rsidRPr="00583B18">
              <w:rPr>
                <w:rFonts w:ascii="Arial" w:hAnsi="Arial" w:cs="Arial"/>
                <w:lang w:val="en-GB"/>
              </w:rPr>
              <w:t xml:space="preserve">up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in the ongoing debate framed by the </w:t>
            </w:r>
            <w:r w:rsidR="00275EBD" w:rsidRPr="00583B18">
              <w:rPr>
                <w:rFonts w:ascii="Arial" w:hAnsi="Arial" w:cs="Arial"/>
                <w:lang w:val="en-GB"/>
              </w:rPr>
              <w:t xml:space="preserve">COVID-19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crisis were economic issues, </w:t>
            </w:r>
            <w:r w:rsidR="000B3A4E" w:rsidRPr="00583B18">
              <w:rPr>
                <w:rFonts w:ascii="Arial" w:hAnsi="Arial" w:cs="Arial"/>
                <w:lang w:val="en-GB"/>
              </w:rPr>
              <w:t>concerned with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 restoring and protecting the economy. </w:t>
            </w:r>
            <w:r w:rsidR="000E62AB" w:rsidRPr="00583B18">
              <w:rPr>
                <w:rFonts w:ascii="Arial" w:hAnsi="Arial" w:cs="Arial"/>
                <w:lang w:val="en-GB"/>
              </w:rPr>
              <w:t xml:space="preserve">Mr Noonan </w:t>
            </w:r>
            <w:r w:rsidR="001D7AD3" w:rsidRPr="00583B18">
              <w:rPr>
                <w:rFonts w:ascii="Arial" w:hAnsi="Arial" w:cs="Arial"/>
                <w:lang w:val="en-GB"/>
              </w:rPr>
              <w:t xml:space="preserve">gave the </w:t>
            </w:r>
            <w:r w:rsidR="009547F8" w:rsidRPr="00583B18">
              <w:rPr>
                <w:rFonts w:ascii="Arial" w:hAnsi="Arial" w:cs="Arial"/>
                <w:lang w:val="en-GB"/>
              </w:rPr>
              <w:t xml:space="preserve">examples </w:t>
            </w:r>
            <w:r w:rsidR="001D7AD3" w:rsidRPr="00583B18">
              <w:rPr>
                <w:rFonts w:ascii="Arial" w:hAnsi="Arial" w:cs="Arial"/>
                <w:lang w:val="en-GB"/>
              </w:rPr>
              <w:t xml:space="preserve">of </w:t>
            </w:r>
            <w:r w:rsidR="00D311F9" w:rsidRPr="00583B18">
              <w:rPr>
                <w:rFonts w:ascii="Arial" w:hAnsi="Arial" w:cs="Arial"/>
                <w:lang w:val="en-GB"/>
              </w:rPr>
              <w:t>economic governance, unemployment, sustainable social protection systems, comp</w:t>
            </w:r>
            <w:r w:rsidR="009547F8" w:rsidRPr="00583B18">
              <w:rPr>
                <w:rFonts w:ascii="Arial" w:hAnsi="Arial" w:cs="Arial"/>
                <w:lang w:val="en-GB"/>
              </w:rPr>
              <w:t>l</w:t>
            </w:r>
            <w:r w:rsidR="00D311F9" w:rsidRPr="00583B18">
              <w:rPr>
                <w:rFonts w:ascii="Arial" w:hAnsi="Arial" w:cs="Arial"/>
                <w:lang w:val="en-GB"/>
              </w:rPr>
              <w:t xml:space="preserve">eting EMU and an integrated migration policy. </w:t>
            </w:r>
            <w:r w:rsidR="009547F8" w:rsidRPr="00583B18">
              <w:rPr>
                <w:rFonts w:ascii="Arial" w:hAnsi="Arial" w:cs="Arial"/>
                <w:lang w:val="en-GB"/>
              </w:rPr>
              <w:t>C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urrent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broader </w:t>
            </w:r>
            <w:r w:rsidR="00016B92" w:rsidRPr="00583B18">
              <w:rPr>
                <w:rFonts w:ascii="Arial" w:hAnsi="Arial" w:cs="Arial"/>
                <w:lang w:val="en-GB"/>
              </w:rPr>
              <w:t>economic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 challenges in Europe were higher public spending, the twin transitions</w:t>
            </w:r>
            <w:r w:rsidR="009547F8" w:rsidRPr="00583B18">
              <w:rPr>
                <w:rFonts w:ascii="Arial" w:hAnsi="Arial" w:cs="Arial"/>
                <w:lang w:val="en-GB"/>
              </w:rPr>
              <w:t xml:space="preserve"> (green and digital)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, vulnerable employment and the arrival of </w:t>
            </w:r>
            <w:r w:rsidR="00B02E19" w:rsidRPr="00583B18">
              <w:rPr>
                <w:rFonts w:ascii="Arial" w:hAnsi="Arial" w:cs="Arial"/>
                <w:lang w:val="en-GB"/>
              </w:rPr>
              <w:t xml:space="preserve">widespread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teleworking. At </w:t>
            </w:r>
            <w:r w:rsidR="0032172A" w:rsidRPr="00583B18">
              <w:rPr>
                <w:rFonts w:ascii="Arial" w:hAnsi="Arial" w:cs="Arial"/>
                <w:lang w:val="en-GB"/>
              </w:rPr>
              <w:t xml:space="preserve">the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international level, </w:t>
            </w:r>
            <w:r w:rsidR="0032172A" w:rsidRPr="00583B18">
              <w:rPr>
                <w:rFonts w:ascii="Arial" w:hAnsi="Arial" w:cs="Arial"/>
                <w:lang w:val="en-GB"/>
              </w:rPr>
              <w:t xml:space="preserve">Mr Noonan </w:t>
            </w:r>
            <w:r w:rsidR="00016B92" w:rsidRPr="00583B18">
              <w:rPr>
                <w:rFonts w:ascii="Arial" w:hAnsi="Arial" w:cs="Arial"/>
                <w:lang w:val="en-GB"/>
              </w:rPr>
              <w:t>mentioned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 global economic stress, international financial woes, </w:t>
            </w:r>
            <w:r w:rsidR="002E775C" w:rsidRPr="00583B18">
              <w:rPr>
                <w:rFonts w:ascii="Arial" w:hAnsi="Arial" w:cs="Arial"/>
                <w:lang w:val="en-GB"/>
              </w:rPr>
              <w:t xml:space="preserve">the </w:t>
            </w:r>
            <w:r w:rsidR="00016B92" w:rsidRPr="00583B18">
              <w:rPr>
                <w:rFonts w:ascii="Arial" w:hAnsi="Arial" w:cs="Arial"/>
                <w:lang w:val="en-GB"/>
              </w:rPr>
              <w:t>sovereign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 debt crisis, US-China tension</w:t>
            </w:r>
            <w:r w:rsidR="002E775C" w:rsidRPr="00583B18">
              <w:rPr>
                <w:rFonts w:ascii="Arial" w:hAnsi="Arial" w:cs="Arial"/>
                <w:lang w:val="en-GB"/>
              </w:rPr>
              <w:t>s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, and social unrest and political turmoil. </w:t>
            </w:r>
            <w:proofErr w:type="gramStart"/>
            <w:r w:rsidR="00F71F15" w:rsidRPr="00583B18">
              <w:rPr>
                <w:rFonts w:ascii="Arial" w:hAnsi="Arial" w:cs="Arial"/>
                <w:lang w:val="en-GB"/>
              </w:rPr>
              <w:t>Scenario</w:t>
            </w:r>
            <w:r w:rsidR="002E775C" w:rsidRPr="00583B18">
              <w:rPr>
                <w:rFonts w:ascii="Arial" w:hAnsi="Arial" w:cs="Arial"/>
                <w:lang w:val="en-GB"/>
              </w:rPr>
              <w:t>-</w:t>
            </w:r>
            <w:r w:rsidR="00F71F15" w:rsidRPr="00583B18">
              <w:rPr>
                <w:rFonts w:ascii="Arial" w:hAnsi="Arial" w:cs="Arial"/>
                <w:lang w:val="en-GB"/>
              </w:rPr>
              <w:t>planning</w:t>
            </w:r>
            <w:proofErr w:type="gramEnd"/>
            <w:r w:rsidR="00F71F15" w:rsidRPr="00583B18">
              <w:rPr>
                <w:rFonts w:ascii="Arial" w:hAnsi="Arial" w:cs="Arial"/>
                <w:lang w:val="en-GB"/>
              </w:rPr>
              <w:t xml:space="preserve"> was a</w:t>
            </w:r>
            <w:r w:rsidR="00D311F9" w:rsidRPr="00583B18">
              <w:rPr>
                <w:rFonts w:ascii="Arial" w:hAnsi="Arial" w:cs="Arial"/>
                <w:lang w:val="en-GB"/>
              </w:rPr>
              <w:t xml:space="preserve"> vital </w:t>
            </w:r>
            <w:r w:rsidR="00F71F15" w:rsidRPr="00583B18">
              <w:rPr>
                <w:rFonts w:ascii="Arial" w:hAnsi="Arial" w:cs="Arial"/>
                <w:lang w:val="en-GB"/>
              </w:rPr>
              <w:t xml:space="preserve">aspect of foresight, as elites often </w:t>
            </w:r>
            <w:r w:rsidR="002E775C" w:rsidRPr="00583B18">
              <w:rPr>
                <w:rFonts w:ascii="Arial" w:hAnsi="Arial" w:cs="Arial"/>
                <w:lang w:val="en-GB"/>
              </w:rPr>
              <w:t xml:space="preserve">found it difficult </w:t>
            </w:r>
            <w:r w:rsidR="00F71F15" w:rsidRPr="00583B18">
              <w:rPr>
                <w:rFonts w:ascii="Arial" w:hAnsi="Arial" w:cs="Arial"/>
                <w:lang w:val="en-GB"/>
              </w:rPr>
              <w:lastRenderedPageBreak/>
              <w:t xml:space="preserve">to discuss dark scenarios. </w:t>
            </w:r>
            <w:r w:rsidR="00016B92" w:rsidRPr="00583B18">
              <w:rPr>
                <w:rFonts w:ascii="Arial" w:hAnsi="Arial" w:cs="Arial"/>
                <w:lang w:val="en-GB"/>
              </w:rPr>
              <w:t>Furthermore, c</w:t>
            </w:r>
            <w:r w:rsidR="00F71F15" w:rsidRPr="00583B18">
              <w:rPr>
                <w:rFonts w:ascii="Arial" w:hAnsi="Arial" w:cs="Arial"/>
                <w:lang w:val="en-GB"/>
              </w:rPr>
              <w:t>ommunication was very important</w:t>
            </w:r>
            <w:r w:rsidR="009547F8" w:rsidRPr="00583B18">
              <w:rPr>
                <w:rFonts w:ascii="Arial" w:hAnsi="Arial" w:cs="Arial"/>
                <w:lang w:val="en-GB"/>
              </w:rPr>
              <w:t xml:space="preserve">, </w:t>
            </w:r>
            <w:r w:rsidR="00605F0B" w:rsidRPr="00583B18">
              <w:rPr>
                <w:rFonts w:ascii="Arial" w:hAnsi="Arial" w:cs="Arial"/>
                <w:lang w:val="en-GB"/>
              </w:rPr>
              <w:t xml:space="preserve">through </w:t>
            </w:r>
            <w:r w:rsidR="009547F8" w:rsidRPr="00583B18">
              <w:rPr>
                <w:rFonts w:ascii="Arial" w:hAnsi="Arial" w:cs="Arial"/>
                <w:lang w:val="en-GB"/>
              </w:rPr>
              <w:t>involving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 different stakeholder groups, establishing a direct link to decision</w:t>
            </w:r>
            <w:r w:rsidR="000561D4" w:rsidRPr="00583B18">
              <w:rPr>
                <w:rFonts w:ascii="Arial" w:hAnsi="Arial" w:cs="Arial"/>
                <w:lang w:val="en-GB"/>
              </w:rPr>
              <w:t>-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makers, and </w:t>
            </w:r>
            <w:r w:rsidR="00A9253A" w:rsidRPr="00583B18">
              <w:rPr>
                <w:rFonts w:ascii="Arial" w:hAnsi="Arial" w:cs="Arial"/>
                <w:lang w:val="en-GB"/>
              </w:rPr>
              <w:t xml:space="preserve">related 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coordination efforts. </w:t>
            </w:r>
            <w:r w:rsidR="000561D4" w:rsidRPr="00583B18">
              <w:rPr>
                <w:rFonts w:ascii="Arial" w:hAnsi="Arial" w:cs="Arial"/>
                <w:lang w:val="en-GB"/>
              </w:rPr>
              <w:t>Ultimately,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 commitment </w:t>
            </w:r>
            <w:proofErr w:type="gramStart"/>
            <w:r w:rsidR="00016B92" w:rsidRPr="00583B18">
              <w:rPr>
                <w:rFonts w:ascii="Arial" w:hAnsi="Arial" w:cs="Arial"/>
                <w:lang w:val="en-GB"/>
              </w:rPr>
              <w:t xml:space="preserve">was </w:t>
            </w:r>
            <w:r w:rsidR="000561D4" w:rsidRPr="00583B18">
              <w:rPr>
                <w:rFonts w:ascii="Arial" w:hAnsi="Arial" w:cs="Arial"/>
                <w:lang w:val="en-GB"/>
              </w:rPr>
              <w:t>needed</w:t>
            </w:r>
            <w:proofErr w:type="gramEnd"/>
            <w:r w:rsidR="000561D4" w:rsidRPr="00583B18">
              <w:rPr>
                <w:rFonts w:ascii="Arial" w:hAnsi="Arial" w:cs="Arial"/>
                <w:lang w:val="en-GB"/>
              </w:rPr>
              <w:t>, whatever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 direction we want</w:t>
            </w:r>
            <w:r w:rsidR="007004B3" w:rsidRPr="00583B18">
              <w:rPr>
                <w:rFonts w:ascii="Arial" w:hAnsi="Arial" w:cs="Arial"/>
                <w:lang w:val="en-GB"/>
              </w:rPr>
              <w:t>ed</w:t>
            </w:r>
            <w:r w:rsidR="00016B92" w:rsidRPr="00583B18">
              <w:rPr>
                <w:rFonts w:ascii="Arial" w:hAnsi="Arial" w:cs="Arial"/>
                <w:lang w:val="en-GB"/>
              </w:rPr>
              <w:t xml:space="preserve"> to </w:t>
            </w:r>
            <w:r w:rsidR="000561D4" w:rsidRPr="00583B18">
              <w:rPr>
                <w:rFonts w:ascii="Arial" w:hAnsi="Arial" w:cs="Arial"/>
                <w:lang w:val="en-GB"/>
              </w:rPr>
              <w:t>take</w:t>
            </w:r>
            <w:r w:rsidR="00016B92" w:rsidRPr="00583B18">
              <w:rPr>
                <w:rFonts w:ascii="Arial" w:hAnsi="Arial" w:cs="Arial"/>
                <w:lang w:val="en-GB"/>
              </w:rPr>
              <w:t>.</w:t>
            </w:r>
          </w:p>
          <w:p w:rsidR="0040328E" w:rsidRPr="00583B18" w:rsidRDefault="00016B92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lang w:val="en-GB"/>
              </w:rPr>
              <w:t xml:space="preserve"> </w:t>
            </w:r>
          </w:p>
          <w:p w:rsidR="00A9253A" w:rsidRDefault="00D311F9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Fabiana Scapolo</w:t>
            </w:r>
            <w:r w:rsidR="003A44A8" w:rsidRPr="00583B18">
              <w:rPr>
                <w:rFonts w:ascii="Arial" w:hAnsi="Arial" w:cs="Arial"/>
                <w:b/>
                <w:lang w:val="en-GB"/>
              </w:rPr>
              <w:t xml:space="preserve">, Acting Head of Unit, Head </w:t>
            </w:r>
            <w:r w:rsidR="001E394D" w:rsidRPr="00583B18">
              <w:rPr>
                <w:rFonts w:ascii="Arial" w:hAnsi="Arial" w:cs="Arial"/>
                <w:b/>
                <w:lang w:val="en-GB"/>
              </w:rPr>
              <w:t xml:space="preserve">of the </w:t>
            </w:r>
            <w:r w:rsidR="003A44A8" w:rsidRPr="00583B18">
              <w:rPr>
                <w:rFonts w:ascii="Arial" w:hAnsi="Arial" w:cs="Arial"/>
                <w:b/>
                <w:lang w:val="en-GB"/>
              </w:rPr>
              <w:t>Competence Centre on Foresight, Joint Research Centre, European Commission,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explained that strategic foresight </w:t>
            </w:r>
            <w:proofErr w:type="gramStart"/>
            <w:r w:rsidR="007507A5" w:rsidRPr="00583B18">
              <w:rPr>
                <w:rFonts w:ascii="Arial" w:hAnsi="Arial" w:cs="Arial"/>
                <w:lang w:val="en-GB"/>
              </w:rPr>
              <w:t>was used</w:t>
            </w:r>
            <w:proofErr w:type="gramEnd"/>
            <w:r w:rsidR="007507A5" w:rsidRPr="00583B18">
              <w:rPr>
                <w:rFonts w:ascii="Arial" w:hAnsi="Arial" w:cs="Arial"/>
                <w:lang w:val="en-GB"/>
              </w:rPr>
              <w:t xml:space="preserve"> as a </w:t>
            </w:r>
            <w:r w:rsidR="001E394D" w:rsidRPr="00583B18">
              <w:rPr>
                <w:rFonts w:ascii="Arial" w:hAnsi="Arial" w:cs="Arial"/>
                <w:lang w:val="en-GB"/>
              </w:rPr>
              <w:t xml:space="preserve">proven 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model </w:t>
            </w:r>
            <w:r w:rsidR="00A812D1" w:rsidRPr="00583B18">
              <w:rPr>
                <w:rFonts w:ascii="Arial" w:hAnsi="Arial" w:cs="Arial"/>
                <w:lang w:val="en-GB"/>
              </w:rPr>
              <w:t>for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shap</w:t>
            </w:r>
            <w:r w:rsidR="00A812D1" w:rsidRPr="00583B18">
              <w:rPr>
                <w:rFonts w:ascii="Arial" w:hAnsi="Arial" w:cs="Arial"/>
                <w:lang w:val="en-GB"/>
              </w:rPr>
              <w:t>ing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future policy </w:t>
            </w:r>
            <w:r w:rsidR="009547F8" w:rsidRPr="00583B18">
              <w:rPr>
                <w:rFonts w:ascii="Arial" w:hAnsi="Arial" w:cs="Arial"/>
                <w:lang w:val="en-GB"/>
              </w:rPr>
              <w:t xml:space="preserve">with the aim </w:t>
            </w:r>
            <w:r w:rsidR="00275C2B" w:rsidRPr="00583B18">
              <w:rPr>
                <w:rFonts w:ascii="Arial" w:hAnsi="Arial" w:cs="Arial"/>
                <w:lang w:val="en-GB"/>
              </w:rPr>
              <w:t xml:space="preserve">of </w:t>
            </w:r>
            <w:r w:rsidR="007507A5" w:rsidRPr="00583B18">
              <w:rPr>
                <w:rFonts w:ascii="Arial" w:hAnsi="Arial" w:cs="Arial"/>
                <w:lang w:val="en-GB"/>
              </w:rPr>
              <w:t>increas</w:t>
            </w:r>
            <w:r w:rsidR="00275C2B" w:rsidRPr="00583B18">
              <w:rPr>
                <w:rFonts w:ascii="Arial" w:hAnsi="Arial" w:cs="Arial"/>
                <w:lang w:val="en-GB"/>
              </w:rPr>
              <w:t>ing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economic progress</w:t>
            </w:r>
            <w:r w:rsidR="009C2F0E" w:rsidRPr="00583B18">
              <w:rPr>
                <w:rFonts w:ascii="Arial" w:hAnsi="Arial" w:cs="Arial"/>
                <w:lang w:val="en-GB"/>
              </w:rPr>
              <w:t xml:space="preserve">, </w:t>
            </w:r>
            <w:r w:rsidR="007507A5" w:rsidRPr="00583B18">
              <w:rPr>
                <w:rFonts w:ascii="Arial" w:hAnsi="Arial" w:cs="Arial"/>
                <w:lang w:val="en-GB"/>
              </w:rPr>
              <w:t>overcom</w:t>
            </w:r>
            <w:r w:rsidR="009C2F0E" w:rsidRPr="00583B18">
              <w:rPr>
                <w:rFonts w:ascii="Arial" w:hAnsi="Arial" w:cs="Arial"/>
                <w:lang w:val="en-GB"/>
              </w:rPr>
              <w:t>ing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the limitations of economic models and </w:t>
            </w:r>
            <w:r w:rsidR="009C2F0E" w:rsidRPr="00583B18">
              <w:rPr>
                <w:rFonts w:ascii="Arial" w:hAnsi="Arial" w:cs="Arial"/>
                <w:lang w:val="en-GB"/>
              </w:rPr>
              <w:t>looking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at disruptive elements. As examples </w:t>
            </w:r>
            <w:r w:rsidR="00A812D1" w:rsidRPr="00583B18">
              <w:rPr>
                <w:rFonts w:ascii="Arial" w:hAnsi="Arial" w:cs="Arial"/>
                <w:lang w:val="en-GB"/>
              </w:rPr>
              <w:t xml:space="preserve">of 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recent </w:t>
            </w:r>
            <w:r w:rsidR="009547F8" w:rsidRPr="00583B18">
              <w:rPr>
                <w:rFonts w:ascii="Arial" w:hAnsi="Arial" w:cs="Arial"/>
                <w:lang w:val="en-GB"/>
              </w:rPr>
              <w:t>Joint Research Centre (</w:t>
            </w:r>
            <w:r w:rsidR="007507A5" w:rsidRPr="00583B18">
              <w:rPr>
                <w:rFonts w:ascii="Arial" w:hAnsi="Arial" w:cs="Arial"/>
                <w:lang w:val="en-GB"/>
              </w:rPr>
              <w:t>JRC</w:t>
            </w:r>
            <w:r w:rsidR="009547F8" w:rsidRPr="00583B18">
              <w:rPr>
                <w:rFonts w:ascii="Arial" w:hAnsi="Arial" w:cs="Arial"/>
                <w:lang w:val="en-GB"/>
              </w:rPr>
              <w:t>)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foresight activities</w:t>
            </w:r>
            <w:r w:rsidR="00A812D1" w:rsidRPr="00583B18">
              <w:rPr>
                <w:rFonts w:ascii="Arial" w:hAnsi="Arial" w:cs="Arial"/>
                <w:lang w:val="en-GB"/>
              </w:rPr>
              <w:t>,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</w:t>
            </w:r>
            <w:r w:rsidR="00A812D1" w:rsidRPr="00583B18">
              <w:rPr>
                <w:rFonts w:ascii="Arial" w:hAnsi="Arial" w:cs="Arial"/>
                <w:lang w:val="en-GB"/>
              </w:rPr>
              <w:t xml:space="preserve">Ms </w:t>
            </w:r>
            <w:proofErr w:type="spellStart"/>
            <w:r w:rsidR="00A812D1" w:rsidRPr="00583B18">
              <w:rPr>
                <w:rFonts w:ascii="Arial" w:hAnsi="Arial" w:cs="Arial"/>
                <w:lang w:val="en-GB"/>
              </w:rPr>
              <w:t>Scapolo</w:t>
            </w:r>
            <w:proofErr w:type="spellEnd"/>
            <w:r w:rsidR="00A812D1" w:rsidRPr="00583B18">
              <w:rPr>
                <w:rFonts w:ascii="Arial" w:hAnsi="Arial" w:cs="Arial"/>
                <w:lang w:val="en-GB"/>
              </w:rPr>
              <w:t xml:space="preserve"> </w:t>
            </w:r>
            <w:r w:rsidR="00772307" w:rsidRPr="00583B18">
              <w:rPr>
                <w:rFonts w:ascii="Arial" w:hAnsi="Arial" w:cs="Arial"/>
                <w:lang w:val="en-GB"/>
              </w:rPr>
              <w:t>mentioned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the future of the customs union, the industry landscape vision, and the future o</w:t>
            </w:r>
            <w:r w:rsidR="009547F8" w:rsidRPr="00583B18">
              <w:rPr>
                <w:rFonts w:ascii="Arial" w:hAnsi="Arial" w:cs="Arial"/>
                <w:lang w:val="en-GB"/>
              </w:rPr>
              <w:t>f</w:t>
            </w:r>
            <w:r w:rsidR="007507A5" w:rsidRPr="00583B18">
              <w:rPr>
                <w:rFonts w:ascii="Arial" w:hAnsi="Arial" w:cs="Arial"/>
                <w:lang w:val="en-GB"/>
              </w:rPr>
              <w:t xml:space="preserve"> farmers. </w:t>
            </w:r>
            <w:r w:rsidR="00C5753A" w:rsidRPr="00583B18">
              <w:rPr>
                <w:rFonts w:ascii="Arial" w:hAnsi="Arial" w:cs="Arial"/>
                <w:lang w:val="en-GB"/>
              </w:rPr>
              <w:t xml:space="preserve">Defining megatrends was an important feature </w:t>
            </w:r>
            <w:r w:rsidR="00A812D1" w:rsidRPr="00583B18">
              <w:rPr>
                <w:rFonts w:ascii="Arial" w:hAnsi="Arial" w:cs="Arial"/>
                <w:lang w:val="en-GB"/>
              </w:rPr>
              <w:t xml:space="preserve">of </w:t>
            </w:r>
            <w:r w:rsidR="00C5753A" w:rsidRPr="00583B18">
              <w:rPr>
                <w:rFonts w:ascii="Arial" w:hAnsi="Arial" w:cs="Arial"/>
                <w:lang w:val="en-GB"/>
              </w:rPr>
              <w:t>foresight. In the EU</w:t>
            </w:r>
            <w:r w:rsidR="00556857" w:rsidRPr="00583B18">
              <w:rPr>
                <w:rFonts w:ascii="Arial" w:hAnsi="Arial" w:cs="Arial"/>
                <w:lang w:val="en-GB"/>
              </w:rPr>
              <w:t>,</w:t>
            </w:r>
            <w:r w:rsidR="00C5753A" w:rsidRPr="00583B18">
              <w:rPr>
                <w:rFonts w:ascii="Arial" w:hAnsi="Arial" w:cs="Arial"/>
                <w:lang w:val="en-GB"/>
              </w:rPr>
              <w:t xml:space="preserve"> strategic foresight was implemented through annual reports, ad hoc cooperation, inter DG cooperation and through ESPAS. Strategic foresight was important for identifying, understanding and </w:t>
            </w:r>
            <w:r w:rsidR="00556857" w:rsidRPr="00583B18">
              <w:rPr>
                <w:rFonts w:ascii="Arial" w:hAnsi="Arial" w:cs="Arial"/>
                <w:lang w:val="en-GB"/>
              </w:rPr>
              <w:t xml:space="preserve">steering </w:t>
            </w:r>
            <w:r w:rsidR="00C5753A" w:rsidRPr="00583B18">
              <w:rPr>
                <w:rFonts w:ascii="Arial" w:hAnsi="Arial" w:cs="Arial"/>
                <w:lang w:val="en-GB"/>
              </w:rPr>
              <w:t xml:space="preserve">change. </w:t>
            </w:r>
            <w:r w:rsidR="009547F8" w:rsidRPr="00583B18">
              <w:rPr>
                <w:rFonts w:ascii="Arial" w:hAnsi="Arial" w:cs="Arial"/>
                <w:lang w:val="en-GB"/>
              </w:rPr>
              <w:t>E</w:t>
            </w:r>
            <w:r w:rsidR="00C5753A" w:rsidRPr="00583B18">
              <w:rPr>
                <w:rFonts w:ascii="Arial" w:hAnsi="Arial" w:cs="Arial"/>
                <w:lang w:val="en-GB"/>
              </w:rPr>
              <w:t xml:space="preserve">conomic aspects </w:t>
            </w:r>
            <w:proofErr w:type="gramStart"/>
            <w:r w:rsidR="00C5753A" w:rsidRPr="00583B18">
              <w:rPr>
                <w:rFonts w:ascii="Arial" w:hAnsi="Arial" w:cs="Arial"/>
                <w:lang w:val="en-GB"/>
              </w:rPr>
              <w:t>were interconnected</w:t>
            </w:r>
            <w:proofErr w:type="gramEnd"/>
            <w:r w:rsidR="00C5753A" w:rsidRPr="00583B18">
              <w:rPr>
                <w:rFonts w:ascii="Arial" w:hAnsi="Arial" w:cs="Arial"/>
                <w:lang w:val="en-GB"/>
              </w:rPr>
              <w:t xml:space="preserve"> with many other issues. </w:t>
            </w:r>
          </w:p>
          <w:p w:rsidR="00BA3581" w:rsidRPr="00583B18" w:rsidRDefault="00BA3581" w:rsidP="00BA3581">
            <w:pPr>
              <w:rPr>
                <w:rFonts w:ascii="Arial" w:hAnsi="Arial" w:cs="Arial"/>
                <w:lang w:val="en-GB"/>
              </w:rPr>
            </w:pPr>
          </w:p>
          <w:p w:rsidR="00E369B2" w:rsidRDefault="00E369B2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Duncan Cass-Beggs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, Counsellor for Strategic Foresight, Strategic Foresight Unit, OECD,</w:t>
            </w:r>
            <w:r w:rsidRPr="00583B18">
              <w:rPr>
                <w:rFonts w:ascii="Arial" w:hAnsi="Arial" w:cs="Arial"/>
                <w:lang w:val="en-GB"/>
              </w:rPr>
              <w:t xml:space="preserve"> explained how strategic foresight </w:t>
            </w:r>
            <w:proofErr w:type="gramStart"/>
            <w:r w:rsidR="008447BE" w:rsidRPr="00583B18">
              <w:rPr>
                <w:rFonts w:ascii="Arial" w:hAnsi="Arial" w:cs="Arial"/>
                <w:lang w:val="en-GB"/>
              </w:rPr>
              <w:t>wa</w:t>
            </w:r>
            <w:r w:rsidR="009C19B2" w:rsidRPr="00583B18">
              <w:rPr>
                <w:rFonts w:ascii="Arial" w:hAnsi="Arial" w:cs="Arial"/>
                <w:lang w:val="en-GB"/>
              </w:rPr>
              <w:t>s being applied</w:t>
            </w:r>
            <w:proofErr w:type="gramEnd"/>
            <w:r w:rsidR="009C19B2" w:rsidRPr="00583B18">
              <w:rPr>
                <w:rFonts w:ascii="Arial" w:hAnsi="Arial" w:cs="Arial"/>
                <w:lang w:val="en-GB"/>
              </w:rPr>
              <w:t xml:space="preserve"> </w:t>
            </w:r>
            <w:r w:rsidRPr="00583B18">
              <w:rPr>
                <w:rFonts w:ascii="Arial" w:hAnsi="Arial" w:cs="Arial"/>
                <w:lang w:val="en-GB"/>
              </w:rPr>
              <w:t xml:space="preserve">to </w:t>
            </w:r>
            <w:r w:rsidR="009C19B2" w:rsidRPr="00583B18">
              <w:rPr>
                <w:rFonts w:ascii="Arial" w:hAnsi="Arial" w:cs="Arial"/>
                <w:lang w:val="en-GB"/>
              </w:rPr>
              <w:t xml:space="preserve">achieve </w:t>
            </w:r>
            <w:r w:rsidRPr="00583B18">
              <w:rPr>
                <w:rFonts w:ascii="Arial" w:hAnsi="Arial" w:cs="Arial"/>
                <w:lang w:val="en-GB"/>
              </w:rPr>
              <w:t xml:space="preserve">the net-zero emission target. </w:t>
            </w:r>
            <w:r w:rsidR="00EA1198" w:rsidRPr="00583B18">
              <w:rPr>
                <w:rFonts w:ascii="Arial" w:hAnsi="Arial" w:cs="Arial"/>
                <w:lang w:val="en-GB"/>
              </w:rPr>
              <w:t>He underlined that th</w:t>
            </w:r>
            <w:r w:rsidR="00A8032A" w:rsidRPr="00583B18">
              <w:rPr>
                <w:rFonts w:ascii="Arial" w:hAnsi="Arial" w:cs="Arial"/>
                <w:lang w:val="en-GB"/>
              </w:rPr>
              <w:t>is was an economic policy issue;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that we had to use strategic foresight</w:t>
            </w:r>
            <w:r w:rsidR="00E40040" w:rsidRPr="00583B18">
              <w:rPr>
                <w:rFonts w:ascii="Arial" w:hAnsi="Arial" w:cs="Arial"/>
                <w:lang w:val="en-GB"/>
              </w:rPr>
              <w:t xml:space="preserve"> and </w:t>
            </w:r>
            <w:r w:rsidR="00EA1198" w:rsidRPr="00583B18">
              <w:rPr>
                <w:rFonts w:ascii="Arial" w:hAnsi="Arial" w:cs="Arial"/>
                <w:lang w:val="en-GB"/>
              </w:rPr>
              <w:t>look beyond the futures we expected; that it was an ongoing collaborative process; and that climate emergencies were not the only risks</w:t>
            </w:r>
            <w:r w:rsidR="0054494B" w:rsidRPr="00583B18">
              <w:rPr>
                <w:rFonts w:ascii="Arial" w:hAnsi="Arial" w:cs="Arial"/>
                <w:lang w:val="en-GB"/>
              </w:rPr>
              <w:t xml:space="preserve"> -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there was also the digital change </w:t>
            </w:r>
            <w:r w:rsidR="007E0575" w:rsidRPr="00583B18">
              <w:rPr>
                <w:rFonts w:ascii="Arial" w:hAnsi="Arial" w:cs="Arial"/>
                <w:lang w:val="en-GB"/>
              </w:rPr>
              <w:t>arising</w:t>
            </w:r>
            <w:r w:rsidR="001A1FB7" w:rsidRPr="00583B18">
              <w:rPr>
                <w:rFonts w:ascii="Arial" w:hAnsi="Arial" w:cs="Arial"/>
                <w:lang w:val="en-GB"/>
              </w:rPr>
              <w:t xml:space="preserve"> from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superintelligence</w:t>
            </w:r>
            <w:r w:rsidR="0054494B" w:rsidRPr="00583B18">
              <w:rPr>
                <w:rFonts w:ascii="Arial" w:hAnsi="Arial" w:cs="Arial"/>
                <w:lang w:val="en-GB"/>
              </w:rPr>
              <w:t>, for example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. </w:t>
            </w:r>
            <w:r w:rsidR="00993876" w:rsidRPr="00583B18">
              <w:rPr>
                <w:rFonts w:ascii="Arial" w:hAnsi="Arial" w:cs="Arial"/>
                <w:lang w:val="en-GB"/>
              </w:rPr>
              <w:t>Mr Cass-</w:t>
            </w:r>
            <w:proofErr w:type="spellStart"/>
            <w:r w:rsidR="00993876" w:rsidRPr="00583B18">
              <w:rPr>
                <w:rFonts w:ascii="Arial" w:hAnsi="Arial" w:cs="Arial"/>
                <w:lang w:val="en-GB"/>
              </w:rPr>
              <w:t>Beggs</w:t>
            </w:r>
            <w:proofErr w:type="spellEnd"/>
            <w:r w:rsidR="00993876" w:rsidRPr="00583B18">
              <w:rPr>
                <w:rFonts w:ascii="Arial" w:hAnsi="Arial" w:cs="Arial"/>
                <w:lang w:val="en-GB"/>
              </w:rPr>
              <w:t xml:space="preserve"> 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claimed that there was a huge amount of uncertainty </w:t>
            </w:r>
            <w:r w:rsidR="00A8032A" w:rsidRPr="00583B18">
              <w:rPr>
                <w:rFonts w:ascii="Arial" w:hAnsi="Arial" w:cs="Arial"/>
                <w:lang w:val="en-GB"/>
              </w:rPr>
              <w:t xml:space="preserve">about 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how the world would change </w:t>
            </w:r>
            <w:r w:rsidR="009F0A24" w:rsidRPr="00583B18">
              <w:rPr>
                <w:rFonts w:ascii="Arial" w:hAnsi="Arial" w:cs="Arial"/>
                <w:lang w:val="en-GB"/>
              </w:rPr>
              <w:t xml:space="preserve">at </w:t>
            </w:r>
            <w:r w:rsidR="00EA1198" w:rsidRPr="00583B18">
              <w:rPr>
                <w:rFonts w:ascii="Arial" w:hAnsi="Arial" w:cs="Arial"/>
                <w:lang w:val="en-GB"/>
              </w:rPr>
              <w:t>the same time</w:t>
            </w:r>
            <w:r w:rsidR="009F0A24" w:rsidRPr="00583B18">
              <w:rPr>
                <w:rFonts w:ascii="Arial" w:hAnsi="Arial" w:cs="Arial"/>
                <w:lang w:val="en-GB"/>
              </w:rPr>
              <w:t>;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virtual work</w:t>
            </w:r>
            <w:r w:rsidR="009F0A24" w:rsidRPr="00583B18">
              <w:rPr>
                <w:rFonts w:ascii="Arial" w:hAnsi="Arial" w:cs="Arial"/>
                <w:lang w:val="en-GB"/>
              </w:rPr>
              <w:t>, for example,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was going to be a big game changer, </w:t>
            </w:r>
            <w:proofErr w:type="gramStart"/>
            <w:r w:rsidR="009F0A24" w:rsidRPr="00583B18">
              <w:rPr>
                <w:rFonts w:ascii="Arial" w:hAnsi="Arial" w:cs="Arial"/>
                <w:lang w:val="en-GB"/>
              </w:rPr>
              <w:t xml:space="preserve">and </w:t>
            </w:r>
            <w:r w:rsidR="00EA1198" w:rsidRPr="00583B18">
              <w:rPr>
                <w:rFonts w:ascii="Arial" w:hAnsi="Arial" w:cs="Arial"/>
                <w:lang w:val="en-GB"/>
              </w:rPr>
              <w:t>also</w:t>
            </w:r>
            <w:proofErr w:type="gramEnd"/>
            <w:r w:rsidR="00EA1198" w:rsidRPr="00583B18">
              <w:rPr>
                <w:rFonts w:ascii="Arial" w:hAnsi="Arial" w:cs="Arial"/>
                <w:lang w:val="en-GB"/>
              </w:rPr>
              <w:t xml:space="preserve"> </w:t>
            </w:r>
            <w:r w:rsidR="009F0A24" w:rsidRPr="00583B18">
              <w:rPr>
                <w:rFonts w:ascii="Arial" w:hAnsi="Arial" w:cs="Arial"/>
                <w:lang w:val="en-GB"/>
              </w:rPr>
              <w:t xml:space="preserve">had 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considerable implications for the net-zero emission target. He stated that when facing the impossibility </w:t>
            </w:r>
            <w:r w:rsidR="009F0A24" w:rsidRPr="00583B18">
              <w:rPr>
                <w:rFonts w:ascii="Arial" w:hAnsi="Arial" w:cs="Arial"/>
                <w:lang w:val="en-GB"/>
              </w:rPr>
              <w:t xml:space="preserve">of </w:t>
            </w:r>
            <w:r w:rsidR="00EA1198" w:rsidRPr="00583B18">
              <w:rPr>
                <w:rFonts w:ascii="Arial" w:hAnsi="Arial" w:cs="Arial"/>
                <w:lang w:val="en-GB"/>
              </w:rPr>
              <w:t>predict</w:t>
            </w:r>
            <w:r w:rsidR="009F0A24" w:rsidRPr="00583B18">
              <w:rPr>
                <w:rFonts w:ascii="Arial" w:hAnsi="Arial" w:cs="Arial"/>
                <w:lang w:val="en-GB"/>
              </w:rPr>
              <w:t>ing the</w:t>
            </w:r>
            <w:r w:rsidR="00A8032A" w:rsidRPr="00583B18">
              <w:rPr>
                <w:rFonts w:ascii="Arial" w:hAnsi="Arial" w:cs="Arial"/>
                <w:lang w:val="en-GB"/>
              </w:rPr>
              <w:t xml:space="preserve"> future, 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we had to be open </w:t>
            </w:r>
            <w:r w:rsidR="009F0A24" w:rsidRPr="00583B18">
              <w:rPr>
                <w:rFonts w:ascii="Arial" w:hAnsi="Arial" w:cs="Arial"/>
                <w:lang w:val="en-GB"/>
              </w:rPr>
              <w:t xml:space="preserve">to 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a wide variety of possible scenarios. Some of the </w:t>
            </w:r>
            <w:r w:rsidR="009F0A24" w:rsidRPr="00583B18">
              <w:rPr>
                <w:rFonts w:ascii="Arial" w:hAnsi="Arial" w:cs="Arial"/>
                <w:lang w:val="en-GB"/>
              </w:rPr>
              <w:t>greatest</w:t>
            </w:r>
            <w:r w:rsidR="00EA1198" w:rsidRPr="00583B18">
              <w:rPr>
                <w:rFonts w:ascii="Arial" w:hAnsi="Arial" w:cs="Arial"/>
                <w:lang w:val="en-GB"/>
              </w:rPr>
              <w:t xml:space="preserve"> uncertainties </w:t>
            </w:r>
            <w:r w:rsidR="00A30971" w:rsidRPr="00583B18">
              <w:rPr>
                <w:rFonts w:ascii="Arial" w:hAnsi="Arial" w:cs="Arial"/>
                <w:lang w:val="en-GB"/>
              </w:rPr>
              <w:t xml:space="preserve">regarding the future of the economy </w:t>
            </w:r>
            <w:proofErr w:type="gramStart"/>
            <w:r w:rsidR="00A30971" w:rsidRPr="00583B18">
              <w:rPr>
                <w:rFonts w:ascii="Arial" w:hAnsi="Arial" w:cs="Arial"/>
                <w:lang w:val="en-GB"/>
              </w:rPr>
              <w:t>were brought about</w:t>
            </w:r>
            <w:proofErr w:type="gramEnd"/>
            <w:r w:rsidR="00A30971" w:rsidRPr="00583B18">
              <w:rPr>
                <w:rFonts w:ascii="Arial" w:hAnsi="Arial" w:cs="Arial"/>
                <w:lang w:val="en-GB"/>
              </w:rPr>
              <w:t xml:space="preserve"> by the expansion of </w:t>
            </w:r>
            <w:proofErr w:type="spellStart"/>
            <w:r w:rsidR="00A8032A" w:rsidRPr="00583B18">
              <w:rPr>
                <w:rFonts w:ascii="Arial" w:hAnsi="Arial" w:cs="Arial"/>
                <w:lang w:val="en-GB"/>
              </w:rPr>
              <w:t>blockchain</w:t>
            </w:r>
            <w:proofErr w:type="spellEnd"/>
            <w:r w:rsidR="00A30971" w:rsidRPr="00583B18">
              <w:rPr>
                <w:rFonts w:ascii="Arial" w:hAnsi="Arial" w:cs="Arial"/>
                <w:lang w:val="en-GB"/>
              </w:rPr>
              <w:t xml:space="preserve"> and the related access to finance, by cybersecurity, and by the concentration of economic power. </w:t>
            </w:r>
          </w:p>
          <w:p w:rsidR="00BA3581" w:rsidRPr="00583B18" w:rsidRDefault="00BA3581" w:rsidP="00BA3581">
            <w:pPr>
              <w:rPr>
                <w:rFonts w:ascii="Arial" w:hAnsi="Arial" w:cs="Arial"/>
                <w:lang w:val="en-GB"/>
              </w:rPr>
            </w:pPr>
          </w:p>
          <w:p w:rsidR="00A30971" w:rsidRDefault="00106F0F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Andrej Stuchlik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, Senior Policy Adviser, European Investment Bank (EIB</w:t>
            </w:r>
            <w:proofErr w:type="gramStart"/>
            <w:r w:rsidR="00D45608" w:rsidRPr="00583B18">
              <w:rPr>
                <w:rFonts w:ascii="Arial" w:hAnsi="Arial" w:cs="Arial"/>
                <w:b/>
                <w:lang w:val="en-GB"/>
              </w:rPr>
              <w:t>),</w:t>
            </w:r>
            <w:proofErr w:type="gramEnd"/>
            <w:r w:rsidRPr="00583B18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noted that recently we </w:t>
            </w:r>
            <w:r w:rsidR="00A8032A" w:rsidRPr="00583B18">
              <w:rPr>
                <w:rFonts w:ascii="Arial" w:hAnsi="Arial" w:cs="Arial"/>
                <w:lang w:val="en-GB"/>
              </w:rPr>
              <w:t>had been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looking at strategic foresight </w:t>
            </w:r>
            <w:r w:rsidR="00A8032A" w:rsidRPr="00583B18">
              <w:rPr>
                <w:rFonts w:ascii="Arial" w:hAnsi="Arial" w:cs="Arial"/>
                <w:lang w:val="en-GB"/>
              </w:rPr>
              <w:t>largely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from a foreign policy perspective: The latest EU buzzword in this context was “strategic autonomy”. Undeniably, this discussion touche</w:t>
            </w:r>
            <w:r w:rsidR="009020AE" w:rsidRPr="00583B18">
              <w:rPr>
                <w:rFonts w:ascii="Arial" w:hAnsi="Arial" w:cs="Arial"/>
                <w:lang w:val="en-GB"/>
              </w:rPr>
              <w:t>d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upon many economic aspects</w:t>
            </w:r>
            <w:r w:rsidR="00A8032A" w:rsidRPr="00583B18">
              <w:rPr>
                <w:rFonts w:ascii="Arial" w:hAnsi="Arial" w:cs="Arial"/>
                <w:lang w:val="en-GB"/>
              </w:rPr>
              <w:t>,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such as future energy</w:t>
            </w:r>
            <w:r w:rsidR="00482E95" w:rsidRPr="00583B18">
              <w:rPr>
                <w:rFonts w:ascii="Arial" w:hAnsi="Arial" w:cs="Arial"/>
                <w:lang w:val="en-GB"/>
              </w:rPr>
              <w:t xml:space="preserve"> prices,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for instance. However, the </w:t>
            </w:r>
            <w:r w:rsidR="009876E2" w:rsidRPr="00583B18">
              <w:rPr>
                <w:rFonts w:ascii="Arial" w:hAnsi="Arial" w:cs="Arial"/>
                <w:lang w:val="en-GB"/>
              </w:rPr>
              <w:t>current approach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remain</w:t>
            </w:r>
            <w:r w:rsidR="009020AE" w:rsidRPr="00583B18">
              <w:rPr>
                <w:rFonts w:ascii="Arial" w:hAnsi="Arial" w:cs="Arial"/>
                <w:lang w:val="en-GB"/>
              </w:rPr>
              <w:t>ed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rooted in security policy concerns and </w:t>
            </w:r>
            <w:r w:rsidR="009020AE" w:rsidRPr="00583B18">
              <w:rPr>
                <w:rFonts w:ascii="Arial" w:hAnsi="Arial" w:cs="Arial"/>
                <w:lang w:val="en-GB"/>
              </w:rPr>
              <w:t>was</w:t>
            </w:r>
            <w:r w:rsidR="008B3049" w:rsidRPr="00583B18">
              <w:rPr>
                <w:rFonts w:ascii="Arial" w:hAnsi="Arial" w:cs="Arial"/>
                <w:lang w:val="en-GB"/>
              </w:rPr>
              <w:t xml:space="preserve"> not a genuinely economic one. </w:t>
            </w:r>
            <w:r w:rsidR="0071484C" w:rsidRPr="00583B18">
              <w:rPr>
                <w:rFonts w:ascii="Arial" w:hAnsi="Arial" w:cs="Arial"/>
                <w:lang w:val="en-GB"/>
              </w:rPr>
              <w:t xml:space="preserve">Mr </w:t>
            </w:r>
            <w:proofErr w:type="spellStart"/>
            <w:r w:rsidR="0071484C" w:rsidRPr="00583B18">
              <w:rPr>
                <w:rFonts w:ascii="Arial" w:hAnsi="Arial" w:cs="Arial"/>
                <w:lang w:val="en-GB"/>
              </w:rPr>
              <w:t>Stuchlik</w:t>
            </w:r>
            <w:proofErr w:type="spellEnd"/>
            <w:r w:rsidR="0071484C" w:rsidRPr="00583B18">
              <w:rPr>
                <w:rFonts w:ascii="Arial" w:hAnsi="Arial" w:cs="Arial"/>
                <w:lang w:val="en-GB"/>
              </w:rPr>
              <w:t xml:space="preserve"> 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argued in favour of drawing attention away from vulnerabilities towards capabilities, and made a case </w:t>
            </w:r>
            <w:r w:rsidR="009020AE" w:rsidRPr="00583B18">
              <w:rPr>
                <w:rFonts w:ascii="Arial" w:hAnsi="Arial" w:cs="Arial"/>
                <w:lang w:val="en-GB"/>
              </w:rPr>
              <w:t>for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 strengthening the Single Market. Furthermore, he stressed that the so-called “twin transitions”</w:t>
            </w:r>
            <w:r w:rsidR="00E45D23" w:rsidRPr="00583B18">
              <w:t xml:space="preserve"> </w:t>
            </w:r>
            <w:r w:rsidR="00E45D23" w:rsidRPr="00583B18">
              <w:rPr>
                <w:rFonts w:ascii="Arial" w:hAnsi="Arial" w:cs="Arial"/>
                <w:lang w:val="en-GB"/>
              </w:rPr>
              <w:t>could actually become a nucleus of economic growth in the near future, through investing in climate action and the digitali</w:t>
            </w:r>
            <w:r w:rsidR="00DD73A0" w:rsidRPr="00583B18">
              <w:rPr>
                <w:rFonts w:ascii="Arial" w:hAnsi="Arial" w:cs="Arial"/>
                <w:lang w:val="en-GB"/>
              </w:rPr>
              <w:t>s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ation of </w:t>
            </w:r>
            <w:r w:rsidR="00DD73A0" w:rsidRPr="00583B18">
              <w:rPr>
                <w:rFonts w:ascii="Arial" w:hAnsi="Arial" w:cs="Arial"/>
                <w:lang w:val="en-GB"/>
              </w:rPr>
              <w:t xml:space="preserve">the </w:t>
            </w:r>
            <w:r w:rsidR="00E45D23" w:rsidRPr="00583B18">
              <w:rPr>
                <w:rFonts w:ascii="Arial" w:hAnsi="Arial" w:cs="Arial"/>
                <w:lang w:val="en-GB"/>
              </w:rPr>
              <w:t>EU</w:t>
            </w:r>
            <w:r w:rsidR="00DD73A0" w:rsidRPr="00583B18">
              <w:rPr>
                <w:rFonts w:ascii="Arial" w:hAnsi="Arial" w:cs="Arial"/>
                <w:lang w:val="en-GB"/>
              </w:rPr>
              <w:t>'s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 economies. </w:t>
            </w:r>
            <w:r w:rsidR="00DD73A0" w:rsidRPr="00583B18">
              <w:rPr>
                <w:rFonts w:ascii="Arial" w:hAnsi="Arial" w:cs="Arial"/>
                <w:lang w:val="en-GB"/>
              </w:rPr>
              <w:t xml:space="preserve">Mr </w:t>
            </w:r>
            <w:proofErr w:type="spellStart"/>
            <w:r w:rsidR="00DD73A0" w:rsidRPr="00583B18">
              <w:rPr>
                <w:rFonts w:ascii="Arial" w:hAnsi="Arial" w:cs="Arial"/>
                <w:lang w:val="en-GB"/>
              </w:rPr>
              <w:t>Stuchlik</w:t>
            </w:r>
            <w:proofErr w:type="spellEnd"/>
            <w:r w:rsidR="00DD73A0" w:rsidRPr="00583B18">
              <w:rPr>
                <w:rFonts w:ascii="Arial" w:hAnsi="Arial" w:cs="Arial"/>
                <w:lang w:val="en-GB"/>
              </w:rPr>
              <w:t xml:space="preserve"> further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 claimed that we </w:t>
            </w:r>
            <w:r w:rsidR="001733D7" w:rsidRPr="00583B18">
              <w:rPr>
                <w:rFonts w:ascii="Arial" w:hAnsi="Arial" w:cs="Arial"/>
                <w:lang w:val="en-GB"/>
              </w:rPr>
              <w:t>we</w:t>
            </w:r>
            <w:r w:rsidR="00A8032A" w:rsidRPr="00583B18">
              <w:rPr>
                <w:rFonts w:ascii="Arial" w:hAnsi="Arial" w:cs="Arial"/>
                <w:lang w:val="en-GB"/>
              </w:rPr>
              <w:t>re</w:t>
            </w:r>
            <w:r w:rsidR="00E45D23" w:rsidRPr="00583B18">
              <w:rPr>
                <w:rFonts w:ascii="Arial" w:hAnsi="Arial" w:cs="Arial"/>
                <w:lang w:val="en-GB"/>
              </w:rPr>
              <w:t xml:space="preserve"> still underestimating the disruptive economic impact of climate action and sustainable finance.</w:t>
            </w:r>
          </w:p>
          <w:p w:rsidR="00BA3581" w:rsidRPr="00583B18" w:rsidRDefault="00BA3581" w:rsidP="00BA3581">
            <w:pPr>
              <w:rPr>
                <w:rFonts w:ascii="Arial" w:hAnsi="Arial" w:cs="Arial"/>
                <w:lang w:val="en-GB"/>
              </w:rPr>
            </w:pPr>
          </w:p>
          <w:p w:rsidR="0047108D" w:rsidRDefault="0047108D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Sandra Parthie</w:t>
            </w:r>
            <w:r w:rsidR="00C874A3" w:rsidRPr="00583B18">
              <w:rPr>
                <w:rFonts w:ascii="Arial" w:hAnsi="Arial" w:cs="Arial"/>
                <w:b/>
                <w:lang w:val="en-GB"/>
              </w:rPr>
              <w:t>, rapporteur for the EESC opinion on strategic foresight</w:t>
            </w:r>
            <w:r w:rsidR="00C874A3" w:rsidRPr="00583B18">
              <w:rPr>
                <w:rFonts w:ascii="Arial" w:hAnsi="Arial" w:cs="Arial"/>
                <w:lang w:val="en-GB"/>
              </w:rPr>
              <w:t>,</w:t>
            </w:r>
            <w:r w:rsidR="00C874A3" w:rsidRPr="00583B1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026FE" w:rsidRPr="00583B18">
              <w:rPr>
                <w:rFonts w:ascii="Arial" w:hAnsi="Arial" w:cs="Arial"/>
                <w:lang w:val="en-GB"/>
              </w:rPr>
              <w:t>took the floor and stated</w:t>
            </w:r>
            <w:r w:rsidRPr="00583B18">
              <w:rPr>
                <w:rFonts w:ascii="Arial" w:hAnsi="Arial" w:cs="Arial"/>
                <w:lang w:val="en-GB"/>
              </w:rPr>
              <w:t xml:space="preserve"> that a change of </w:t>
            </w:r>
            <w:r w:rsidR="00C874A3" w:rsidRPr="00583B18">
              <w:rPr>
                <w:rFonts w:ascii="Arial" w:hAnsi="Arial" w:cs="Arial"/>
                <w:lang w:val="en-GB"/>
              </w:rPr>
              <w:t>mind-set</w:t>
            </w:r>
            <w:r w:rsidRPr="00583B18">
              <w:rPr>
                <w:rFonts w:ascii="Arial" w:hAnsi="Arial" w:cs="Arial"/>
                <w:lang w:val="en-GB"/>
              </w:rPr>
              <w:t xml:space="preserve"> was necessary, and that the </w:t>
            </w:r>
            <w:proofErr w:type="gramStart"/>
            <w:r w:rsidRPr="00583B18">
              <w:rPr>
                <w:rFonts w:ascii="Arial" w:hAnsi="Arial" w:cs="Arial"/>
                <w:lang w:val="en-GB"/>
              </w:rPr>
              <w:t>added value</w:t>
            </w:r>
            <w:proofErr w:type="gramEnd"/>
            <w:r w:rsidRPr="00583B18">
              <w:rPr>
                <w:rFonts w:ascii="Arial" w:hAnsi="Arial" w:cs="Arial"/>
                <w:lang w:val="en-GB"/>
              </w:rPr>
              <w:t xml:space="preserve"> of strategic foresight needed to be </w:t>
            </w:r>
            <w:r w:rsidR="00C874A3" w:rsidRPr="00583B18">
              <w:rPr>
                <w:rFonts w:ascii="Arial" w:hAnsi="Arial" w:cs="Arial"/>
                <w:lang w:val="en-GB"/>
              </w:rPr>
              <w:t xml:space="preserve">clearly </w:t>
            </w:r>
            <w:r w:rsidRPr="00583B18">
              <w:rPr>
                <w:rFonts w:ascii="Arial" w:hAnsi="Arial" w:cs="Arial"/>
                <w:lang w:val="en-GB"/>
              </w:rPr>
              <w:t>shown, as well as how foresight influenced the policy</w:t>
            </w:r>
            <w:r w:rsidR="00D95341" w:rsidRPr="00583B18">
              <w:rPr>
                <w:rFonts w:ascii="Arial" w:hAnsi="Arial" w:cs="Arial"/>
                <w:lang w:val="en-GB"/>
              </w:rPr>
              <w:t>-</w:t>
            </w:r>
            <w:r w:rsidRPr="00583B18">
              <w:rPr>
                <w:rFonts w:ascii="Arial" w:hAnsi="Arial" w:cs="Arial"/>
                <w:lang w:val="en-GB"/>
              </w:rPr>
              <w:t xml:space="preserve">making process. She called for foresight to </w:t>
            </w:r>
            <w:proofErr w:type="gramStart"/>
            <w:r w:rsidRPr="00583B18">
              <w:rPr>
                <w:rFonts w:ascii="Arial" w:hAnsi="Arial" w:cs="Arial"/>
                <w:lang w:val="en-GB"/>
              </w:rPr>
              <w:t>be applied</w:t>
            </w:r>
            <w:proofErr w:type="gramEnd"/>
            <w:r w:rsidRPr="00583B18">
              <w:rPr>
                <w:rFonts w:ascii="Arial" w:hAnsi="Arial" w:cs="Arial"/>
                <w:lang w:val="en-GB"/>
              </w:rPr>
              <w:t xml:space="preserve"> to a broad range of </w:t>
            </w:r>
            <w:r w:rsidR="00C874A3" w:rsidRPr="00583B18">
              <w:rPr>
                <w:rFonts w:ascii="Arial" w:hAnsi="Arial" w:cs="Arial"/>
                <w:lang w:val="en-GB"/>
              </w:rPr>
              <w:t>topics.</w:t>
            </w:r>
          </w:p>
          <w:p w:rsidR="00BA3581" w:rsidRPr="00583B18" w:rsidRDefault="00BA3581" w:rsidP="00BA3581">
            <w:pPr>
              <w:rPr>
                <w:rFonts w:ascii="Arial" w:hAnsi="Arial" w:cs="Arial"/>
                <w:lang w:val="en-GB"/>
              </w:rPr>
            </w:pPr>
          </w:p>
          <w:p w:rsidR="0047108D" w:rsidRDefault="0047108D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lang w:val="en-GB"/>
              </w:rPr>
              <w:lastRenderedPageBreak/>
              <w:t>In the following Q&amp;A round</w:t>
            </w:r>
            <w:r w:rsidR="00AC3B3A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the following members took the floor: </w:t>
            </w:r>
            <w:r w:rsidRPr="00583B18">
              <w:rPr>
                <w:rFonts w:ascii="Arial" w:hAnsi="Arial" w:cs="Arial"/>
                <w:b/>
                <w:lang w:val="en-GB"/>
              </w:rPr>
              <w:t xml:space="preserve">Mr Doz Orrit, Ms Calistru, Mr </w:t>
            </w:r>
            <w:r w:rsidR="00A7126B" w:rsidRPr="00583B18">
              <w:rPr>
                <w:rFonts w:ascii="Arial" w:hAnsi="Arial" w:cs="Arial"/>
                <w:b/>
                <w:lang w:val="en-GB"/>
              </w:rPr>
              <w:t>M</w:t>
            </w:r>
            <w:r w:rsidRPr="00583B18">
              <w:rPr>
                <w:rFonts w:ascii="Arial" w:hAnsi="Arial" w:cs="Arial"/>
                <w:b/>
                <w:lang w:val="en-GB"/>
              </w:rPr>
              <w:t>arin, Mr</w:t>
            </w:r>
            <w:r w:rsidR="00B37FB1" w:rsidRPr="00583B18">
              <w:rPr>
                <w:rFonts w:ascii="Arial" w:hAnsi="Arial" w:cs="Arial"/>
                <w:b/>
                <w:lang w:val="en-GB"/>
              </w:rPr>
              <w:t> </w:t>
            </w:r>
            <w:r w:rsidRPr="00583B18">
              <w:rPr>
                <w:rFonts w:ascii="Arial" w:hAnsi="Arial" w:cs="Arial"/>
                <w:b/>
                <w:lang w:val="en-GB"/>
              </w:rPr>
              <w:t xml:space="preserve">Pietkiewicz, Mr </w:t>
            </w:r>
            <w:r w:rsidR="00B37FB1" w:rsidRPr="00583B18">
              <w:rPr>
                <w:rFonts w:ascii="Arial" w:hAnsi="Arial" w:cs="Arial"/>
                <w:b/>
                <w:lang w:val="en-GB"/>
              </w:rPr>
              <w:t>Marchiori</w:t>
            </w:r>
            <w:r w:rsidRPr="00583B18">
              <w:rPr>
                <w:rFonts w:ascii="Arial" w:hAnsi="Arial" w:cs="Arial"/>
                <w:b/>
                <w:lang w:val="en-GB"/>
              </w:rPr>
              <w:t>, and Mr Dandea.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D95341" w:rsidRPr="00583B18">
              <w:rPr>
                <w:rFonts w:ascii="Arial" w:hAnsi="Arial" w:cs="Arial"/>
                <w:lang w:val="en-GB"/>
              </w:rPr>
              <w:t>The</w:t>
            </w:r>
            <w:r w:rsidR="00AC3B3A" w:rsidRPr="00583B18">
              <w:rPr>
                <w:rFonts w:ascii="Arial" w:hAnsi="Arial" w:cs="Arial"/>
                <w:lang w:val="en-GB"/>
              </w:rPr>
              <w:t xml:space="preserve">y </w:t>
            </w:r>
            <w:r w:rsidR="004119F8" w:rsidRPr="00583B18">
              <w:rPr>
                <w:rFonts w:ascii="Arial" w:hAnsi="Arial" w:cs="Arial"/>
                <w:lang w:val="en-GB"/>
              </w:rPr>
              <w:t>addressed</w:t>
            </w:r>
            <w:r w:rsidR="00AC3B3A" w:rsidRPr="00583B18">
              <w:rPr>
                <w:rFonts w:ascii="Arial" w:hAnsi="Arial" w:cs="Arial"/>
                <w:lang w:val="en-GB"/>
              </w:rPr>
              <w:t xml:space="preserve"> </w:t>
            </w:r>
            <w:r w:rsidRPr="00583B18">
              <w:rPr>
                <w:rFonts w:ascii="Arial" w:hAnsi="Arial" w:cs="Arial"/>
                <w:lang w:val="en-GB"/>
              </w:rPr>
              <w:t xml:space="preserve">the elements </w:t>
            </w:r>
            <w:r w:rsidR="00DC5E5D" w:rsidRPr="00583B18">
              <w:rPr>
                <w:rFonts w:ascii="Arial" w:hAnsi="Arial" w:cs="Arial"/>
                <w:lang w:val="en-GB"/>
              </w:rPr>
              <w:t xml:space="preserve">missing from </w:t>
            </w:r>
            <w:r w:rsidRPr="00583B18">
              <w:rPr>
                <w:rFonts w:ascii="Arial" w:hAnsi="Arial" w:cs="Arial"/>
                <w:lang w:val="en-GB"/>
              </w:rPr>
              <w:t xml:space="preserve">economic governance; the most pressing issues to </w:t>
            </w:r>
            <w:r w:rsidR="00B276C7" w:rsidRPr="00583B18">
              <w:rPr>
                <w:rFonts w:ascii="Arial" w:hAnsi="Arial" w:cs="Arial"/>
                <w:lang w:val="en-GB"/>
              </w:rPr>
              <w:t>be tackled</w:t>
            </w:r>
            <w:r w:rsidRPr="00583B18">
              <w:rPr>
                <w:rFonts w:ascii="Arial" w:hAnsi="Arial" w:cs="Arial"/>
                <w:lang w:val="en-GB"/>
              </w:rPr>
              <w:t>; the need for a participative process and the mechanisms used</w:t>
            </w:r>
            <w:r w:rsidR="00A7126B" w:rsidRPr="00583B18">
              <w:rPr>
                <w:rFonts w:ascii="Arial" w:hAnsi="Arial" w:cs="Arial"/>
                <w:lang w:val="en-GB"/>
              </w:rPr>
              <w:t xml:space="preserve"> to achieve that</w:t>
            </w:r>
            <w:r w:rsidRPr="00583B18">
              <w:rPr>
                <w:rFonts w:ascii="Arial" w:hAnsi="Arial" w:cs="Arial"/>
                <w:lang w:val="en-GB"/>
              </w:rPr>
              <w:t>; inequalities between EU Member States and</w:t>
            </w:r>
            <w:r w:rsidR="00FA11C9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in this context</w:t>
            </w:r>
            <w:r w:rsidR="00FA11C9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price convergence vs wage convergence</w:t>
            </w:r>
            <w:r w:rsidR="00EC1CFF" w:rsidRPr="00583B18">
              <w:rPr>
                <w:rFonts w:ascii="Arial" w:hAnsi="Arial" w:cs="Arial"/>
                <w:lang w:val="en-GB"/>
              </w:rPr>
              <w:t xml:space="preserve"> and the transfers of capital and labour</w:t>
            </w:r>
            <w:r w:rsidRPr="00583B18">
              <w:rPr>
                <w:rFonts w:ascii="Arial" w:hAnsi="Arial" w:cs="Arial"/>
                <w:lang w:val="en-GB"/>
              </w:rPr>
              <w:t xml:space="preserve">; </w:t>
            </w:r>
            <w:r w:rsidR="00EC1CFF" w:rsidRPr="00583B18">
              <w:rPr>
                <w:rFonts w:ascii="Arial" w:hAnsi="Arial" w:cs="Arial"/>
                <w:lang w:val="en-GB"/>
              </w:rPr>
              <w:t xml:space="preserve">macroregions in the EU, and the need </w:t>
            </w:r>
            <w:r w:rsidR="00FA11C9" w:rsidRPr="00583B18">
              <w:rPr>
                <w:rFonts w:ascii="Arial" w:hAnsi="Arial" w:cs="Arial"/>
                <w:lang w:val="en-GB"/>
              </w:rPr>
              <w:t xml:space="preserve">to </w:t>
            </w:r>
            <w:r w:rsidR="00EC1CFF" w:rsidRPr="00583B18">
              <w:rPr>
                <w:rFonts w:ascii="Arial" w:hAnsi="Arial" w:cs="Arial"/>
                <w:lang w:val="en-GB"/>
              </w:rPr>
              <w:t>invest in new technologies.</w:t>
            </w:r>
            <w:proofErr w:type="gramEnd"/>
            <w:r w:rsidR="00EC1CFF" w:rsidRPr="00583B18">
              <w:rPr>
                <w:rFonts w:ascii="Arial" w:hAnsi="Arial" w:cs="Arial"/>
                <w:lang w:val="en-GB"/>
              </w:rPr>
              <w:t xml:space="preserve">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EC1CFF" w:rsidRDefault="00EF2540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Mr Stuchlik</w:t>
            </w:r>
            <w:r w:rsidRPr="00583B18">
              <w:rPr>
                <w:rFonts w:ascii="Arial" w:hAnsi="Arial" w:cs="Arial"/>
                <w:lang w:val="en-GB"/>
              </w:rPr>
              <w:t xml:space="preserve"> replied that </w:t>
            </w:r>
            <w:r w:rsidR="001873CD" w:rsidRPr="00583B18">
              <w:rPr>
                <w:rFonts w:ascii="Arial" w:hAnsi="Arial" w:cs="Arial"/>
                <w:lang w:val="en-GB"/>
              </w:rPr>
              <w:t>foreign</w:t>
            </w:r>
            <w:r w:rsidRPr="00583B18">
              <w:rPr>
                <w:rFonts w:ascii="Arial" w:hAnsi="Arial" w:cs="Arial"/>
                <w:lang w:val="en-GB"/>
              </w:rPr>
              <w:t xml:space="preserve"> policy and energy policy </w:t>
            </w:r>
            <w:proofErr w:type="gramStart"/>
            <w:r w:rsidRPr="00583B18">
              <w:rPr>
                <w:rFonts w:ascii="Arial" w:hAnsi="Arial" w:cs="Arial"/>
                <w:lang w:val="en-GB"/>
              </w:rPr>
              <w:t>were closely related</w:t>
            </w:r>
            <w:proofErr w:type="gramEnd"/>
            <w:r w:rsidRPr="00583B18">
              <w:rPr>
                <w:rFonts w:ascii="Arial" w:hAnsi="Arial" w:cs="Arial"/>
                <w:lang w:val="en-GB"/>
              </w:rPr>
              <w:t xml:space="preserve"> and that a "climate diplomacy" was needed. He pointed out that EIB investment was relatively limited in volume</w:t>
            </w:r>
            <w:r w:rsidR="0085562F" w:rsidRPr="00583B18">
              <w:rPr>
                <w:rFonts w:ascii="Arial" w:hAnsi="Arial" w:cs="Arial"/>
                <w:lang w:val="en-GB"/>
              </w:rPr>
              <w:t xml:space="preserve"> and therefore </w:t>
            </w:r>
            <w:r w:rsidR="002A1D8B" w:rsidRPr="00583B18">
              <w:rPr>
                <w:rFonts w:ascii="Arial" w:hAnsi="Arial" w:cs="Arial"/>
                <w:lang w:val="en-GB"/>
              </w:rPr>
              <w:t xml:space="preserve">in its </w:t>
            </w:r>
            <w:r w:rsidR="0085562F" w:rsidRPr="00583B18">
              <w:rPr>
                <w:rFonts w:ascii="Arial" w:hAnsi="Arial" w:cs="Arial"/>
                <w:lang w:val="en-GB"/>
              </w:rPr>
              <w:t>impact</w:t>
            </w:r>
            <w:r w:rsidRPr="00583B18">
              <w:rPr>
                <w:rFonts w:ascii="Arial" w:hAnsi="Arial" w:cs="Arial"/>
                <w:lang w:val="en-GB"/>
              </w:rPr>
              <w:t xml:space="preserve">. </w:t>
            </w:r>
            <w:r w:rsidR="005A3D4C" w:rsidRPr="00583B18">
              <w:rPr>
                <w:rFonts w:ascii="Arial" w:hAnsi="Arial" w:cs="Arial"/>
                <w:lang w:val="en-GB"/>
              </w:rPr>
              <w:t xml:space="preserve">At </w:t>
            </w:r>
            <w:r w:rsidRPr="00583B18">
              <w:rPr>
                <w:rFonts w:ascii="Arial" w:hAnsi="Arial" w:cs="Arial"/>
                <w:lang w:val="en-GB"/>
              </w:rPr>
              <w:t xml:space="preserve">the EIB, forecasting and megatrend analysis </w:t>
            </w:r>
            <w:proofErr w:type="gramStart"/>
            <w:r w:rsidR="005A3D4C" w:rsidRPr="00583B18">
              <w:rPr>
                <w:rFonts w:ascii="Arial" w:hAnsi="Arial" w:cs="Arial"/>
                <w:lang w:val="en-GB"/>
              </w:rPr>
              <w:t xml:space="preserve">were </w:t>
            </w:r>
            <w:r w:rsidRPr="00583B18">
              <w:rPr>
                <w:rFonts w:ascii="Arial" w:hAnsi="Arial" w:cs="Arial"/>
                <w:lang w:val="en-GB"/>
              </w:rPr>
              <w:t>applied</w:t>
            </w:r>
            <w:proofErr w:type="gramEnd"/>
            <w:r w:rsidRPr="00583B18">
              <w:rPr>
                <w:rFonts w:ascii="Arial" w:hAnsi="Arial" w:cs="Arial"/>
                <w:lang w:val="en-GB"/>
              </w:rPr>
              <w:t>. He also</w:t>
            </w:r>
            <w:r w:rsidR="001873CD" w:rsidRPr="00583B18">
              <w:rPr>
                <w:rFonts w:ascii="Arial" w:hAnsi="Arial" w:cs="Arial"/>
                <w:lang w:val="en-GB"/>
              </w:rPr>
              <w:t xml:space="preserve"> </w:t>
            </w:r>
            <w:r w:rsidR="005A3D4C" w:rsidRPr="00583B18">
              <w:rPr>
                <w:rFonts w:ascii="Arial" w:hAnsi="Arial" w:cs="Arial"/>
                <w:lang w:val="en-GB"/>
              </w:rPr>
              <w:t xml:space="preserve">noted </w:t>
            </w:r>
            <w:r w:rsidR="001873CD" w:rsidRPr="00583B18">
              <w:rPr>
                <w:rFonts w:ascii="Arial" w:hAnsi="Arial" w:cs="Arial"/>
                <w:lang w:val="en-GB"/>
              </w:rPr>
              <w:t xml:space="preserve">that not all EU </w:t>
            </w:r>
            <w:r w:rsidR="0085562F" w:rsidRPr="00583B18">
              <w:rPr>
                <w:rFonts w:ascii="Arial" w:hAnsi="Arial" w:cs="Arial"/>
                <w:lang w:val="en-GB"/>
              </w:rPr>
              <w:t>M</w:t>
            </w:r>
            <w:r w:rsidR="001873CD" w:rsidRPr="00583B18">
              <w:rPr>
                <w:rFonts w:ascii="Arial" w:hAnsi="Arial" w:cs="Arial"/>
                <w:lang w:val="en-GB"/>
              </w:rPr>
              <w:t xml:space="preserve">ember </w:t>
            </w:r>
            <w:r w:rsidR="0085562F" w:rsidRPr="00583B18">
              <w:rPr>
                <w:rFonts w:ascii="Arial" w:hAnsi="Arial" w:cs="Arial"/>
                <w:lang w:val="en-GB"/>
              </w:rPr>
              <w:t>S</w:t>
            </w:r>
            <w:r w:rsidR="001873CD" w:rsidRPr="00583B18">
              <w:rPr>
                <w:rFonts w:ascii="Arial" w:hAnsi="Arial" w:cs="Arial"/>
                <w:lang w:val="en-GB"/>
              </w:rPr>
              <w:t xml:space="preserve">tates were </w:t>
            </w:r>
            <w:r w:rsidR="005A3D4C" w:rsidRPr="00583B18">
              <w:rPr>
                <w:rFonts w:ascii="Arial" w:hAnsi="Arial" w:cs="Arial"/>
                <w:lang w:val="en-GB"/>
              </w:rPr>
              <w:t xml:space="preserve">starting out </w:t>
            </w:r>
            <w:r w:rsidR="001873CD" w:rsidRPr="00583B18">
              <w:rPr>
                <w:rFonts w:ascii="Arial" w:hAnsi="Arial" w:cs="Arial"/>
                <w:lang w:val="en-GB"/>
              </w:rPr>
              <w:t xml:space="preserve">from the same point </w:t>
            </w:r>
            <w:r w:rsidR="0085562F" w:rsidRPr="00583B18">
              <w:rPr>
                <w:rFonts w:ascii="Arial" w:hAnsi="Arial" w:cs="Arial"/>
                <w:lang w:val="en-GB"/>
              </w:rPr>
              <w:t>in the ongoing transitions.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85562F" w:rsidRDefault="0085562F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Mr Cass</w:t>
            </w:r>
            <w:r w:rsidR="00A7126B" w:rsidRPr="00583B18">
              <w:rPr>
                <w:rFonts w:ascii="Arial" w:hAnsi="Arial" w:cs="Arial"/>
                <w:b/>
                <w:lang w:val="en-GB"/>
              </w:rPr>
              <w:t>-</w:t>
            </w:r>
            <w:r w:rsidRPr="00583B18">
              <w:rPr>
                <w:rFonts w:ascii="Arial" w:hAnsi="Arial" w:cs="Arial"/>
                <w:b/>
                <w:lang w:val="en-GB"/>
              </w:rPr>
              <w:t>Beggs</w:t>
            </w:r>
            <w:r w:rsidRPr="00583B18">
              <w:rPr>
                <w:rFonts w:ascii="Arial" w:hAnsi="Arial" w:cs="Arial"/>
                <w:lang w:val="en-GB"/>
              </w:rPr>
              <w:t xml:space="preserve"> pointed out that we were seeing a once</w:t>
            </w:r>
            <w:r w:rsidR="003423CF" w:rsidRPr="00583B18">
              <w:rPr>
                <w:rFonts w:ascii="Arial" w:hAnsi="Arial" w:cs="Arial"/>
                <w:lang w:val="en-GB"/>
              </w:rPr>
              <w:t>-</w:t>
            </w:r>
            <w:r w:rsidRPr="00583B18">
              <w:rPr>
                <w:rFonts w:ascii="Arial" w:hAnsi="Arial" w:cs="Arial"/>
                <w:lang w:val="en-GB"/>
              </w:rPr>
              <w:t>in</w:t>
            </w:r>
            <w:r w:rsidR="003423CF" w:rsidRPr="00583B18">
              <w:rPr>
                <w:rFonts w:ascii="Arial" w:hAnsi="Arial" w:cs="Arial"/>
                <w:lang w:val="en-GB"/>
              </w:rPr>
              <w:t>-</w:t>
            </w:r>
            <w:r w:rsidRPr="00583B18">
              <w:rPr>
                <w:rFonts w:ascii="Arial" w:hAnsi="Arial" w:cs="Arial"/>
                <w:lang w:val="en-GB"/>
              </w:rPr>
              <w:t>a</w:t>
            </w:r>
            <w:r w:rsidR="003423CF" w:rsidRPr="00583B18">
              <w:rPr>
                <w:rFonts w:ascii="Arial" w:hAnsi="Arial" w:cs="Arial"/>
                <w:lang w:val="en-GB"/>
              </w:rPr>
              <w:t>-</w:t>
            </w:r>
            <w:r w:rsidRPr="00583B18">
              <w:rPr>
                <w:rFonts w:ascii="Arial" w:hAnsi="Arial" w:cs="Arial"/>
                <w:lang w:val="en-GB"/>
              </w:rPr>
              <w:t xml:space="preserve">generation investment volume </w:t>
            </w:r>
            <w:r w:rsidR="00A7126B" w:rsidRPr="00583B18">
              <w:rPr>
                <w:rFonts w:ascii="Arial" w:hAnsi="Arial" w:cs="Arial"/>
                <w:lang w:val="en-GB"/>
              </w:rPr>
              <w:t>with</w:t>
            </w:r>
            <w:r w:rsidRPr="00583B18">
              <w:rPr>
                <w:rFonts w:ascii="Arial" w:hAnsi="Arial" w:cs="Arial"/>
                <w:lang w:val="en-GB"/>
              </w:rPr>
              <w:t xml:space="preserve"> public funds. </w:t>
            </w:r>
            <w:r w:rsidR="003423CF" w:rsidRPr="00583B18">
              <w:rPr>
                <w:rFonts w:ascii="Arial" w:hAnsi="Arial" w:cs="Arial"/>
                <w:lang w:val="en-GB"/>
              </w:rPr>
              <w:t>S</w:t>
            </w:r>
            <w:r w:rsidRPr="00583B18">
              <w:rPr>
                <w:rFonts w:ascii="Arial" w:hAnsi="Arial" w:cs="Arial"/>
                <w:lang w:val="en-GB"/>
              </w:rPr>
              <w:t>pending needed to be futureproof and limited to l</w:t>
            </w:r>
            <w:r w:rsidR="003423CF" w:rsidRPr="00583B18">
              <w:rPr>
                <w:rFonts w:ascii="Arial" w:hAnsi="Arial" w:cs="Arial"/>
                <w:lang w:val="en-GB"/>
              </w:rPr>
              <w:t>ong-</w:t>
            </w:r>
            <w:r w:rsidRPr="00583B18">
              <w:rPr>
                <w:rFonts w:ascii="Arial" w:hAnsi="Arial" w:cs="Arial"/>
                <w:lang w:val="en-GB"/>
              </w:rPr>
              <w:t xml:space="preserve">term objectives, and </w:t>
            </w:r>
            <w:r w:rsidR="00A7126B" w:rsidRPr="00583B18">
              <w:rPr>
                <w:rFonts w:ascii="Arial" w:hAnsi="Arial" w:cs="Arial"/>
                <w:lang w:val="en-GB"/>
              </w:rPr>
              <w:t xml:space="preserve">at the same time </w:t>
            </w:r>
            <w:r w:rsidRPr="00583B18">
              <w:rPr>
                <w:rFonts w:ascii="Arial" w:hAnsi="Arial" w:cs="Arial"/>
                <w:lang w:val="en-GB"/>
              </w:rPr>
              <w:t>monitored and adjusted where required. In terms of governance, a number of bodie</w:t>
            </w:r>
            <w:r w:rsidR="00A7126B" w:rsidRPr="00583B18">
              <w:rPr>
                <w:rFonts w:ascii="Arial" w:hAnsi="Arial" w:cs="Arial"/>
                <w:lang w:val="en-GB"/>
              </w:rPr>
              <w:t>s needed to build up foresight</w:t>
            </w:r>
            <w:r w:rsidRPr="00583B18">
              <w:rPr>
                <w:rFonts w:ascii="Arial" w:hAnsi="Arial" w:cs="Arial"/>
                <w:lang w:val="en-GB"/>
              </w:rPr>
              <w:t xml:space="preserve"> capacities, and establish the key uncertainties. Learning from each other was paramount. </w:t>
            </w:r>
            <w:r w:rsidR="00D8760E" w:rsidRPr="00583B18">
              <w:rPr>
                <w:rFonts w:ascii="Arial" w:hAnsi="Arial" w:cs="Arial"/>
                <w:lang w:val="en-GB"/>
              </w:rPr>
              <w:t xml:space="preserve">Foresight needed to be grounded in evidence, </w:t>
            </w:r>
            <w:r w:rsidR="0048350A" w:rsidRPr="00583B18">
              <w:rPr>
                <w:rFonts w:ascii="Arial" w:hAnsi="Arial" w:cs="Arial"/>
                <w:lang w:val="en-GB"/>
              </w:rPr>
              <w:t xml:space="preserve">with </w:t>
            </w:r>
            <w:r w:rsidR="00D8760E" w:rsidRPr="00583B18">
              <w:rPr>
                <w:rFonts w:ascii="Arial" w:hAnsi="Arial" w:cs="Arial"/>
                <w:lang w:val="en-GB"/>
              </w:rPr>
              <w:t>extrapolat</w:t>
            </w:r>
            <w:r w:rsidR="0048350A" w:rsidRPr="00583B18">
              <w:rPr>
                <w:rFonts w:ascii="Arial" w:hAnsi="Arial" w:cs="Arial"/>
                <w:lang w:val="en-GB"/>
              </w:rPr>
              <w:t>ions</w:t>
            </w:r>
            <w:r w:rsidR="00922A7F" w:rsidRPr="00583B18">
              <w:rPr>
                <w:rFonts w:ascii="Arial" w:hAnsi="Arial" w:cs="Arial"/>
                <w:lang w:val="en-GB"/>
              </w:rPr>
              <w:t xml:space="preserve"> then being</w:t>
            </w:r>
            <w:r w:rsidR="0048350A" w:rsidRPr="00583B18">
              <w:rPr>
                <w:rFonts w:ascii="Arial" w:hAnsi="Arial" w:cs="Arial"/>
                <w:lang w:val="en-GB"/>
              </w:rPr>
              <w:t xml:space="preserve"> made </w:t>
            </w:r>
            <w:proofErr w:type="gramStart"/>
            <w:r w:rsidR="0048350A" w:rsidRPr="00583B18">
              <w:rPr>
                <w:rFonts w:ascii="Arial" w:hAnsi="Arial" w:cs="Arial"/>
                <w:lang w:val="en-GB"/>
              </w:rPr>
              <w:t>on the basis of</w:t>
            </w:r>
            <w:proofErr w:type="gramEnd"/>
            <w:r w:rsidR="0048350A" w:rsidRPr="00583B18">
              <w:rPr>
                <w:rFonts w:ascii="Arial" w:hAnsi="Arial" w:cs="Arial"/>
                <w:lang w:val="en-GB"/>
              </w:rPr>
              <w:t xml:space="preserve"> that evidence</w:t>
            </w:r>
            <w:r w:rsidR="00D8760E" w:rsidRPr="00583B18">
              <w:rPr>
                <w:rFonts w:ascii="Arial" w:hAnsi="Arial" w:cs="Arial"/>
                <w:lang w:val="en-GB"/>
              </w:rPr>
              <w:t xml:space="preserve">.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D8760E" w:rsidRDefault="00D8760E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Mr Noonan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48350A" w:rsidRPr="00583B18">
              <w:rPr>
                <w:rFonts w:ascii="Arial" w:hAnsi="Arial" w:cs="Arial"/>
                <w:lang w:val="en-GB"/>
              </w:rPr>
              <w:t xml:space="preserve">provided </w:t>
            </w:r>
            <w:r w:rsidRPr="00583B18">
              <w:rPr>
                <w:rFonts w:ascii="Arial" w:hAnsi="Arial" w:cs="Arial"/>
                <w:lang w:val="en-GB"/>
              </w:rPr>
              <w:t xml:space="preserve">examples </w:t>
            </w:r>
            <w:r w:rsidR="0048350A" w:rsidRPr="00583B18">
              <w:rPr>
                <w:rFonts w:ascii="Arial" w:hAnsi="Arial" w:cs="Arial"/>
                <w:lang w:val="en-GB"/>
              </w:rPr>
              <w:t xml:space="preserve">of </w:t>
            </w:r>
            <w:r w:rsidRPr="00583B18">
              <w:rPr>
                <w:rFonts w:ascii="Arial" w:hAnsi="Arial" w:cs="Arial"/>
                <w:lang w:val="en-GB"/>
              </w:rPr>
              <w:t>foresight: in the 2019 ESPAS report</w:t>
            </w:r>
            <w:r w:rsidR="003014A5" w:rsidRPr="00583B18">
              <w:rPr>
                <w:rFonts w:ascii="Arial" w:hAnsi="Arial" w:cs="Arial"/>
                <w:lang w:val="en-GB"/>
              </w:rPr>
              <w:t>,</w:t>
            </w:r>
            <w:r w:rsidRPr="00583B18">
              <w:rPr>
                <w:rFonts w:ascii="Arial" w:hAnsi="Arial" w:cs="Arial"/>
                <w:lang w:val="en-GB"/>
              </w:rPr>
              <w:t xml:space="preserve"> climate issues were a main element. </w:t>
            </w:r>
            <w:r w:rsidR="00A7126B" w:rsidRPr="00583B18">
              <w:rPr>
                <w:rFonts w:ascii="Arial" w:hAnsi="Arial" w:cs="Arial"/>
                <w:lang w:val="en-GB"/>
              </w:rPr>
              <w:t>From</w:t>
            </w:r>
            <w:r w:rsidRPr="00583B18">
              <w:rPr>
                <w:rFonts w:ascii="Arial" w:hAnsi="Arial" w:cs="Arial"/>
                <w:lang w:val="en-GB"/>
              </w:rPr>
              <w:t xml:space="preserve"> the past, the transition in South Africa and </w:t>
            </w:r>
            <w:r w:rsidR="000F33BB" w:rsidRPr="00583B18">
              <w:rPr>
                <w:rFonts w:ascii="Arial" w:hAnsi="Arial" w:cs="Arial"/>
                <w:lang w:val="en-GB"/>
              </w:rPr>
              <w:t>scenarios</w:t>
            </w:r>
            <w:r w:rsidRPr="00583B18">
              <w:rPr>
                <w:rFonts w:ascii="Arial" w:hAnsi="Arial" w:cs="Arial"/>
                <w:lang w:val="en-GB"/>
              </w:rPr>
              <w:t xml:space="preserve"> developed by an oil company 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to anticipate </w:t>
            </w:r>
            <w:r w:rsidR="00A7126B" w:rsidRPr="00583B18">
              <w:rPr>
                <w:rFonts w:ascii="Arial" w:hAnsi="Arial" w:cs="Arial"/>
                <w:lang w:val="en-GB"/>
              </w:rPr>
              <w:t>oil price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 shocks </w:t>
            </w:r>
            <w:r w:rsidR="00127B48" w:rsidRPr="00583B18">
              <w:rPr>
                <w:rFonts w:ascii="Arial" w:hAnsi="Arial" w:cs="Arial"/>
                <w:lang w:val="en-GB"/>
              </w:rPr>
              <w:t xml:space="preserve">could 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also be </w:t>
            </w:r>
            <w:r w:rsidR="003014A5" w:rsidRPr="00583B18">
              <w:rPr>
                <w:rFonts w:ascii="Arial" w:hAnsi="Arial" w:cs="Arial"/>
                <w:lang w:val="en-GB"/>
              </w:rPr>
              <w:t>includ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ed. Currently, taxation, the </w:t>
            </w:r>
            <w:r w:rsidR="008F0D2F" w:rsidRPr="00583B18">
              <w:rPr>
                <w:rFonts w:ascii="Arial" w:hAnsi="Arial" w:cs="Arial"/>
                <w:lang w:val="en-GB"/>
              </w:rPr>
              <w:t>S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tability and </w:t>
            </w:r>
            <w:r w:rsidR="008F0D2F" w:rsidRPr="00583B18">
              <w:rPr>
                <w:rFonts w:ascii="Arial" w:hAnsi="Arial" w:cs="Arial"/>
                <w:lang w:val="en-GB"/>
              </w:rPr>
              <w:t>G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rowth </w:t>
            </w:r>
            <w:r w:rsidR="008F0D2F" w:rsidRPr="00583B18">
              <w:rPr>
                <w:rFonts w:ascii="Arial" w:hAnsi="Arial" w:cs="Arial"/>
                <w:lang w:val="en-GB"/>
              </w:rPr>
              <w:t>P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act, </w:t>
            </w:r>
            <w:r w:rsidR="00B37C8B" w:rsidRPr="00583B18">
              <w:rPr>
                <w:rFonts w:ascii="Arial" w:hAnsi="Arial" w:cs="Arial"/>
                <w:lang w:val="en-GB"/>
              </w:rPr>
              <w:t xml:space="preserve">as well as 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health and education topics needed attention. </w:t>
            </w:r>
            <w:r w:rsidR="00A370CF" w:rsidRPr="00583B18">
              <w:rPr>
                <w:rFonts w:ascii="Arial" w:hAnsi="Arial" w:cs="Arial"/>
                <w:lang w:val="en-GB"/>
              </w:rPr>
              <w:t>A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 considered decision was better than an unconsidered one, and in this context</w:t>
            </w:r>
            <w:r w:rsidR="00A370CF" w:rsidRPr="00583B18">
              <w:rPr>
                <w:rFonts w:ascii="Arial" w:hAnsi="Arial" w:cs="Arial"/>
                <w:lang w:val="en-GB"/>
              </w:rPr>
              <w:t>,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 foresight </w:t>
            </w:r>
            <w:r w:rsidR="00A370CF" w:rsidRPr="00583B18">
              <w:rPr>
                <w:rFonts w:ascii="Arial" w:hAnsi="Arial" w:cs="Arial"/>
                <w:lang w:val="en-GB"/>
              </w:rPr>
              <w:t xml:space="preserve">could </w:t>
            </w:r>
            <w:r w:rsidR="00724E5B" w:rsidRPr="00583B18">
              <w:rPr>
                <w:rFonts w:ascii="Arial" w:hAnsi="Arial" w:cs="Arial"/>
                <w:lang w:val="en-GB"/>
              </w:rPr>
              <w:t>help</w:t>
            </w:r>
            <w:r w:rsidR="00F92B0D" w:rsidRPr="00583B18">
              <w:rPr>
                <w:rFonts w:ascii="Arial" w:hAnsi="Arial" w:cs="Arial"/>
                <w:lang w:val="en-GB"/>
              </w:rPr>
              <w:t xml:space="preserve"> equip 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us </w:t>
            </w:r>
            <w:r w:rsidR="00F92B0D" w:rsidRPr="00583B18">
              <w:rPr>
                <w:rFonts w:ascii="Arial" w:hAnsi="Arial" w:cs="Arial"/>
                <w:lang w:val="en-GB"/>
              </w:rPr>
              <w:t>better</w:t>
            </w:r>
            <w:r w:rsidR="00724E5B" w:rsidRPr="00583B18">
              <w:rPr>
                <w:rFonts w:ascii="Arial" w:hAnsi="Arial" w:cs="Arial"/>
                <w:lang w:val="en-GB"/>
              </w:rPr>
              <w:t xml:space="preserve"> to take reasoned decisions.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724E5B" w:rsidRPr="00583B18" w:rsidRDefault="00724E5B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Ms Scapolo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0F33BB" w:rsidRPr="00583B18">
              <w:rPr>
                <w:rFonts w:ascii="Arial" w:hAnsi="Arial" w:cs="Arial"/>
                <w:lang w:val="en-GB"/>
              </w:rPr>
              <w:t xml:space="preserve">mentioned the </w:t>
            </w:r>
            <w:r w:rsidR="00B37C8B" w:rsidRPr="00583B18">
              <w:rPr>
                <w:rFonts w:ascii="Arial" w:hAnsi="Arial" w:cs="Arial"/>
                <w:lang w:val="en-GB"/>
              </w:rPr>
              <w:t xml:space="preserve">future of the </w:t>
            </w:r>
            <w:r w:rsidR="000F33BB" w:rsidRPr="00583B18">
              <w:rPr>
                <w:rFonts w:ascii="Arial" w:hAnsi="Arial" w:cs="Arial"/>
                <w:lang w:val="en-GB"/>
              </w:rPr>
              <w:t xml:space="preserve">customs union as an example where foresight </w:t>
            </w:r>
            <w:proofErr w:type="gramStart"/>
            <w:r w:rsidR="00B37C8B" w:rsidRPr="00583B18">
              <w:rPr>
                <w:rFonts w:ascii="Arial" w:hAnsi="Arial" w:cs="Arial"/>
                <w:lang w:val="en-GB"/>
              </w:rPr>
              <w:t>had been</w:t>
            </w:r>
            <w:r w:rsidR="000F33BB" w:rsidRPr="00583B18">
              <w:rPr>
                <w:rFonts w:ascii="Arial" w:hAnsi="Arial" w:cs="Arial"/>
                <w:lang w:val="en-GB"/>
              </w:rPr>
              <w:t xml:space="preserve"> really embedded</w:t>
            </w:r>
            <w:proofErr w:type="gramEnd"/>
            <w:r w:rsidR="000F33BB" w:rsidRPr="00583B18">
              <w:rPr>
                <w:rFonts w:ascii="Arial" w:hAnsi="Arial" w:cs="Arial"/>
                <w:lang w:val="en-GB"/>
              </w:rPr>
              <w:t>. The JRC ha</w:t>
            </w:r>
            <w:r w:rsidR="00AE36B7" w:rsidRPr="00583B18">
              <w:rPr>
                <w:rFonts w:ascii="Arial" w:hAnsi="Arial" w:cs="Arial"/>
                <w:lang w:val="en-GB"/>
              </w:rPr>
              <w:t>d</w:t>
            </w:r>
            <w:r w:rsidR="000F33BB" w:rsidRPr="00583B18">
              <w:rPr>
                <w:rFonts w:ascii="Arial" w:hAnsi="Arial" w:cs="Arial"/>
                <w:lang w:val="en-GB"/>
              </w:rPr>
              <w:t xml:space="preserve"> developed scenarios than </w:t>
            </w:r>
            <w:r w:rsidR="00AE36B7" w:rsidRPr="00583B18">
              <w:rPr>
                <w:rFonts w:ascii="Arial" w:hAnsi="Arial" w:cs="Arial"/>
                <w:lang w:val="en-GB"/>
              </w:rPr>
              <w:t xml:space="preserve">could </w:t>
            </w:r>
            <w:r w:rsidR="000F33BB" w:rsidRPr="00583B18">
              <w:rPr>
                <w:rFonts w:ascii="Arial" w:hAnsi="Arial" w:cs="Arial"/>
                <w:lang w:val="en-GB"/>
              </w:rPr>
              <w:t>be used by policy</w:t>
            </w:r>
            <w:r w:rsidR="00127B48" w:rsidRPr="00583B18">
              <w:rPr>
                <w:rFonts w:ascii="Arial" w:hAnsi="Arial" w:cs="Arial"/>
                <w:lang w:val="en-GB"/>
              </w:rPr>
              <w:t>-</w:t>
            </w:r>
            <w:r w:rsidR="000F33BB" w:rsidRPr="00583B18">
              <w:rPr>
                <w:rFonts w:ascii="Arial" w:hAnsi="Arial" w:cs="Arial"/>
                <w:lang w:val="en-GB"/>
              </w:rPr>
              <w:t xml:space="preserve">makers to make futureproof decisions. She invited interested parties to get in touch with the JRC. </w:t>
            </w:r>
          </w:p>
          <w:p w:rsidR="002920ED" w:rsidRPr="00583B18" w:rsidRDefault="002920ED" w:rsidP="00BA3581">
            <w:pPr>
              <w:rPr>
                <w:rFonts w:ascii="Arial" w:hAnsi="Arial" w:cs="Arial"/>
                <w:lang w:val="en-GB"/>
              </w:rPr>
            </w:pPr>
          </w:p>
          <w:p w:rsidR="000875C9" w:rsidRDefault="00836758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lang w:val="en-GB"/>
              </w:rPr>
              <w:t xml:space="preserve">In the second panel, </w:t>
            </w:r>
            <w:r w:rsidRPr="00583B18">
              <w:rPr>
                <w:rFonts w:ascii="Arial" w:hAnsi="Arial" w:cs="Arial"/>
                <w:b/>
                <w:lang w:val="en-GB"/>
              </w:rPr>
              <w:t>Mr Desbie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y, Group Head of Foresight, AXA Insurance Group,</w:t>
            </w:r>
            <w:r w:rsidRPr="00583B18">
              <w:rPr>
                <w:rFonts w:ascii="Arial" w:hAnsi="Arial" w:cs="Arial"/>
                <w:lang w:val="en-GB"/>
              </w:rPr>
              <w:t xml:space="preserve"> pointed out that projections </w:t>
            </w:r>
            <w:r w:rsidR="00F33ADE" w:rsidRPr="00583B18">
              <w:rPr>
                <w:rFonts w:ascii="Arial" w:hAnsi="Arial" w:cs="Arial"/>
                <w:lang w:val="en-GB"/>
              </w:rPr>
              <w:t xml:space="preserve">of </w:t>
            </w:r>
            <w:r w:rsidRPr="00583B18">
              <w:rPr>
                <w:rFonts w:ascii="Arial" w:hAnsi="Arial" w:cs="Arial"/>
                <w:lang w:val="en-GB"/>
              </w:rPr>
              <w:t xml:space="preserve">the future were inherent </w:t>
            </w:r>
            <w:r w:rsidR="00127B48" w:rsidRPr="00583B18">
              <w:rPr>
                <w:rFonts w:ascii="Arial" w:hAnsi="Arial" w:cs="Arial"/>
                <w:lang w:val="en-GB"/>
              </w:rPr>
              <w:t>to insurers'</w:t>
            </w:r>
            <w:r w:rsidRPr="00583B18">
              <w:rPr>
                <w:rFonts w:ascii="Arial" w:hAnsi="Arial" w:cs="Arial"/>
                <w:lang w:val="en-GB"/>
              </w:rPr>
              <w:t xml:space="preserve"> business model</w:t>
            </w:r>
            <w:r w:rsidR="00CD29CC" w:rsidRPr="00583B18">
              <w:rPr>
                <w:rFonts w:ascii="Arial" w:hAnsi="Arial" w:cs="Arial"/>
                <w:lang w:val="en-GB"/>
              </w:rPr>
              <w:t>s</w:t>
            </w:r>
            <w:r w:rsidRPr="00583B18">
              <w:rPr>
                <w:rFonts w:ascii="Arial" w:hAnsi="Arial" w:cs="Arial"/>
                <w:lang w:val="en-GB"/>
              </w:rPr>
              <w:t xml:space="preserve">. 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Possible futures </w:t>
            </w:r>
            <w:proofErr w:type="gramStart"/>
            <w:r w:rsidR="001A3AB1" w:rsidRPr="00583B18">
              <w:rPr>
                <w:rFonts w:ascii="Arial" w:hAnsi="Arial" w:cs="Arial"/>
                <w:lang w:val="en-GB"/>
              </w:rPr>
              <w:t>were explored</w:t>
            </w:r>
            <w:proofErr w:type="gramEnd"/>
            <w:r w:rsidR="001A3AB1" w:rsidRPr="00583B18">
              <w:rPr>
                <w:rFonts w:ascii="Arial" w:hAnsi="Arial" w:cs="Arial"/>
                <w:lang w:val="en-GB"/>
              </w:rPr>
              <w:t xml:space="preserve"> by anticipating related threats </w:t>
            </w:r>
            <w:r w:rsidR="00C35C1C" w:rsidRPr="00583B18">
              <w:rPr>
                <w:rFonts w:ascii="Arial" w:hAnsi="Arial" w:cs="Arial"/>
                <w:lang w:val="en-GB"/>
              </w:rPr>
              <w:t>and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 opportunities and by detecting weak signals and emerging trends</w:t>
            </w:r>
            <w:r w:rsidR="00C35C1C" w:rsidRPr="00583B18">
              <w:rPr>
                <w:rFonts w:ascii="Arial" w:hAnsi="Arial" w:cs="Arial"/>
                <w:lang w:val="en-GB"/>
              </w:rPr>
              <w:t>. The aim was to en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sure </w:t>
            </w:r>
            <w:r w:rsidR="00B37C8B" w:rsidRPr="00583B18">
              <w:rPr>
                <w:rFonts w:ascii="Arial" w:hAnsi="Arial" w:cs="Arial"/>
                <w:lang w:val="en-GB"/>
              </w:rPr>
              <w:t xml:space="preserve">that 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short-term initiatives </w:t>
            </w:r>
            <w:proofErr w:type="gramStart"/>
            <w:r w:rsidR="00BF2CFF" w:rsidRPr="00583B18">
              <w:rPr>
                <w:rFonts w:ascii="Arial" w:hAnsi="Arial" w:cs="Arial"/>
                <w:lang w:val="en-GB"/>
              </w:rPr>
              <w:t>we</w:t>
            </w:r>
            <w:r w:rsidR="001A3AB1" w:rsidRPr="00583B18">
              <w:rPr>
                <w:rFonts w:ascii="Arial" w:hAnsi="Arial" w:cs="Arial"/>
                <w:lang w:val="en-GB"/>
              </w:rPr>
              <w:t>re based</w:t>
            </w:r>
            <w:proofErr w:type="gramEnd"/>
            <w:r w:rsidR="001A3AB1" w:rsidRPr="00583B18">
              <w:rPr>
                <w:rFonts w:ascii="Arial" w:hAnsi="Arial" w:cs="Arial"/>
                <w:lang w:val="en-GB"/>
              </w:rPr>
              <w:t xml:space="preserve"> on a long-term perspective. </w:t>
            </w:r>
            <w:r w:rsidRPr="00583B18">
              <w:rPr>
                <w:rFonts w:ascii="Arial" w:hAnsi="Arial" w:cs="Arial"/>
                <w:lang w:val="en-GB"/>
              </w:rPr>
              <w:t xml:space="preserve">His </w:t>
            </w:r>
            <w:r w:rsidR="00B37C8B" w:rsidRPr="00583B18">
              <w:rPr>
                <w:rFonts w:ascii="Arial" w:hAnsi="Arial" w:cs="Arial"/>
                <w:lang w:val="en-GB"/>
              </w:rPr>
              <w:t xml:space="preserve">insurance </w:t>
            </w:r>
            <w:r w:rsidRPr="00583B18">
              <w:rPr>
                <w:rFonts w:ascii="Arial" w:hAnsi="Arial" w:cs="Arial"/>
                <w:lang w:val="en-GB"/>
              </w:rPr>
              <w:t>company employed three full</w:t>
            </w:r>
            <w:r w:rsidR="001314A1" w:rsidRPr="00583B18">
              <w:rPr>
                <w:rFonts w:ascii="Arial" w:hAnsi="Arial" w:cs="Arial"/>
                <w:lang w:val="en-GB"/>
              </w:rPr>
              <w:t>-</w:t>
            </w:r>
            <w:r w:rsidRPr="00583B18">
              <w:rPr>
                <w:rFonts w:ascii="Arial" w:hAnsi="Arial" w:cs="Arial"/>
                <w:lang w:val="en-GB"/>
              </w:rPr>
              <w:t xml:space="preserve">time </w:t>
            </w:r>
            <w:r w:rsidR="00CD29CC" w:rsidRPr="00583B18">
              <w:rPr>
                <w:rFonts w:ascii="Arial" w:hAnsi="Arial" w:cs="Arial"/>
                <w:lang w:val="en-GB"/>
              </w:rPr>
              <w:t xml:space="preserve">staff </w:t>
            </w:r>
            <w:r w:rsidR="00AB63E6" w:rsidRPr="00583B18">
              <w:rPr>
                <w:rFonts w:ascii="Arial" w:hAnsi="Arial" w:cs="Arial"/>
                <w:lang w:val="en-GB"/>
              </w:rPr>
              <w:t xml:space="preserve">dealing with foresight, </w:t>
            </w:r>
            <w:r w:rsidR="001A3AB1" w:rsidRPr="00583B18">
              <w:rPr>
                <w:rFonts w:ascii="Arial" w:hAnsi="Arial" w:cs="Arial"/>
                <w:lang w:val="en-GB"/>
              </w:rPr>
              <w:t>focussing</w:t>
            </w:r>
            <w:r w:rsidR="00AB63E6" w:rsidRPr="00583B18">
              <w:rPr>
                <w:rFonts w:ascii="Arial" w:hAnsi="Arial" w:cs="Arial"/>
                <w:lang w:val="en-GB"/>
              </w:rPr>
              <w:t xml:space="preserve"> on health, socio-economic and environmental questions. It was important to cross the lines between different disciplines and to work together with others, especially with </w:t>
            </w:r>
            <w:r w:rsidR="001314A1" w:rsidRPr="00583B18">
              <w:rPr>
                <w:rFonts w:ascii="Arial" w:hAnsi="Arial" w:cs="Arial"/>
                <w:lang w:val="en-GB"/>
              </w:rPr>
              <w:t>counterparts</w:t>
            </w:r>
            <w:r w:rsidR="00AB63E6" w:rsidRPr="00583B18">
              <w:rPr>
                <w:rFonts w:ascii="Arial" w:hAnsi="Arial" w:cs="Arial"/>
                <w:lang w:val="en-GB"/>
              </w:rPr>
              <w:t xml:space="preserve"> in other big companies. Methods employed in his company included speculative design and a </w:t>
            </w:r>
            <w:r w:rsidR="009D6495" w:rsidRPr="00583B18">
              <w:rPr>
                <w:rFonts w:ascii="Arial" w:hAnsi="Arial" w:cs="Arial"/>
                <w:lang w:val="en-GB"/>
              </w:rPr>
              <w:t>joint project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 to imagine fictional companies of the future</w:t>
            </w:r>
            <w:r w:rsidR="00B37C8B" w:rsidRPr="00583B18">
              <w:rPr>
                <w:rFonts w:ascii="Arial" w:hAnsi="Arial" w:cs="Arial"/>
                <w:lang w:val="en-GB"/>
              </w:rPr>
              <w:t>, by</w:t>
            </w:r>
            <w:r w:rsidR="001A3AB1" w:rsidRPr="00583B18">
              <w:rPr>
                <w:rFonts w:ascii="Arial" w:hAnsi="Arial" w:cs="Arial"/>
                <w:lang w:val="en-GB"/>
              </w:rPr>
              <w:t xml:space="preserve"> using fiction with the help of authors.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0F33BB" w:rsidRDefault="00D45608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Ms Ponce D</w:t>
            </w:r>
            <w:r w:rsidR="000875C9" w:rsidRPr="00583B18">
              <w:rPr>
                <w:rFonts w:ascii="Arial" w:hAnsi="Arial" w:cs="Arial"/>
                <w:b/>
                <w:lang w:val="en-GB"/>
              </w:rPr>
              <w:t>e</w:t>
            </w:r>
            <w:r w:rsidRPr="00583B18">
              <w:rPr>
                <w:rFonts w:ascii="Arial" w:hAnsi="Arial" w:cs="Arial"/>
                <w:b/>
                <w:lang w:val="en-GB"/>
              </w:rPr>
              <w:t>l</w:t>
            </w:r>
            <w:r w:rsidR="000875C9" w:rsidRPr="00583B18">
              <w:rPr>
                <w:rFonts w:ascii="Arial" w:hAnsi="Arial" w:cs="Arial"/>
                <w:b/>
                <w:lang w:val="en-GB"/>
              </w:rPr>
              <w:t xml:space="preserve"> Castillo</w:t>
            </w:r>
            <w:r w:rsidRPr="00583B18">
              <w:rPr>
                <w:rFonts w:ascii="Arial" w:hAnsi="Arial" w:cs="Arial"/>
                <w:b/>
                <w:lang w:val="en-GB"/>
              </w:rPr>
              <w:t xml:space="preserve">, Senior Researcher </w:t>
            </w:r>
            <w:r w:rsidR="004B13AB" w:rsidRPr="00583B18">
              <w:rPr>
                <w:rFonts w:ascii="Arial" w:hAnsi="Arial" w:cs="Arial"/>
                <w:b/>
                <w:lang w:val="en-GB"/>
              </w:rPr>
              <w:t xml:space="preserve">for </w:t>
            </w:r>
            <w:r w:rsidRPr="00583B18">
              <w:rPr>
                <w:rFonts w:ascii="Arial" w:hAnsi="Arial" w:cs="Arial"/>
                <w:b/>
                <w:lang w:val="en-GB"/>
              </w:rPr>
              <w:t>Foresight, European Trade Union Institute (ETUI),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9711A4" w:rsidRPr="00583B18">
              <w:rPr>
                <w:rFonts w:ascii="Arial" w:hAnsi="Arial" w:cs="Arial"/>
                <w:lang w:val="en-GB"/>
              </w:rPr>
              <w:t>explained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 that since 2010</w:t>
            </w:r>
            <w:r w:rsidR="00CD29CC" w:rsidRPr="00583B18">
              <w:rPr>
                <w:rFonts w:ascii="Arial" w:hAnsi="Arial" w:cs="Arial"/>
                <w:lang w:val="en-GB"/>
              </w:rPr>
              <w:t>,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 foresight </w:t>
            </w:r>
            <w:r w:rsidR="004B13AB" w:rsidRPr="00583B18">
              <w:rPr>
                <w:rFonts w:ascii="Arial" w:hAnsi="Arial" w:cs="Arial"/>
                <w:lang w:val="en-GB"/>
              </w:rPr>
              <w:t xml:space="preserve">had been 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used </w:t>
            </w:r>
            <w:r w:rsidR="004B13AB" w:rsidRPr="00583B18">
              <w:rPr>
                <w:rFonts w:ascii="Arial" w:hAnsi="Arial" w:cs="Arial"/>
                <w:lang w:val="en-GB"/>
              </w:rPr>
              <w:t xml:space="preserve">at 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the ETUI, </w:t>
            </w:r>
            <w:r w:rsidR="00D646EE" w:rsidRPr="00583B18">
              <w:rPr>
                <w:rFonts w:ascii="Arial" w:hAnsi="Arial" w:cs="Arial"/>
                <w:lang w:val="en-GB"/>
              </w:rPr>
              <w:t xml:space="preserve">for example in the field of worker participation, occupational health and safety and the digital economy. </w:t>
            </w:r>
            <w:proofErr w:type="gramStart"/>
            <w:r w:rsidR="00D646EE" w:rsidRPr="00583B18">
              <w:rPr>
                <w:rFonts w:ascii="Arial" w:hAnsi="Arial" w:cs="Arial"/>
                <w:lang w:val="en-GB"/>
              </w:rPr>
              <w:t xml:space="preserve">Foresight work was 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supported by a field manual </w:t>
            </w:r>
            <w:r w:rsidR="00B37C8B" w:rsidRPr="00583B18">
              <w:rPr>
                <w:rFonts w:ascii="Arial" w:hAnsi="Arial" w:cs="Arial"/>
                <w:lang w:val="en-GB"/>
              </w:rPr>
              <w:t>for</w:t>
            </w:r>
            <w:r w:rsidR="000875C9" w:rsidRPr="00583B18">
              <w:rPr>
                <w:rFonts w:ascii="Arial" w:hAnsi="Arial" w:cs="Arial"/>
                <w:lang w:val="en-GB"/>
              </w:rPr>
              <w:t xml:space="preserve"> use in practice</w:t>
            </w:r>
            <w:proofErr w:type="gramEnd"/>
            <w:r w:rsidR="000875C9" w:rsidRPr="00583B18">
              <w:rPr>
                <w:rFonts w:ascii="Arial" w:hAnsi="Arial" w:cs="Arial"/>
                <w:lang w:val="en-GB"/>
              </w:rPr>
              <w:t xml:space="preserve">. </w:t>
            </w:r>
            <w:r w:rsidR="009711A4" w:rsidRPr="00583B18">
              <w:rPr>
                <w:rFonts w:ascii="Arial" w:hAnsi="Arial" w:cs="Arial"/>
                <w:lang w:val="en-GB"/>
              </w:rPr>
              <w:t xml:space="preserve">The manual included 11 strategic roadmaps on how the ETUI </w:t>
            </w:r>
            <w:proofErr w:type="gramStart"/>
            <w:r w:rsidR="009711A4" w:rsidRPr="00583B18">
              <w:rPr>
                <w:rFonts w:ascii="Arial" w:hAnsi="Arial" w:cs="Arial"/>
                <w:lang w:val="en-GB"/>
              </w:rPr>
              <w:t>could be transformed</w:t>
            </w:r>
            <w:proofErr w:type="gramEnd"/>
            <w:r w:rsidR="009711A4" w:rsidRPr="00583B18">
              <w:rPr>
                <w:rFonts w:ascii="Arial" w:hAnsi="Arial" w:cs="Arial"/>
                <w:lang w:val="en-GB"/>
              </w:rPr>
              <w:t xml:space="preserve"> in our changing world, grounded in the use of different methodologies. Her team had developed methodologies on how foresight </w:t>
            </w:r>
            <w:proofErr w:type="gramStart"/>
            <w:r w:rsidR="004B13AB" w:rsidRPr="00583B18">
              <w:rPr>
                <w:rFonts w:ascii="Arial" w:hAnsi="Arial" w:cs="Arial"/>
                <w:lang w:val="en-GB"/>
              </w:rPr>
              <w:t xml:space="preserve">could </w:t>
            </w:r>
            <w:r w:rsidR="009711A4" w:rsidRPr="00583B18">
              <w:rPr>
                <w:rFonts w:ascii="Arial" w:hAnsi="Arial" w:cs="Arial"/>
                <w:lang w:val="en-GB"/>
              </w:rPr>
              <w:t>be used</w:t>
            </w:r>
            <w:proofErr w:type="gramEnd"/>
            <w:r w:rsidR="009711A4" w:rsidRPr="00583B18">
              <w:rPr>
                <w:rFonts w:ascii="Arial" w:hAnsi="Arial" w:cs="Arial"/>
                <w:lang w:val="en-GB"/>
              </w:rPr>
              <w:t xml:space="preserve"> in trade </w:t>
            </w:r>
            <w:r w:rsidR="009711A4" w:rsidRPr="00583B18">
              <w:rPr>
                <w:rFonts w:ascii="Arial" w:hAnsi="Arial" w:cs="Arial"/>
                <w:lang w:val="en-GB"/>
              </w:rPr>
              <w:lastRenderedPageBreak/>
              <w:t xml:space="preserve">unions, </w:t>
            </w:r>
            <w:r w:rsidR="006E3E46" w:rsidRPr="00583B18">
              <w:rPr>
                <w:rFonts w:ascii="Arial" w:hAnsi="Arial" w:cs="Arial"/>
                <w:lang w:val="en-GB"/>
              </w:rPr>
              <w:t xml:space="preserve">and </w:t>
            </w:r>
            <w:r w:rsidR="00B37C8B" w:rsidRPr="00583B18">
              <w:rPr>
                <w:rFonts w:ascii="Arial" w:hAnsi="Arial" w:cs="Arial"/>
                <w:lang w:val="en-GB"/>
              </w:rPr>
              <w:t xml:space="preserve">organised </w:t>
            </w:r>
            <w:r w:rsidR="006E3E46" w:rsidRPr="00583B18">
              <w:rPr>
                <w:rFonts w:ascii="Arial" w:hAnsi="Arial" w:cs="Arial"/>
                <w:lang w:val="en-GB"/>
              </w:rPr>
              <w:t xml:space="preserve">related trainings for </w:t>
            </w:r>
            <w:r w:rsidR="009711A4" w:rsidRPr="00583B18">
              <w:rPr>
                <w:rFonts w:ascii="Arial" w:hAnsi="Arial" w:cs="Arial"/>
                <w:lang w:val="en-GB"/>
              </w:rPr>
              <w:t xml:space="preserve">facilitators and trade union leaders. </w:t>
            </w:r>
            <w:r w:rsidR="008E221D" w:rsidRPr="00583B18">
              <w:rPr>
                <w:rFonts w:ascii="Arial" w:hAnsi="Arial" w:cs="Arial"/>
                <w:lang w:val="en-GB"/>
              </w:rPr>
              <w:t xml:space="preserve">As a </w:t>
            </w:r>
            <w:r w:rsidR="00B37C8B" w:rsidRPr="00583B18">
              <w:rPr>
                <w:rFonts w:ascii="Arial" w:hAnsi="Arial" w:cs="Arial"/>
                <w:lang w:val="en-GB"/>
              </w:rPr>
              <w:t>result,</w:t>
            </w:r>
            <w:r w:rsidR="008E221D" w:rsidRPr="00583B18">
              <w:rPr>
                <w:rFonts w:ascii="Arial" w:hAnsi="Arial" w:cs="Arial"/>
                <w:lang w:val="en-GB"/>
              </w:rPr>
              <w:t xml:space="preserve"> 60 trade union foresight projects </w:t>
            </w:r>
            <w:proofErr w:type="gramStart"/>
            <w:r w:rsidR="00B37C8B" w:rsidRPr="00583B18">
              <w:rPr>
                <w:rFonts w:ascii="Arial" w:hAnsi="Arial" w:cs="Arial"/>
                <w:lang w:val="en-GB"/>
              </w:rPr>
              <w:t>had been</w:t>
            </w:r>
            <w:r w:rsidR="008E221D" w:rsidRPr="00583B18">
              <w:rPr>
                <w:rFonts w:ascii="Arial" w:hAnsi="Arial" w:cs="Arial"/>
                <w:lang w:val="en-GB"/>
              </w:rPr>
              <w:t xml:space="preserve"> developed</w:t>
            </w:r>
            <w:proofErr w:type="gramEnd"/>
            <w:r w:rsidR="008E221D" w:rsidRPr="00583B18">
              <w:rPr>
                <w:rFonts w:ascii="Arial" w:hAnsi="Arial" w:cs="Arial"/>
                <w:lang w:val="en-GB"/>
              </w:rPr>
              <w:t xml:space="preserve"> across Europe. </w:t>
            </w:r>
            <w:r w:rsidR="009711A4" w:rsidRPr="00583B18">
              <w:rPr>
                <w:rFonts w:ascii="Arial" w:hAnsi="Arial" w:cs="Arial"/>
                <w:lang w:val="en-GB"/>
              </w:rPr>
              <w:t xml:space="preserve">It was </w:t>
            </w:r>
            <w:r w:rsidR="004B13AB" w:rsidRPr="00583B18">
              <w:rPr>
                <w:rFonts w:ascii="Arial" w:hAnsi="Arial" w:cs="Arial"/>
                <w:lang w:val="en-GB"/>
              </w:rPr>
              <w:t xml:space="preserve">above </w:t>
            </w:r>
            <w:r w:rsidR="009711A4" w:rsidRPr="00583B18">
              <w:rPr>
                <w:rFonts w:ascii="Arial" w:hAnsi="Arial" w:cs="Arial"/>
                <w:lang w:val="en-GB"/>
              </w:rPr>
              <w:t xml:space="preserve">all </w:t>
            </w:r>
            <w:r w:rsidR="00B37C8B" w:rsidRPr="00583B18">
              <w:rPr>
                <w:rFonts w:ascii="Arial" w:hAnsi="Arial" w:cs="Arial"/>
                <w:lang w:val="en-GB"/>
              </w:rPr>
              <w:t>crucial</w:t>
            </w:r>
            <w:r w:rsidR="009711A4" w:rsidRPr="00583B18">
              <w:rPr>
                <w:rFonts w:ascii="Arial" w:hAnsi="Arial" w:cs="Arial"/>
                <w:lang w:val="en-GB"/>
              </w:rPr>
              <w:t xml:space="preserve"> to convey the importance of embracing change and uncertainties.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8E221D" w:rsidRDefault="00C96B73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Mr Borges de Castro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 xml:space="preserve">, Associate Director and Head of the </w:t>
            </w:r>
            <w:r w:rsidR="00CD29CC" w:rsidRPr="00583B18">
              <w:rPr>
                <w:rFonts w:ascii="Arial" w:hAnsi="Arial" w:cs="Arial"/>
                <w:b/>
                <w:lang w:val="en-GB"/>
              </w:rPr>
              <w:t>"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Europe in the World</w:t>
            </w:r>
            <w:r w:rsidR="00CD29CC" w:rsidRPr="00583B18">
              <w:rPr>
                <w:rFonts w:ascii="Arial" w:hAnsi="Arial" w:cs="Arial"/>
                <w:b/>
                <w:lang w:val="en-GB"/>
              </w:rPr>
              <w:t>"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 xml:space="preserve"> Programme at the European Policy Centre (EPC),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underlined the importance of the </w:t>
            </w:r>
            <w:r w:rsidR="00814A15" w:rsidRPr="00583B18">
              <w:rPr>
                <w:rFonts w:ascii="Arial" w:hAnsi="Arial" w:cs="Arial"/>
                <w:lang w:val="en-GB"/>
              </w:rPr>
              <w:t>mind-set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, as uncertainty and unpredictability </w:t>
            </w:r>
            <w:r w:rsidR="004D67B3" w:rsidRPr="00583B18">
              <w:rPr>
                <w:rFonts w:ascii="Arial" w:hAnsi="Arial" w:cs="Arial"/>
                <w:lang w:val="en-GB"/>
              </w:rPr>
              <w:t>we</w:t>
            </w:r>
            <w:r w:rsidR="00D950EB" w:rsidRPr="00583B18">
              <w:rPr>
                <w:rFonts w:ascii="Arial" w:hAnsi="Arial" w:cs="Arial"/>
                <w:lang w:val="en-GB"/>
              </w:rPr>
              <w:t>re likely to continue. He claimed that democracies</w:t>
            </w:r>
            <w:r w:rsidR="00814A15" w:rsidRPr="00583B18">
              <w:rPr>
                <w:rFonts w:ascii="Arial" w:hAnsi="Arial" w:cs="Arial"/>
                <w:lang w:val="en-GB"/>
              </w:rPr>
              <w:t xml:space="preserve"> often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needed </w:t>
            </w:r>
            <w:r w:rsidR="00814A15" w:rsidRPr="00583B18">
              <w:rPr>
                <w:rFonts w:ascii="Arial" w:hAnsi="Arial" w:cs="Arial"/>
                <w:lang w:val="en-GB"/>
              </w:rPr>
              <w:t xml:space="preserve">considerable 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time to decide, whereas other systems </w:t>
            </w:r>
            <w:r w:rsidR="00814A15" w:rsidRPr="00583B18">
              <w:rPr>
                <w:rFonts w:ascii="Arial" w:hAnsi="Arial" w:cs="Arial"/>
                <w:lang w:val="en-GB"/>
              </w:rPr>
              <w:t>could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act faster. </w:t>
            </w:r>
            <w:r w:rsidR="00C4729D" w:rsidRPr="00583B18">
              <w:rPr>
                <w:rFonts w:ascii="Arial" w:hAnsi="Arial" w:cs="Arial"/>
                <w:lang w:val="en-GB"/>
              </w:rPr>
              <w:t>Therefore,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our democracies needed to </w:t>
            </w:r>
            <w:proofErr w:type="gramStart"/>
            <w:r w:rsidR="00D950EB" w:rsidRPr="00583B18">
              <w:rPr>
                <w:rFonts w:ascii="Arial" w:hAnsi="Arial" w:cs="Arial"/>
                <w:lang w:val="en-GB"/>
              </w:rPr>
              <w:t>be made</w:t>
            </w:r>
            <w:proofErr w:type="gramEnd"/>
            <w:r w:rsidR="00D950EB" w:rsidRPr="00583B18">
              <w:rPr>
                <w:rFonts w:ascii="Arial" w:hAnsi="Arial" w:cs="Arial"/>
                <w:lang w:val="en-GB"/>
              </w:rPr>
              <w:t xml:space="preserve"> faster. Foresight was a process, not an event, </w:t>
            </w:r>
            <w:r w:rsidR="004D67B3" w:rsidRPr="00583B18">
              <w:rPr>
                <w:rFonts w:ascii="Arial" w:hAnsi="Arial" w:cs="Arial"/>
                <w:lang w:val="en-GB"/>
              </w:rPr>
              <w:t xml:space="preserve">and </w:t>
            </w:r>
            <w:proofErr w:type="gramStart"/>
            <w:r w:rsidR="00CD29CC" w:rsidRPr="00583B18">
              <w:rPr>
                <w:rFonts w:ascii="Arial" w:hAnsi="Arial" w:cs="Arial"/>
                <w:lang w:val="en-GB"/>
              </w:rPr>
              <w:t>was also</w:t>
            </w:r>
            <w:proofErr w:type="gramEnd"/>
            <w:r w:rsidR="00CD29CC" w:rsidRPr="00583B18">
              <w:rPr>
                <w:rFonts w:ascii="Arial" w:hAnsi="Arial" w:cs="Arial"/>
                <w:lang w:val="en-GB"/>
              </w:rPr>
              <w:t xml:space="preserve"> </w:t>
            </w:r>
            <w:r w:rsidR="00D950EB" w:rsidRPr="00583B18">
              <w:rPr>
                <w:rFonts w:ascii="Arial" w:hAnsi="Arial" w:cs="Arial"/>
                <w:lang w:val="en-GB"/>
              </w:rPr>
              <w:t>a call for action. Foresight</w:t>
            </w:r>
            <w:r w:rsidR="00DD4D25" w:rsidRPr="00583B18">
              <w:rPr>
                <w:rFonts w:ascii="Arial" w:hAnsi="Arial" w:cs="Arial"/>
                <w:lang w:val="en-GB"/>
              </w:rPr>
              <w:t xml:space="preserve"> specialists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were facilitators, </w:t>
            </w:r>
            <w:r w:rsidR="00F02149" w:rsidRPr="00583B18">
              <w:rPr>
                <w:rFonts w:ascii="Arial" w:hAnsi="Arial" w:cs="Arial"/>
                <w:lang w:val="en-GB"/>
              </w:rPr>
              <w:t>who did not provide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answers, but</w:t>
            </w:r>
            <w:r w:rsidR="00F02149" w:rsidRPr="00583B18">
              <w:rPr>
                <w:rFonts w:ascii="Arial" w:hAnsi="Arial" w:cs="Arial"/>
                <w:lang w:val="en-GB"/>
              </w:rPr>
              <w:t xml:space="preserve"> who were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"cleaning the </w:t>
            </w:r>
            <w:r w:rsidR="00C4729D" w:rsidRPr="00583B18">
              <w:rPr>
                <w:rFonts w:ascii="Arial" w:hAnsi="Arial" w:cs="Arial"/>
                <w:lang w:val="en-GB"/>
              </w:rPr>
              <w:t>windows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 to see more clearly". Citizens and those participating had to be aware of the limits of foresight. Methods of foresight often consum</w:t>
            </w:r>
            <w:r w:rsidR="00C228CB" w:rsidRPr="00583B18">
              <w:rPr>
                <w:rFonts w:ascii="Arial" w:hAnsi="Arial" w:cs="Arial"/>
                <w:lang w:val="en-GB"/>
              </w:rPr>
              <w:t xml:space="preserve">ed 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a lot of human, financial and time resources. Therefore, foresight results had to </w:t>
            </w:r>
            <w:proofErr w:type="gramStart"/>
            <w:r w:rsidR="00D950EB" w:rsidRPr="00583B18">
              <w:rPr>
                <w:rFonts w:ascii="Arial" w:hAnsi="Arial" w:cs="Arial"/>
                <w:lang w:val="en-GB"/>
              </w:rPr>
              <w:t>be shared</w:t>
            </w:r>
            <w:proofErr w:type="gramEnd"/>
            <w:r w:rsidR="008E0269" w:rsidRPr="00583B18">
              <w:rPr>
                <w:rFonts w:ascii="Arial" w:hAnsi="Arial" w:cs="Arial"/>
                <w:lang w:val="en-GB"/>
              </w:rPr>
              <w:t xml:space="preserve"> to find synergies</w:t>
            </w:r>
            <w:r w:rsidR="00D950EB" w:rsidRPr="00583B18">
              <w:rPr>
                <w:rFonts w:ascii="Arial" w:hAnsi="Arial" w:cs="Arial"/>
                <w:lang w:val="en-GB"/>
              </w:rPr>
              <w:t>, for example through an open</w:t>
            </w:r>
            <w:r w:rsidR="00C228CB" w:rsidRPr="00583B18">
              <w:rPr>
                <w:rFonts w:ascii="Arial" w:hAnsi="Arial" w:cs="Arial"/>
                <w:lang w:val="en-GB"/>
              </w:rPr>
              <w:t>-</w:t>
            </w:r>
            <w:r w:rsidR="00D950EB" w:rsidRPr="00583B18">
              <w:rPr>
                <w:rFonts w:ascii="Arial" w:hAnsi="Arial" w:cs="Arial"/>
                <w:lang w:val="en-GB"/>
              </w:rPr>
              <w:t xml:space="preserve">source platform. 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What </w:t>
            </w:r>
            <w:proofErr w:type="gramStart"/>
            <w:r w:rsidR="001F54BF" w:rsidRPr="00583B18">
              <w:rPr>
                <w:rFonts w:ascii="Arial" w:hAnsi="Arial" w:cs="Arial"/>
                <w:lang w:val="en-GB"/>
              </w:rPr>
              <w:t>was framed</w:t>
            </w:r>
            <w:proofErr w:type="gramEnd"/>
            <w:r w:rsidR="001F54BF" w:rsidRPr="00583B18">
              <w:rPr>
                <w:rFonts w:ascii="Arial" w:hAnsi="Arial" w:cs="Arial"/>
                <w:lang w:val="en-GB"/>
              </w:rPr>
              <w:t xml:space="preserve"> as uncertainty contained </w:t>
            </w:r>
            <w:r w:rsidR="00C228CB" w:rsidRPr="00583B18">
              <w:rPr>
                <w:rFonts w:ascii="Arial" w:hAnsi="Arial" w:cs="Arial"/>
                <w:lang w:val="en-GB"/>
              </w:rPr>
              <w:t xml:space="preserve">both 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positive and negative elements, and certain events </w:t>
            </w:r>
            <w:r w:rsidR="00C228CB" w:rsidRPr="00583B18">
              <w:rPr>
                <w:rFonts w:ascii="Arial" w:hAnsi="Arial" w:cs="Arial"/>
                <w:lang w:val="en-GB"/>
              </w:rPr>
              <w:t xml:space="preserve">could </w:t>
            </w:r>
            <w:r w:rsidR="00C4729D" w:rsidRPr="00583B18">
              <w:rPr>
                <w:rFonts w:ascii="Arial" w:hAnsi="Arial" w:cs="Arial"/>
                <w:lang w:val="en-GB"/>
              </w:rPr>
              <w:t>quickly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turn thin</w:t>
            </w:r>
            <w:r w:rsidR="00C4729D" w:rsidRPr="00583B18">
              <w:rPr>
                <w:rFonts w:ascii="Arial" w:hAnsi="Arial" w:cs="Arial"/>
                <w:lang w:val="en-GB"/>
              </w:rPr>
              <w:t>g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s </w:t>
            </w:r>
            <w:r w:rsidR="00C4729D" w:rsidRPr="00583B18">
              <w:rPr>
                <w:rFonts w:ascii="Arial" w:hAnsi="Arial" w:cs="Arial"/>
                <w:lang w:val="en-GB"/>
              </w:rPr>
              <w:t>upside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down.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</w:p>
          <w:p w:rsidR="008E0269" w:rsidRDefault="008E0269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>Mr de Jo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u</w:t>
            </w:r>
            <w:r w:rsidRPr="00583B18">
              <w:rPr>
                <w:rFonts w:ascii="Arial" w:hAnsi="Arial" w:cs="Arial"/>
                <w:b/>
                <w:lang w:val="en-GB"/>
              </w:rPr>
              <w:t>venel</w:t>
            </w:r>
            <w:r w:rsidR="00D45608" w:rsidRPr="00583B18">
              <w:rPr>
                <w:rFonts w:ascii="Arial" w:hAnsi="Arial" w:cs="Arial"/>
                <w:b/>
                <w:lang w:val="en-GB"/>
              </w:rPr>
              <w:t>, Managing Director, Futuribles International,</w:t>
            </w:r>
            <w:r w:rsidRPr="00583B18">
              <w:rPr>
                <w:rFonts w:ascii="Arial" w:hAnsi="Arial" w:cs="Arial"/>
                <w:lang w:val="en-GB"/>
              </w:rPr>
              <w:t xml:space="preserve"> </w:t>
            </w:r>
            <w:r w:rsidR="00941EEE" w:rsidRPr="00583B18">
              <w:rPr>
                <w:rFonts w:ascii="Arial" w:hAnsi="Arial" w:cs="Arial"/>
                <w:lang w:val="en-GB"/>
              </w:rPr>
              <w:t xml:space="preserve">stated that foresight was not a science, but was </w:t>
            </w:r>
            <w:r w:rsidR="00314275" w:rsidRPr="00583B18">
              <w:rPr>
                <w:rFonts w:ascii="Arial" w:hAnsi="Arial" w:cs="Arial"/>
                <w:lang w:val="en-GB"/>
              </w:rPr>
              <w:t>producing visions of the future to help take decisions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, </w:t>
            </w:r>
            <w:r w:rsidR="002158A9" w:rsidRPr="00583B18">
              <w:rPr>
                <w:rFonts w:ascii="Arial" w:hAnsi="Arial" w:cs="Arial"/>
                <w:lang w:val="en-GB"/>
              </w:rPr>
              <w:t xml:space="preserve">which </w:t>
            </w:r>
            <w:r w:rsidR="001F54BF" w:rsidRPr="00583B18">
              <w:rPr>
                <w:rFonts w:ascii="Arial" w:hAnsi="Arial" w:cs="Arial"/>
                <w:lang w:val="en-GB"/>
              </w:rPr>
              <w:t>need</w:t>
            </w:r>
            <w:r w:rsidR="00C4729D" w:rsidRPr="00583B18">
              <w:rPr>
                <w:rFonts w:ascii="Arial" w:hAnsi="Arial" w:cs="Arial"/>
                <w:lang w:val="en-GB"/>
              </w:rPr>
              <w:t>ed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to be usable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. </w:t>
            </w:r>
            <w:r w:rsidR="00AB5A3D" w:rsidRPr="00583B18">
              <w:rPr>
                <w:rFonts w:ascii="Arial" w:hAnsi="Arial" w:cs="Arial"/>
                <w:lang w:val="en-GB"/>
              </w:rPr>
              <w:t>A</w:t>
            </w:r>
            <w:r w:rsidR="001F54BF" w:rsidRPr="00583B18">
              <w:rPr>
                <w:rFonts w:ascii="Arial" w:hAnsi="Arial" w:cs="Arial"/>
                <w:lang w:val="en-GB"/>
              </w:rPr>
              <w:t>nalys</w:t>
            </w:r>
            <w:r w:rsidR="00AB5A3D" w:rsidRPr="00583B18">
              <w:rPr>
                <w:rFonts w:ascii="Arial" w:hAnsi="Arial" w:cs="Arial"/>
                <w:lang w:val="en-GB"/>
              </w:rPr>
              <w:t>e</w:t>
            </w:r>
            <w:r w:rsidR="001F54BF" w:rsidRPr="00583B18">
              <w:rPr>
                <w:rFonts w:ascii="Arial" w:hAnsi="Arial" w:cs="Arial"/>
                <w:lang w:val="en-GB"/>
              </w:rPr>
              <w:t>s ha</w:t>
            </w:r>
            <w:r w:rsidR="00EE656A" w:rsidRPr="00583B18">
              <w:rPr>
                <w:rFonts w:ascii="Arial" w:hAnsi="Arial" w:cs="Arial"/>
                <w:lang w:val="en-GB"/>
              </w:rPr>
              <w:t>d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to </w:t>
            </w:r>
            <w:proofErr w:type="gramStart"/>
            <w:r w:rsidR="001F54BF" w:rsidRPr="00583B18">
              <w:rPr>
                <w:rFonts w:ascii="Arial" w:hAnsi="Arial" w:cs="Arial"/>
                <w:lang w:val="en-GB"/>
              </w:rPr>
              <w:t>be based</w:t>
            </w:r>
            <w:proofErr w:type="gramEnd"/>
            <w:r w:rsidR="001F54BF" w:rsidRPr="00583B18">
              <w:rPr>
                <w:rFonts w:ascii="Arial" w:hAnsi="Arial" w:cs="Arial"/>
                <w:lang w:val="en-GB"/>
              </w:rPr>
              <w:t xml:space="preserve"> on the latest scientific progress. </w:t>
            </w:r>
            <w:r w:rsidR="00314275" w:rsidRPr="00583B18">
              <w:rPr>
                <w:rFonts w:ascii="Arial" w:hAnsi="Arial" w:cs="Arial"/>
                <w:lang w:val="en-GB"/>
              </w:rPr>
              <w:t>Good foresight trigger</w:t>
            </w:r>
            <w:r w:rsidR="00EE656A" w:rsidRPr="00583B18">
              <w:rPr>
                <w:rFonts w:ascii="Arial" w:hAnsi="Arial" w:cs="Arial"/>
                <w:lang w:val="en-GB"/>
              </w:rPr>
              <w:t>ed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action, and a process to involve different stakeholders was important. Foresight </w:t>
            </w:r>
            <w:r w:rsidR="00EE656A" w:rsidRPr="00583B18">
              <w:rPr>
                <w:rFonts w:ascii="Arial" w:hAnsi="Arial" w:cs="Arial"/>
                <w:lang w:val="en-GB"/>
              </w:rPr>
              <w:t xml:space="preserve">had </w:t>
            </w:r>
            <w:r w:rsidR="00191AAB" w:rsidRPr="00583B18">
              <w:rPr>
                <w:rFonts w:ascii="Arial" w:hAnsi="Arial" w:cs="Arial"/>
                <w:lang w:val="en-GB"/>
              </w:rPr>
              <w:t>evolved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since the 1930s, </w:t>
            </w:r>
            <w:r w:rsidR="00191AAB" w:rsidRPr="00583B18">
              <w:rPr>
                <w:rFonts w:ascii="Arial" w:hAnsi="Arial" w:cs="Arial"/>
                <w:lang w:val="en-GB"/>
              </w:rPr>
              <w:t xml:space="preserve">most importantly 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in the social and military </w:t>
            </w:r>
            <w:r w:rsidR="00191AAB" w:rsidRPr="00583B18">
              <w:rPr>
                <w:rFonts w:ascii="Arial" w:hAnsi="Arial" w:cs="Arial"/>
                <w:lang w:val="en-GB"/>
              </w:rPr>
              <w:t>fields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(</w:t>
            </w:r>
            <w:r w:rsidR="00EE656A" w:rsidRPr="00583B18">
              <w:rPr>
                <w:rFonts w:ascii="Arial" w:hAnsi="Arial" w:cs="Arial"/>
                <w:lang w:val="en-GB"/>
              </w:rPr>
              <w:t xml:space="preserve">the 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cold war). Today, we </w:t>
            </w:r>
            <w:r w:rsidR="0088005D" w:rsidRPr="00583B18">
              <w:rPr>
                <w:rFonts w:ascii="Arial" w:hAnsi="Arial" w:cs="Arial"/>
                <w:lang w:val="en-GB"/>
              </w:rPr>
              <w:t>saw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increasing demand for foresight, because actors underst</w:t>
            </w:r>
            <w:r w:rsidR="0088005D" w:rsidRPr="00583B18">
              <w:rPr>
                <w:rFonts w:ascii="Arial" w:hAnsi="Arial" w:cs="Arial"/>
                <w:lang w:val="en-GB"/>
              </w:rPr>
              <w:t>ood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that the future </w:t>
            </w:r>
            <w:r w:rsidR="0088005D" w:rsidRPr="00583B18">
              <w:rPr>
                <w:rFonts w:ascii="Arial" w:hAnsi="Arial" w:cs="Arial"/>
                <w:lang w:val="en-GB"/>
              </w:rPr>
              <w:t>wa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s not </w:t>
            </w:r>
            <w:r w:rsidR="0088005D" w:rsidRPr="00583B18">
              <w:rPr>
                <w:rFonts w:ascii="Arial" w:hAnsi="Arial" w:cs="Arial"/>
                <w:lang w:val="en-GB"/>
              </w:rPr>
              <w:t>just an extension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of the present. To face challenges, </w:t>
            </w:r>
            <w:r w:rsidR="00AB5A3D" w:rsidRPr="00583B18">
              <w:rPr>
                <w:rFonts w:ascii="Arial" w:hAnsi="Arial" w:cs="Arial"/>
                <w:lang w:val="en-GB"/>
              </w:rPr>
              <w:t>close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 cooperation between stakeholders was paramount. </w:t>
            </w:r>
            <w:r w:rsidR="00A22604" w:rsidRPr="00583B18">
              <w:rPr>
                <w:rFonts w:ascii="Arial" w:hAnsi="Arial" w:cs="Arial"/>
                <w:lang w:val="en-GB"/>
              </w:rPr>
              <w:t xml:space="preserve">Multidimensional and cyclical economic </w:t>
            </w:r>
            <w:r w:rsidR="00314275" w:rsidRPr="00583B18">
              <w:rPr>
                <w:rFonts w:ascii="Arial" w:hAnsi="Arial" w:cs="Arial"/>
                <w:lang w:val="en-GB"/>
              </w:rPr>
              <w:t xml:space="preserve">challenges to </w:t>
            </w:r>
            <w:proofErr w:type="gramStart"/>
            <w:r w:rsidR="00314275" w:rsidRPr="00583B18">
              <w:rPr>
                <w:rFonts w:ascii="Arial" w:hAnsi="Arial" w:cs="Arial"/>
                <w:lang w:val="en-GB"/>
              </w:rPr>
              <w:t>be addressed</w:t>
            </w:r>
            <w:proofErr w:type="gramEnd"/>
            <w:r w:rsidR="00314275" w:rsidRPr="00583B18">
              <w:rPr>
                <w:rFonts w:ascii="Arial" w:hAnsi="Arial" w:cs="Arial"/>
                <w:lang w:val="en-GB"/>
              </w:rPr>
              <w:t xml:space="preserve"> were the global crisis, digitalisation and anthropological transformations. </w:t>
            </w:r>
          </w:p>
          <w:p w:rsidR="008F4669" w:rsidRPr="00583B18" w:rsidRDefault="008F4669" w:rsidP="00BA3581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  <w:p w:rsidR="004D5376" w:rsidRPr="00583B18" w:rsidRDefault="00191AAB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b/>
                <w:lang w:val="en-GB"/>
              </w:rPr>
              <w:t xml:space="preserve">The </w:t>
            </w:r>
            <w:r w:rsidR="001F54BF" w:rsidRPr="00583B18">
              <w:rPr>
                <w:rFonts w:ascii="Arial" w:hAnsi="Arial" w:cs="Arial"/>
                <w:b/>
                <w:lang w:val="en-GB"/>
              </w:rPr>
              <w:t>ECO section president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concluded the conference by summari</w:t>
            </w:r>
            <w:r w:rsidR="00354C78" w:rsidRPr="00583B18">
              <w:rPr>
                <w:rFonts w:ascii="Arial" w:hAnsi="Arial" w:cs="Arial"/>
                <w:lang w:val="en-GB"/>
              </w:rPr>
              <w:t>s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ing some of the key conclusions of the debate: foresight was not only for institutions, but also for other stakeholders, for example in civil society. It required however a major effort in terms of human, financial and time resources. We needed to address future </w:t>
            </w:r>
            <w:r w:rsidRPr="00583B18">
              <w:rPr>
                <w:rFonts w:ascii="Arial" w:hAnsi="Arial" w:cs="Arial"/>
                <w:lang w:val="en-GB"/>
              </w:rPr>
              <w:t>challenges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in a strategic way. Some current problems </w:t>
            </w:r>
            <w:r w:rsidR="00A005AC" w:rsidRPr="00583B18">
              <w:rPr>
                <w:rFonts w:ascii="Arial" w:hAnsi="Arial" w:cs="Arial"/>
                <w:lang w:val="en-GB"/>
              </w:rPr>
              <w:t>were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the result of </w:t>
            </w:r>
            <w:r w:rsidR="00A005AC" w:rsidRPr="00583B18">
              <w:rPr>
                <w:rFonts w:ascii="Arial" w:hAnsi="Arial" w:cs="Arial"/>
                <w:lang w:val="en-GB"/>
              </w:rPr>
              <w:t>not having recognised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weak signals in the past. We had to use the opportunities offered by foresight and turn conclusions into </w:t>
            </w:r>
            <w:r w:rsidR="00354C78" w:rsidRPr="00583B18">
              <w:rPr>
                <w:rFonts w:ascii="Arial" w:hAnsi="Arial" w:cs="Arial"/>
                <w:lang w:val="en-GB"/>
              </w:rPr>
              <w:t xml:space="preserve">practical 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action. Sharing information and networking </w:t>
            </w:r>
            <w:r w:rsidR="00AB5A3D" w:rsidRPr="00583B18">
              <w:rPr>
                <w:rFonts w:ascii="Arial" w:hAnsi="Arial" w:cs="Arial"/>
                <w:lang w:val="en-GB"/>
              </w:rPr>
              <w:t xml:space="preserve">were 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important. He closed the event by </w:t>
            </w:r>
            <w:r w:rsidR="00354C78" w:rsidRPr="00583B18">
              <w:rPr>
                <w:rFonts w:ascii="Arial" w:hAnsi="Arial" w:cs="Arial"/>
                <w:lang w:val="en-GB"/>
              </w:rPr>
              <w:t xml:space="preserve">stating 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that the EESC </w:t>
            </w:r>
            <w:r w:rsidR="00354C78" w:rsidRPr="00583B18">
              <w:rPr>
                <w:rFonts w:ascii="Arial" w:hAnsi="Arial" w:cs="Arial"/>
                <w:lang w:val="en-GB"/>
              </w:rPr>
              <w:t>would</w:t>
            </w:r>
            <w:r w:rsidR="001F54BF" w:rsidRPr="00583B18">
              <w:rPr>
                <w:rFonts w:ascii="Arial" w:hAnsi="Arial" w:cs="Arial"/>
                <w:lang w:val="en-GB"/>
              </w:rPr>
              <w:t xml:space="preserve"> continue to </w:t>
            </w:r>
            <w:r w:rsidR="004D5376" w:rsidRPr="00583B18">
              <w:rPr>
                <w:rFonts w:ascii="Arial" w:hAnsi="Arial" w:cs="Arial"/>
                <w:lang w:val="en-GB"/>
              </w:rPr>
              <w:t xml:space="preserve">discuss foresight and </w:t>
            </w:r>
            <w:r w:rsidR="00354C78" w:rsidRPr="00583B18">
              <w:rPr>
                <w:rFonts w:ascii="Arial" w:hAnsi="Arial" w:cs="Arial"/>
                <w:lang w:val="en-GB"/>
              </w:rPr>
              <w:t xml:space="preserve">to </w:t>
            </w:r>
            <w:r w:rsidR="004D5376" w:rsidRPr="00583B18">
              <w:rPr>
                <w:rFonts w:ascii="Arial" w:hAnsi="Arial" w:cs="Arial"/>
                <w:lang w:val="en-GB"/>
              </w:rPr>
              <w:t xml:space="preserve">contribute to the </w:t>
            </w:r>
            <w:r w:rsidR="00570A55" w:rsidRPr="00583B18">
              <w:rPr>
                <w:rFonts w:ascii="Arial" w:hAnsi="Arial" w:cs="Arial"/>
                <w:lang w:val="en-GB"/>
              </w:rPr>
              <w:t>debate</w:t>
            </w:r>
            <w:r w:rsidR="004D5376" w:rsidRPr="00583B18">
              <w:rPr>
                <w:rFonts w:ascii="Arial" w:hAnsi="Arial" w:cs="Arial"/>
                <w:lang w:val="en-GB"/>
              </w:rPr>
              <w:t>.</w:t>
            </w:r>
          </w:p>
          <w:p w:rsidR="00D45608" w:rsidRPr="00583B18" w:rsidRDefault="00D45608" w:rsidP="00BA3581">
            <w:pPr>
              <w:rPr>
                <w:rFonts w:ascii="Arial" w:hAnsi="Arial" w:cs="Arial"/>
                <w:lang w:val="en-GB"/>
              </w:rPr>
            </w:pPr>
          </w:p>
          <w:p w:rsidR="00D45608" w:rsidRPr="00583B18" w:rsidRDefault="00D45608" w:rsidP="00BA3581">
            <w:pPr>
              <w:jc w:val="center"/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lang w:val="en-GB"/>
              </w:rPr>
              <w:t>_____________</w:t>
            </w:r>
          </w:p>
          <w:p w:rsidR="001F54BF" w:rsidRPr="00583B18" w:rsidRDefault="001F54BF" w:rsidP="00BA3581">
            <w:pPr>
              <w:rPr>
                <w:rFonts w:ascii="Arial" w:hAnsi="Arial" w:cs="Arial"/>
                <w:lang w:val="en-GB"/>
              </w:rPr>
            </w:pPr>
            <w:r w:rsidRPr="00583B18">
              <w:rPr>
                <w:rFonts w:ascii="Arial" w:hAnsi="Arial" w:cs="Arial"/>
                <w:lang w:val="en-GB"/>
              </w:rPr>
              <w:t xml:space="preserve"> </w:t>
            </w:r>
          </w:p>
          <w:p w:rsidR="00AB63E6" w:rsidRPr="00583B18" w:rsidRDefault="00AB63E6" w:rsidP="00BA3581">
            <w:pPr>
              <w:rPr>
                <w:rFonts w:ascii="Arial" w:hAnsi="Arial" w:cs="Arial"/>
                <w:lang w:val="en-GB"/>
              </w:rPr>
            </w:pPr>
          </w:p>
          <w:p w:rsidR="00C5753A" w:rsidRPr="00583B18" w:rsidRDefault="00C5753A" w:rsidP="00BA3581">
            <w:pPr>
              <w:rPr>
                <w:rFonts w:ascii="Arial" w:hAnsi="Arial" w:cs="Arial"/>
                <w:lang w:val="en-GB"/>
              </w:rPr>
            </w:pPr>
          </w:p>
          <w:p w:rsidR="0040328E" w:rsidRPr="00583B18" w:rsidRDefault="0040328E" w:rsidP="00BA3581">
            <w:pPr>
              <w:rPr>
                <w:rFonts w:ascii="Arial" w:hAnsi="Arial" w:cs="Arial"/>
                <w:lang w:val="en-GB"/>
              </w:rPr>
            </w:pPr>
          </w:p>
          <w:p w:rsidR="00CF5CDA" w:rsidRPr="00583B18" w:rsidRDefault="00CF5CDA" w:rsidP="00BA3581">
            <w:pPr>
              <w:rPr>
                <w:rFonts w:ascii="Arial" w:hAnsi="Arial" w:cs="Arial"/>
                <w:lang w:val="en-GB"/>
              </w:rPr>
            </w:pPr>
          </w:p>
          <w:p w:rsidR="00CF5CDA" w:rsidRPr="00583B18" w:rsidRDefault="00CF5CDA" w:rsidP="00BA358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C1EAF" w:rsidRPr="00F71F15" w:rsidRDefault="008F4669" w:rsidP="00BA214C">
      <w:pPr>
        <w:rPr>
          <w:lang w:val="en-GB"/>
        </w:rPr>
      </w:pPr>
    </w:p>
    <w:sectPr w:rsidR="006C1EAF" w:rsidRPr="00F71F15" w:rsidSect="00BA214C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4E5076"/>
    <w:multiLevelType w:val="hybridMultilevel"/>
    <w:tmpl w:val="B5D2E9E6"/>
    <w:lvl w:ilvl="0" w:tplc="080C0001">
      <w:start w:val="1"/>
      <w:numFmt w:val="bullet"/>
      <w:lvlText w:val=""/>
      <w:lvlJc w:val="left"/>
      <w:pPr>
        <w:ind w:left="-115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-43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3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4" w:tplc="4F6AEA4A">
      <w:numFmt w:val="bullet"/>
      <w:lvlText w:val="•"/>
      <w:lvlJc w:val="left"/>
      <w:pPr>
        <w:ind w:left="2084" w:hanging="720"/>
      </w:pPr>
      <w:rPr>
        <w:rFonts w:ascii="Times New Roman" w:eastAsia="Times New Roman" w:hAnsi="Times New Roman" w:cs="Times New Roman" w:hint="default"/>
      </w:rPr>
    </w:lvl>
    <w:lvl w:ilvl="5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</w:abstractNum>
  <w:abstractNum w:abstractNumId="2" w15:restartNumberingAfterBreak="0">
    <w:nsid w:val="5C531837"/>
    <w:multiLevelType w:val="hybridMultilevel"/>
    <w:tmpl w:val="374E1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4C"/>
    <w:rsid w:val="000026FE"/>
    <w:rsid w:val="00016B92"/>
    <w:rsid w:val="00032C41"/>
    <w:rsid w:val="000561D4"/>
    <w:rsid w:val="00077EDB"/>
    <w:rsid w:val="000875C9"/>
    <w:rsid w:val="000B3A4E"/>
    <w:rsid w:val="000E62AB"/>
    <w:rsid w:val="000F33BB"/>
    <w:rsid w:val="00106F0F"/>
    <w:rsid w:val="00127B48"/>
    <w:rsid w:val="001314A1"/>
    <w:rsid w:val="001733D7"/>
    <w:rsid w:val="001873CD"/>
    <w:rsid w:val="00191AAB"/>
    <w:rsid w:val="001A1FB7"/>
    <w:rsid w:val="001A3AB1"/>
    <w:rsid w:val="001B1782"/>
    <w:rsid w:val="001D7AD3"/>
    <w:rsid w:val="001E394D"/>
    <w:rsid w:val="001F54BF"/>
    <w:rsid w:val="002158A9"/>
    <w:rsid w:val="00274364"/>
    <w:rsid w:val="00275C2B"/>
    <w:rsid w:val="00275EBD"/>
    <w:rsid w:val="002920ED"/>
    <w:rsid w:val="002A1D8B"/>
    <w:rsid w:val="002B4F53"/>
    <w:rsid w:val="002D7075"/>
    <w:rsid w:val="002E775C"/>
    <w:rsid w:val="003014A5"/>
    <w:rsid w:val="00314275"/>
    <w:rsid w:val="0032172A"/>
    <w:rsid w:val="003423CF"/>
    <w:rsid w:val="00354C78"/>
    <w:rsid w:val="003A44A8"/>
    <w:rsid w:val="0040328E"/>
    <w:rsid w:val="004119F8"/>
    <w:rsid w:val="0047108D"/>
    <w:rsid w:val="00482E95"/>
    <w:rsid w:val="0048350A"/>
    <w:rsid w:val="004B13AB"/>
    <w:rsid w:val="004D5376"/>
    <w:rsid w:val="004D67B3"/>
    <w:rsid w:val="0054494B"/>
    <w:rsid w:val="00556857"/>
    <w:rsid w:val="00570A55"/>
    <w:rsid w:val="00583B18"/>
    <w:rsid w:val="00593D3F"/>
    <w:rsid w:val="005A3D4C"/>
    <w:rsid w:val="005B251D"/>
    <w:rsid w:val="00605F0B"/>
    <w:rsid w:val="0061512E"/>
    <w:rsid w:val="006440BC"/>
    <w:rsid w:val="006504F6"/>
    <w:rsid w:val="006E3E46"/>
    <w:rsid w:val="007004B3"/>
    <w:rsid w:val="0071484C"/>
    <w:rsid w:val="00724E5B"/>
    <w:rsid w:val="007507A5"/>
    <w:rsid w:val="00772307"/>
    <w:rsid w:val="007A3C90"/>
    <w:rsid w:val="007E0575"/>
    <w:rsid w:val="00814A15"/>
    <w:rsid w:val="00836758"/>
    <w:rsid w:val="008447BE"/>
    <w:rsid w:val="0085562F"/>
    <w:rsid w:val="00864B71"/>
    <w:rsid w:val="0088005D"/>
    <w:rsid w:val="008848B8"/>
    <w:rsid w:val="00890E9C"/>
    <w:rsid w:val="008B3049"/>
    <w:rsid w:val="008E0269"/>
    <w:rsid w:val="008E221D"/>
    <w:rsid w:val="008F0D2F"/>
    <w:rsid w:val="008F4669"/>
    <w:rsid w:val="009020AE"/>
    <w:rsid w:val="00922A7F"/>
    <w:rsid w:val="00923032"/>
    <w:rsid w:val="00941EEE"/>
    <w:rsid w:val="009547F8"/>
    <w:rsid w:val="00955746"/>
    <w:rsid w:val="009711A4"/>
    <w:rsid w:val="009876E2"/>
    <w:rsid w:val="00993876"/>
    <w:rsid w:val="009B5FE8"/>
    <w:rsid w:val="009C19B2"/>
    <w:rsid w:val="009C2F0E"/>
    <w:rsid w:val="009D6495"/>
    <w:rsid w:val="009F0A24"/>
    <w:rsid w:val="00A005AC"/>
    <w:rsid w:val="00A22604"/>
    <w:rsid w:val="00A30971"/>
    <w:rsid w:val="00A370CF"/>
    <w:rsid w:val="00A7126B"/>
    <w:rsid w:val="00A8032A"/>
    <w:rsid w:val="00A812D1"/>
    <w:rsid w:val="00A9253A"/>
    <w:rsid w:val="00AB5A3D"/>
    <w:rsid w:val="00AB63E6"/>
    <w:rsid w:val="00AC3B3A"/>
    <w:rsid w:val="00AD4A57"/>
    <w:rsid w:val="00AE36B7"/>
    <w:rsid w:val="00B02E19"/>
    <w:rsid w:val="00B276C7"/>
    <w:rsid w:val="00B37C8B"/>
    <w:rsid w:val="00B37FB1"/>
    <w:rsid w:val="00BA214C"/>
    <w:rsid w:val="00BA3581"/>
    <w:rsid w:val="00BF2CFF"/>
    <w:rsid w:val="00C07670"/>
    <w:rsid w:val="00C228CB"/>
    <w:rsid w:val="00C324B8"/>
    <w:rsid w:val="00C35C1C"/>
    <w:rsid w:val="00C4729D"/>
    <w:rsid w:val="00C47A95"/>
    <w:rsid w:val="00C57452"/>
    <w:rsid w:val="00C5753A"/>
    <w:rsid w:val="00C874A3"/>
    <w:rsid w:val="00C96B73"/>
    <w:rsid w:val="00CD29CC"/>
    <w:rsid w:val="00CF5CDA"/>
    <w:rsid w:val="00D2379B"/>
    <w:rsid w:val="00D311F9"/>
    <w:rsid w:val="00D45608"/>
    <w:rsid w:val="00D646EE"/>
    <w:rsid w:val="00D8760E"/>
    <w:rsid w:val="00D950EB"/>
    <w:rsid w:val="00D95341"/>
    <w:rsid w:val="00DC5E5D"/>
    <w:rsid w:val="00DD4D25"/>
    <w:rsid w:val="00DD73A0"/>
    <w:rsid w:val="00E369B2"/>
    <w:rsid w:val="00E40040"/>
    <w:rsid w:val="00E45D23"/>
    <w:rsid w:val="00E733C0"/>
    <w:rsid w:val="00E8104C"/>
    <w:rsid w:val="00E975A6"/>
    <w:rsid w:val="00EA1198"/>
    <w:rsid w:val="00EC1CFF"/>
    <w:rsid w:val="00EE656A"/>
    <w:rsid w:val="00EF2540"/>
    <w:rsid w:val="00F02149"/>
    <w:rsid w:val="00F17712"/>
    <w:rsid w:val="00F33ADE"/>
    <w:rsid w:val="00F6547F"/>
    <w:rsid w:val="00F71F15"/>
    <w:rsid w:val="00F92B0D"/>
    <w:rsid w:val="00FA11C9"/>
    <w:rsid w:val="00FA53E0"/>
    <w:rsid w:val="00FC52B5"/>
    <w:rsid w:val="00FD1961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9422"/>
  <w15:chartTrackingRefBased/>
  <w15:docId w15:val="{4F488251-B98C-49D8-903C-52EF8EC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4C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214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A214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A214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A214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A214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A214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A214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A214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A214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14C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BA214C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BA21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BA214C"/>
  </w:style>
  <w:style w:type="character" w:customStyle="1" w:styleId="FooterChar">
    <w:name w:val="Footer Char"/>
    <w:basedOn w:val="DefaultParagraphFont"/>
    <w:link w:val="Footer"/>
    <w:rsid w:val="00BA214C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BA214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A214C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BA214C"/>
  </w:style>
  <w:style w:type="character" w:customStyle="1" w:styleId="HeaderChar">
    <w:name w:val="Header Char"/>
    <w:basedOn w:val="DefaultParagraphFont"/>
    <w:link w:val="Header"/>
    <w:rsid w:val="00BA214C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BA214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A214C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BA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</TotalTime>
  <Pages>4</Pages>
  <Words>1891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Klec</dc:creator>
  <cp:keywords/>
  <dc:description/>
  <cp:lastModifiedBy>Zuzana Bokorova</cp:lastModifiedBy>
  <cp:revision>6</cp:revision>
  <dcterms:created xsi:type="dcterms:W3CDTF">2021-08-24T08:09:00Z</dcterms:created>
  <dcterms:modified xsi:type="dcterms:W3CDTF">2021-08-30T15:07:00Z</dcterms:modified>
</cp:coreProperties>
</file>