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B5" w:rsidRPr="00C3394F" w:rsidRDefault="007D0E35" w:rsidP="00EA79B5">
      <w:pPr>
        <w:spacing w:after="0" w:line="288" w:lineRule="auto"/>
        <w:rPr>
          <w:rFonts w:ascii="Times New Roman" w:hAnsi="Times New Roman" w:cs="Times New Roman"/>
        </w:rPr>
      </w:pPr>
      <w:bookmarkStart w:id="0" w:name="_GoBack"/>
      <w:bookmarkEnd w:id="0"/>
      <w:r>
        <w:rPr>
          <w:noProof/>
          <w:lang w:val="fr-BE" w:eastAsia="fr-BE"/>
        </w:rPr>
        <w:drawing>
          <wp:inline distT="0" distB="0" distL="0" distR="0" wp14:anchorId="5BA7D4F7" wp14:editId="5F03E75C">
            <wp:extent cx="5745375" cy="15551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1497" cy="1564892"/>
                    </a:xfrm>
                    <a:prstGeom prst="rect">
                      <a:avLst/>
                    </a:prstGeom>
                  </pic:spPr>
                </pic:pic>
              </a:graphicData>
            </a:graphic>
          </wp:inline>
        </w:drawing>
      </w:r>
      <w:r>
        <w:rPr>
          <w:rFonts w:ascii="Times New Roman" w:hAnsi="Times New Roman"/>
          <w:noProof/>
          <w:lang w:val="fr-BE" w:eastAsia="fr-BE"/>
        </w:rPr>
        <mc:AlternateContent>
          <mc:Choice Requires="wps">
            <w:drawing>
              <wp:anchor distT="0" distB="0" distL="114300" distR="114300" simplePos="0" relativeHeight="251660288" behindDoc="1" locked="0" layoutInCell="0" allowOverlap="1" wp14:anchorId="48C1079E" wp14:editId="304E1F5A">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9B5" w:rsidRPr="00EB31FE" w:rsidRDefault="00EB31FE" w:rsidP="00EA79B5">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8C1079E">
                <v:stroke joinstyle="miter"/>
                <v:path gradientshapeok="t" o:connecttype="rect"/>
              </v:shapetype>
              <v:shape id="Text Box 20" style="position:absolute;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Pr="00EB31FE" w:rsidR="00EA79B5" w:rsidP="00EA79B5" w:rsidRDefault="00EB31FE">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00EA79B5" w:rsidRPr="00C3394F" w:rsidRDefault="00EA79B5" w:rsidP="00EA79B5">
      <w:pPr>
        <w:spacing w:after="0" w:line="288" w:lineRule="auto"/>
        <w:jc w:val="center"/>
        <w:rPr>
          <w:rFonts w:ascii="Times New Roman" w:hAnsi="Times New Roman" w:cs="Times New Roman"/>
          <w:lang w:val="fr-BE"/>
        </w:rPr>
      </w:pPr>
    </w:p>
    <w:p w:rsidR="00EA79B5" w:rsidRPr="00C3394F" w:rsidRDefault="00EA79B5" w:rsidP="00EA79B5">
      <w:pPr>
        <w:spacing w:after="0" w:line="288" w:lineRule="auto"/>
        <w:jc w:val="center"/>
        <w:rPr>
          <w:rFonts w:ascii="Times New Roman" w:hAnsi="Times New Roman" w:cs="Times New Roman"/>
          <w:lang w:val="fr-BE"/>
        </w:rPr>
      </w:pPr>
    </w:p>
    <w:p w:rsidR="007E000B" w:rsidRPr="002645D0" w:rsidRDefault="007E000B" w:rsidP="007E000B">
      <w:pPr>
        <w:spacing w:after="0" w:line="288" w:lineRule="auto"/>
        <w:jc w:val="center"/>
        <w:rPr>
          <w:rFonts w:ascii="Times New Roman" w:hAnsi="Times New Roman" w:cs="Times New Roman"/>
          <w:b/>
        </w:rPr>
      </w:pPr>
      <w:r>
        <w:rPr>
          <w:rFonts w:ascii="Times New Roman" w:hAnsi="Times New Roman"/>
          <w:b/>
        </w:rPr>
        <w:t>Metinis EESRK ir ES ekonomikos ir socialinių reikalų tarybų pirmininkų ir generalinių sekretorių susirinkimas</w:t>
      </w:r>
    </w:p>
    <w:p w:rsidR="007E000B" w:rsidRPr="002645D0" w:rsidRDefault="007D0E35" w:rsidP="007E000B">
      <w:pPr>
        <w:spacing w:after="0" w:line="288" w:lineRule="auto"/>
        <w:jc w:val="center"/>
        <w:rPr>
          <w:rFonts w:ascii="Times New Roman" w:hAnsi="Times New Roman" w:cs="Times New Roman"/>
          <w:b/>
        </w:rPr>
      </w:pPr>
      <w:r>
        <w:rPr>
          <w:rFonts w:ascii="Times New Roman" w:hAnsi="Times New Roman"/>
          <w:b/>
        </w:rPr>
        <w:t>2021 m. lapkričio 22–23 d., Paryžius</w:t>
      </w:r>
    </w:p>
    <w:p w:rsidR="00EA79B5" w:rsidRPr="002645D0" w:rsidRDefault="00EA79B5" w:rsidP="007E000B">
      <w:pPr>
        <w:spacing w:after="0" w:line="288" w:lineRule="auto"/>
        <w:jc w:val="center"/>
        <w:rPr>
          <w:rFonts w:ascii="Times New Roman" w:hAnsi="Times New Roman" w:cs="Times New Roman"/>
          <w:b/>
          <w:lang w:val="en-US"/>
        </w:rPr>
      </w:pPr>
    </w:p>
    <w:p w:rsidR="00EA79B5" w:rsidRPr="001C28D1" w:rsidRDefault="00EA79B5" w:rsidP="00EA79B5">
      <w:pPr>
        <w:spacing w:after="0" w:line="288" w:lineRule="auto"/>
        <w:jc w:val="center"/>
        <w:rPr>
          <w:rFonts w:ascii="Times New Roman" w:hAnsi="Times New Roman" w:cs="Times New Roman"/>
          <w:i/>
          <w:color w:val="000099"/>
          <w:lang w:val="en-US"/>
        </w:rPr>
      </w:pPr>
    </w:p>
    <w:p w:rsidR="00824453" w:rsidRPr="001C28D1" w:rsidRDefault="007E000B" w:rsidP="007E000B">
      <w:pPr>
        <w:spacing w:after="0" w:line="288" w:lineRule="auto"/>
        <w:jc w:val="center"/>
        <w:rPr>
          <w:rFonts w:ascii="Times New Roman" w:hAnsi="Times New Roman" w:cs="Times New Roman"/>
          <w:b/>
          <w:color w:val="000099"/>
        </w:rPr>
      </w:pPr>
      <w:r>
        <w:rPr>
          <w:rFonts w:ascii="Times New Roman" w:hAnsi="Times New Roman"/>
          <w:b/>
          <w:color w:val="000099"/>
        </w:rPr>
        <w:t>Dalyvaujamoji demokratija ir jos vaidmuo siekiant, kad ES būtų atspari ir pasirengusi ateities iššūkiams</w:t>
      </w:r>
    </w:p>
    <w:p w:rsidR="00824453" w:rsidRPr="001C28D1" w:rsidRDefault="00824453" w:rsidP="007E000B">
      <w:pPr>
        <w:spacing w:after="0" w:line="288" w:lineRule="auto"/>
        <w:jc w:val="center"/>
        <w:rPr>
          <w:rFonts w:ascii="Times New Roman" w:hAnsi="Times New Roman" w:cs="Times New Roman"/>
          <w:b/>
          <w:color w:val="000099"/>
        </w:rPr>
      </w:pPr>
      <w:r>
        <w:rPr>
          <w:rFonts w:ascii="Times New Roman" w:hAnsi="Times New Roman"/>
          <w:b/>
          <w:color w:val="000099"/>
        </w:rPr>
        <w:t>Europos ekonomikos ir socialinių reikalų komiteto bei nacionalinių ekonomikos ir socialinių reikalų tarybų įnašas į Konferenciją dėl Europos ateities</w:t>
      </w: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shd w:val="clear" w:color="auto" w:fill="FFFFFF"/>
        </w:rPr>
        <w:t>IŠVADOS</w:t>
      </w: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2854C4" w:rsidRPr="002645D0" w:rsidRDefault="002854C4" w:rsidP="00EA79B5">
      <w:pPr>
        <w:spacing w:after="0" w:line="288" w:lineRule="auto"/>
        <w:jc w:val="both"/>
        <w:rPr>
          <w:rFonts w:ascii="Times New Roman" w:hAnsi="Times New Roman" w:cs="Times New Roman"/>
          <w:b/>
          <w:bCs/>
          <w:i/>
          <w:i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2021 m. lapkričio 22-23 d. Europos ekonomikos ir socialinių reikalų komiteto (EESRK) ir ES nacionalinių ekonomikos ir socialinių reikalų tarybų (ESRT) pirmininkai ir generaliniai sekretoriai dalyvavo susitikime Paryžiuje.</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Po išsamių ir turiningų diskusijų jie pateikia šias išvadas, kuriose išreiškiamas visapusiškas palaikymas plataus užmojo Konferencijai dėl Europos ateities, kuri duos apčiuopiamų rezultatų, kad Europos Sąjunga taptų stipresnė, geriau pasirengusi ateities iššūkiams ir artimesnė savo piliečiams. Kad to pasiektų, ES turi įsiklausyti ir veikti pagal Europos ir nacionalinės organizuotos pilietinės visuomenės idėjas ir pasiūlymus.</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EA79B5" w:rsidRDefault="00EA79B5"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1C28D1" w:rsidRDefault="001C28D1" w:rsidP="00EA79B5">
      <w:pPr>
        <w:spacing w:after="0" w:line="288" w:lineRule="auto"/>
        <w:jc w:val="both"/>
        <w:rPr>
          <w:rFonts w:ascii="Times New Roman" w:hAnsi="Times New Roman" w:cs="Times New Roman"/>
          <w:b/>
          <w:bCs/>
          <w:i/>
          <w:iCs/>
          <w:color w:val="000099"/>
          <w:sz w:val="28"/>
          <w:szCs w:val="28"/>
          <w:shd w:val="clear" w:color="auto" w:fill="FFFFFF"/>
        </w:rPr>
      </w:pPr>
      <w:r>
        <w:rPr>
          <w:rFonts w:ascii="Times New Roman" w:hAnsi="Times New Roman"/>
          <w:b/>
          <w:color w:val="000099"/>
          <w:sz w:val="28"/>
        </w:rPr>
        <w:t>Apžvalga</w:t>
      </w:r>
    </w:p>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1C28D1" w:rsidTr="001C28D1">
        <w:tc>
          <w:tcPr>
            <w:tcW w:w="9062" w:type="dxa"/>
            <w:shd w:val="clear" w:color="auto" w:fill="BDD6EE" w:themeFill="accent1" w:themeFillTint="66"/>
            <w:tcMar>
              <w:top w:w="113" w:type="dxa"/>
              <w:bottom w:w="113" w:type="dxa"/>
            </w:tcMar>
            <w:vAlign w:val="center"/>
          </w:tcPr>
          <w:p w:rsidR="001C28D1" w:rsidRPr="001C28D1" w:rsidRDefault="001C28D1" w:rsidP="001C28D1">
            <w:pPr>
              <w:pStyle w:val="ListParagraph"/>
              <w:numPr>
                <w:ilvl w:val="0"/>
                <w:numId w:val="8"/>
              </w:numPr>
              <w:rPr>
                <w:b/>
                <w:bCs/>
                <w:i/>
                <w:iCs/>
                <w:shd w:val="clear" w:color="auto" w:fill="FFFFFF"/>
              </w:rPr>
            </w:pPr>
            <w:r>
              <w:t xml:space="preserve">Europos ekonomikos ir socialinių reikalų komitetas (EESRK) ir nacionalinės ekonomikos ir socialinių reikalų tarybos (ESRT) pandemijos pabaigą laiko galimybe </w:t>
            </w:r>
            <w:r>
              <w:rPr>
                <w:b/>
              </w:rPr>
              <w:t>judėti į priekį ir tobulinti mūsų visuomenes</w:t>
            </w:r>
            <w:r>
              <w:t xml:space="preserve">, siekiant sukurti stipresnę Europos Sąjungą, skatinančią aukštynkryptę konvergenciją, didesnę sanglaudą ir solidarumą – sustiprintos Europos piliečio tapatybės garantiją. </w:t>
            </w:r>
            <w:r>
              <w:rPr>
                <w:b/>
              </w:rPr>
              <w:t>Ši Europos vizija sujungia tvarią gerovę, socialinį teisingumą, įtrauktį ir teisingą žaliąją ir skaitmeninę pertvarką, kartu skatinant pagarbą pagrindinėms teisėms ir teisinei valstybei.</w:t>
            </w:r>
          </w:p>
        </w:tc>
      </w:tr>
    </w:tbl>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pPr>
            <w:r>
              <w:t xml:space="preserve">Siekdama šio tikslo, Europos Sąjunga gali remtis </w:t>
            </w:r>
            <w:r>
              <w:rPr>
                <w:b/>
              </w:rPr>
              <w:t>svarbiais privalumais</w:t>
            </w:r>
            <w:r>
              <w:t xml:space="preserve">, pavyzdžiui, </w:t>
            </w:r>
            <w:r>
              <w:rPr>
                <w:b/>
                <w:bCs/>
              </w:rPr>
              <w:t>didele vidaus rinka, tvirta pramonine baze, savo vaidmeniu tarptautinėje ekonomikos arenoje, klestinčia pilietine visuomene ir precedento neturinčiu solidarumu</w:t>
            </w:r>
            <w:r>
              <w:t xml:space="preserve">, kaip paaiškėjo patvirtinus naują ekonomikos gaivinimo priemonę </w:t>
            </w:r>
            <w:r>
              <w:rPr>
                <w:b/>
                <w:bCs/>
              </w:rPr>
              <w:t>„NextGenerationEU“</w:t>
            </w:r>
            <w:r>
              <w:t>. EESRK ir nacionalinės ESRT pabrėžia, kaip svarbu konkrečiai įtraukti organizuotą pilietinę visuomenę įgyvendinant ir vertinant nacionalinius ekonomikos gaivinimo ir atsparumo didinimo planus. Jie primygtinai reikalauja, kad socialinis aspektas būtų svarbiausias jų politikoje, ypač Europos sveikatos plėtra visais jos aspektais.</w:t>
            </w:r>
          </w:p>
          <w:p w:rsidR="00975673" w:rsidRPr="00975673" w:rsidRDefault="00975673" w:rsidP="00975673">
            <w:pPr>
              <w:pStyle w:val="ListParagraph"/>
              <w:ind w:left="360"/>
              <w:rPr>
                <w:lang w:val="en-US"/>
              </w:rPr>
            </w:pPr>
          </w:p>
          <w:p w:rsidR="00975673" w:rsidRDefault="00975673" w:rsidP="00975673">
            <w:pPr>
              <w:spacing w:line="288" w:lineRule="auto"/>
              <w:ind w:left="360"/>
              <w:jc w:val="both"/>
            </w:pPr>
            <w:r>
              <w:rPr>
                <w:rFonts w:ascii="Times New Roman" w:hAnsi="Times New Roman"/>
                <w:b/>
                <w:bCs/>
              </w:rPr>
              <w:t>Žaliasis kursas</w:t>
            </w:r>
            <w:r>
              <w:rPr>
                <w:rFonts w:ascii="Times New Roman" w:hAnsi="Times New Roman"/>
              </w:rPr>
              <w:t xml:space="preserve">, kuriuo siekiama iki 2050 m. pasiekti nulinį grynąjį anglies dioksido kiekį, yra nauja Europos augimo strategija, kurios pagrindas – gerovė, tvarumas ir socialinis teisingumas. Kalbant apie </w:t>
            </w:r>
            <w:r>
              <w:rPr>
                <w:rFonts w:ascii="Times New Roman" w:hAnsi="Times New Roman"/>
                <w:b/>
                <w:bCs/>
              </w:rPr>
              <w:t>skaitmeninę pertvarką</w:t>
            </w:r>
            <w:r>
              <w:rPr>
                <w:rFonts w:ascii="Times New Roman" w:hAnsi="Times New Roman"/>
              </w:rPr>
              <w:t xml:space="preserve">, taip pat svarbu įgalinti žmones ir įmones prisiimti atsakomybę už į žmones orientuotą, tvarią ir labiau klestinčią skaitmeninę ateitį. </w:t>
            </w:r>
            <w:r>
              <w:rPr>
                <w:rFonts w:ascii="Times New Roman" w:hAnsi="Times New Roman"/>
                <w:b/>
                <w:bCs/>
              </w:rPr>
              <w:t>Dvidešimt pagrindinių socialinių teisių ramsčio principų</w:t>
            </w:r>
            <w:r>
              <w:rPr>
                <w:rFonts w:ascii="Times New Roman" w:hAnsi="Times New Roman"/>
              </w:rPr>
              <w:t xml:space="preserve"> yra švyturys, vedantis mus link socialinės Europos, kuri yra įtrauki ir kupina galimybių.</w:t>
            </w:r>
          </w:p>
        </w:tc>
      </w:tr>
    </w:tbl>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spacing w:line="276" w:lineRule="auto"/>
              <w:rPr>
                <w:b/>
                <w:bCs/>
              </w:rPr>
            </w:pPr>
            <w:r>
              <w:t xml:space="preserve">Būtent tada, kai Europos Sąjungą reikia atkurti ir parengti ateičiai, esminis vaidmuo tenka </w:t>
            </w:r>
            <w:r>
              <w:rPr>
                <w:b/>
                <w:bCs/>
              </w:rPr>
              <w:t>socialiniams partneriams ir pilietinės visuomenės organizacijoms, taip pat EESRK ir valstybių narių ESRT.</w:t>
            </w:r>
          </w:p>
          <w:p w:rsidR="00975673" w:rsidRPr="00975673" w:rsidRDefault="00975673" w:rsidP="00975673">
            <w:pPr>
              <w:pStyle w:val="ListParagraph"/>
              <w:spacing w:line="276" w:lineRule="auto"/>
              <w:ind w:left="360"/>
              <w:rPr>
                <w:lang w:val="en-US"/>
              </w:rPr>
            </w:pPr>
          </w:p>
          <w:p w:rsid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EESRK ir ES valstybių narių ESRT dar kartą patvirtina savo </w:t>
            </w:r>
            <w:r>
              <w:rPr>
                <w:rFonts w:ascii="Times New Roman" w:hAnsi="Times New Roman"/>
                <w:b/>
                <w:bCs/>
              </w:rPr>
              <w:t>norą aktyviai dalyvauti dabartinių reformų kūrimo, formulavimo ir įgyvendinimo procesuose</w:t>
            </w:r>
            <w:r>
              <w:rPr>
                <w:rFonts w:ascii="Times New Roman" w:hAnsi="Times New Roman"/>
              </w:rPr>
              <w:t xml:space="preserve">, siekiant užtikrinti, kad politika visiškai atitiktų piliečių poreikius ir lūkesčius, ir sukurti didesnį bendros nuosavybės pojūtį. Jie pabrėžia būtinybę stiprinti viešąją politiką, darant ją palankesne labiausiai pažeidžiamiems asmenims, ir Europos konvergencijos poreikį jaunimo politikoje. EESRK ir nacionalinės ESRT puikiai išmano šią sritį ir yra unikalūs nuolatiniai pilietinio dialogo forumai, kurie gali pasiūlyti įvairių suinteresuotųjų šalių </w:t>
            </w:r>
            <w:r>
              <w:rPr>
                <w:rFonts w:ascii="Times New Roman" w:hAnsi="Times New Roman"/>
                <w:b/>
              </w:rPr>
              <w:t>sutarimu pagrįstus sprendimus</w:t>
            </w:r>
            <w:r>
              <w:rPr>
                <w:rFonts w:ascii="Times New Roman" w:hAnsi="Times New Roman"/>
              </w:rPr>
              <w:t>.</w:t>
            </w:r>
            <w:r>
              <w:rPr>
                <w:rFonts w:ascii="Times New Roman" w:hAnsi="Times New Roman"/>
                <w:b/>
              </w:rPr>
              <w:t xml:space="preserve">  </w:t>
            </w:r>
          </w:p>
        </w:tc>
      </w:tr>
    </w:tbl>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975673" w:rsidTr="00975673">
        <w:tc>
          <w:tcPr>
            <w:tcW w:w="9062" w:type="dxa"/>
            <w:shd w:val="clear" w:color="auto" w:fill="BDD6EE" w:themeFill="accent1" w:themeFillTint="66"/>
            <w:tcMar>
              <w:top w:w="113" w:type="dxa"/>
              <w:bottom w:w="113" w:type="dxa"/>
            </w:tcMar>
            <w:vAlign w:val="center"/>
          </w:tcPr>
          <w:p w:rsidR="00975673" w:rsidRDefault="00975673" w:rsidP="00975673">
            <w:pPr>
              <w:pStyle w:val="ListParagraph"/>
              <w:numPr>
                <w:ilvl w:val="0"/>
                <w:numId w:val="8"/>
              </w:numPr>
              <w:spacing w:line="276" w:lineRule="auto"/>
            </w:pPr>
            <w:r>
              <w:t xml:space="preserve">EESRK ir nacionalinės ESRT mano, kad </w:t>
            </w:r>
            <w:r>
              <w:rPr>
                <w:b/>
                <w:bCs/>
              </w:rPr>
              <w:t>Konferencija dėl Europos ateities yra istorinė galimybė</w:t>
            </w:r>
            <w:r>
              <w:t xml:space="preserve"> sukurti dinamiką, skirtą atnaujinti Europos integracijos projektą ir plėtoti dalyvaujamąją demokratiją. Jie mano, kad Konferencijoje europiečiai turi būti dėmesio centre bei </w:t>
            </w:r>
            <w:r>
              <w:lastRenderedPageBreak/>
              <w:t>reikia užtikrinti, kad 27 ES valstybių narių piliečiai ir pilietinės visuomenės organizacijos dalyvautų diskusijose ir pasiektų konkrečių, matomų ir išmatuojamų rezultatų.</w:t>
            </w:r>
          </w:p>
          <w:p w:rsidR="00975673" w:rsidRPr="00983B86" w:rsidRDefault="00975673" w:rsidP="00975673">
            <w:pPr>
              <w:pStyle w:val="ListParagraph"/>
              <w:spacing w:after="240" w:line="360" w:lineRule="auto"/>
              <w:ind w:left="360"/>
              <w:rPr>
                <w:lang w:val="en-US"/>
              </w:rPr>
            </w:pPr>
          </w:p>
          <w:p w:rsidR="00975673" w:rsidRPr="003240E1" w:rsidRDefault="00975673" w:rsidP="00975673">
            <w:pPr>
              <w:pStyle w:val="ListParagraph"/>
              <w:spacing w:line="276" w:lineRule="auto"/>
              <w:ind w:left="360"/>
              <w:rPr>
                <w:spacing w:val="-2"/>
              </w:rPr>
            </w:pPr>
            <w:r>
              <w:t xml:space="preserve">Konferencija turi būti grindžiama </w:t>
            </w:r>
            <w:r>
              <w:rPr>
                <w:b/>
              </w:rPr>
              <w:t>skaidriu, principu „iš apačios į viršų“ pagrįstu procesu ir duoti apčiuopiamų rezultatų</w:t>
            </w:r>
            <w:r>
              <w:t xml:space="preserve">. Siekiant užtikrinti skaidrumą ir atskaitomybę, turi būti sukurta internetinė </w:t>
            </w:r>
            <w:r>
              <w:rPr>
                <w:b/>
              </w:rPr>
              <w:t>suvestinė</w:t>
            </w:r>
            <w:r>
              <w:t>, kuri informuotų piliečius apie tai, kaip ES institucijos vykdo jų prašymus, ar reformos priemonės kyla iš Konferencijos dėl Europos ateities, ir apie šių priemonių įgyvendinimo terminus. Jei dėl kai kurių idėjų nesiimama veiksmų, turi būti paaiškintos to priežastys.</w:t>
            </w:r>
          </w:p>
          <w:p w:rsidR="00975673" w:rsidRPr="0065623F" w:rsidRDefault="00975673" w:rsidP="00975673">
            <w:pPr>
              <w:pStyle w:val="ListParagraph"/>
              <w:spacing w:line="276" w:lineRule="auto"/>
              <w:ind w:left="360"/>
              <w:rPr>
                <w:lang w:val="en-US"/>
              </w:rPr>
            </w:pPr>
          </w:p>
          <w:p w:rsidR="00975673" w:rsidRP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EESRK ir nacionalinės ESRT dėl savo narių ir tinklų yra ypač gerai pasirengę palaikyti </w:t>
            </w:r>
            <w:r>
              <w:rPr>
                <w:rFonts w:ascii="Times New Roman" w:hAnsi="Times New Roman"/>
                <w:b/>
              </w:rPr>
              <w:t>ryšius su piliečiais</w:t>
            </w:r>
            <w:r>
              <w:rPr>
                <w:rFonts w:ascii="Times New Roman" w:hAnsi="Times New Roman"/>
              </w:rPr>
              <w:t xml:space="preserve"> ir atkreipti Konferencijos valdybos dėmesį į jų pasiūlymus. Dabar svarbu nuo bendros vizijos pereiti prie konkrečių Europos organizuotos pilietinės visuomenės veiksmų, nes tai yra raktas į pasitikėjimą ES ateitimi.</w:t>
            </w:r>
          </w:p>
        </w:tc>
      </w:tr>
    </w:tbl>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7366DC" w:rsidRPr="007D0E35" w:rsidRDefault="007366DC" w:rsidP="007366DC">
      <w:pPr>
        <w:pStyle w:val="ListParagraph"/>
        <w:numPr>
          <w:ilvl w:val="0"/>
          <w:numId w:val="1"/>
        </w:numPr>
        <w:spacing w:line="276" w:lineRule="auto"/>
        <w:rPr>
          <w:b/>
          <w:bCs/>
          <w:smallCaps/>
          <w:color w:val="000099"/>
          <w:u w:val="single"/>
        </w:rPr>
      </w:pPr>
      <w:r>
        <w:rPr>
          <w:b/>
          <w:smallCaps/>
          <w:color w:val="000099"/>
          <w:u w:val="single"/>
        </w:rPr>
        <w:t>Rytojaus Europa: EESRK ir nacionalinių ESRT vizija</w:t>
      </w:r>
    </w:p>
    <w:p w:rsidR="007366DC" w:rsidRPr="002645D0" w:rsidRDefault="007366DC"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Norint atgaivinti ekonomiką reikės panaikinti pandemijos padarinius, taip pat susitvarkyti su </w:t>
      </w:r>
      <w:r>
        <w:rPr>
          <w:rFonts w:ascii="Times New Roman" w:hAnsi="Times New Roman"/>
          <w:b/>
          <w:bCs/>
        </w:rPr>
        <w:t>sunkumais ir pokyčiais</w:t>
      </w:r>
      <w:r>
        <w:rPr>
          <w:rFonts w:ascii="Times New Roman" w:hAnsi="Times New Roman"/>
        </w:rPr>
        <w:t>, su kuriais susiduriame, pvz., dvejopa technologine ir žaliąja pertvarka, visuomenės senėjimu ir globalizacija.</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b/>
          <w:bCs/>
        </w:rPr>
      </w:pPr>
      <w:r>
        <w:rPr>
          <w:rFonts w:ascii="Times New Roman" w:hAnsi="Times New Roman"/>
        </w:rPr>
        <w:t xml:space="preserve">Negalime tiesiog atkurti prieškrizinės padėties: turime </w:t>
      </w:r>
      <w:r>
        <w:rPr>
          <w:rFonts w:ascii="Times New Roman" w:hAnsi="Times New Roman"/>
          <w:b/>
        </w:rPr>
        <w:t>judėti į priekį</w:t>
      </w:r>
      <w:r>
        <w:rPr>
          <w:rFonts w:ascii="Times New Roman" w:hAnsi="Times New Roman"/>
        </w:rPr>
        <w:t xml:space="preserve">, pertvarkyti ir tobulinti savo visuomenes. Mūsų pastangos turi būti nukreiptos į stipresnės Europos Sąjungos, kuri skatina </w:t>
      </w:r>
      <w:r>
        <w:rPr>
          <w:rFonts w:ascii="Times New Roman" w:hAnsi="Times New Roman"/>
          <w:b/>
          <w:bCs/>
        </w:rPr>
        <w:t>aukštynkryptę konvergenciją ir didesnę sanglaudą bei solidarumą</w:t>
      </w:r>
      <w:r>
        <w:rPr>
          <w:rFonts w:ascii="Times New Roman" w:hAnsi="Times New Roman"/>
        </w:rPr>
        <w:t xml:space="preserve">, kūrimą. Ši Europos vizija sujungia </w:t>
      </w:r>
      <w:r>
        <w:rPr>
          <w:rFonts w:ascii="Times New Roman" w:hAnsi="Times New Roman"/>
          <w:b/>
        </w:rPr>
        <w:t>tvarią gerovę, socialinį teisingumą, įtrauktį ir teisingą žaliąją ir skaitmeninę pertvarką, kartu skatinant pagarbą pagrindinėms teisėms ir teisinei valstybei.</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Todėl valstybės narės turėtų remti Europos ekonomikos ir visų dydžių bei tipų įmonių, ypač MVĮ ir socialinės ekonomikos, </w:t>
      </w:r>
      <w:r>
        <w:rPr>
          <w:rFonts w:ascii="Times New Roman" w:hAnsi="Times New Roman"/>
          <w:b/>
          <w:bCs/>
        </w:rPr>
        <w:t>konkurencingumą</w:t>
      </w:r>
      <w:r>
        <w:rPr>
          <w:rFonts w:ascii="Times New Roman" w:hAnsi="Times New Roman"/>
        </w:rPr>
        <w:t xml:space="preserve"> ir </w:t>
      </w:r>
      <w:r>
        <w:rPr>
          <w:rFonts w:ascii="Times New Roman" w:hAnsi="Times New Roman"/>
          <w:b/>
          <w:bCs/>
        </w:rPr>
        <w:t>verslumą</w:t>
      </w:r>
      <w:r>
        <w:rPr>
          <w:rFonts w:ascii="Times New Roman" w:hAnsi="Times New Roman"/>
        </w:rPr>
        <w:t>, kuris taip pat turėtų prisidėti prie kokybiškų darbo vietų kūrimo.</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Tuo pat metu Europai reikia </w:t>
      </w:r>
      <w:r>
        <w:rPr>
          <w:rFonts w:ascii="Times New Roman" w:hAnsi="Times New Roman"/>
          <w:b/>
        </w:rPr>
        <w:t>socialinio požiūrio, kuris nepaliktų nė vieno nuošalyje ir kovotų su skurdu</w:t>
      </w:r>
      <w:r>
        <w:rPr>
          <w:rFonts w:ascii="Times New Roman" w:hAnsi="Times New Roman"/>
        </w:rPr>
        <w:t>. Tam mums reikia didesnių infrastruktūros ir socialinių investicijų, įskaitant socialinę apsaugą ir inovacijų bei ateities įgūdžių rėmimą.</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Visų pirma turime </w:t>
      </w:r>
      <w:r>
        <w:rPr>
          <w:rFonts w:ascii="Times New Roman" w:hAnsi="Times New Roman"/>
          <w:b/>
        </w:rPr>
        <w:t>apsaugoti</w:t>
      </w:r>
      <w:r>
        <w:rPr>
          <w:rFonts w:ascii="Times New Roman" w:hAnsi="Times New Roman"/>
        </w:rPr>
        <w:t xml:space="preserve"> </w:t>
      </w:r>
      <w:r>
        <w:rPr>
          <w:rFonts w:ascii="Times New Roman" w:hAnsi="Times New Roman"/>
          <w:b/>
        </w:rPr>
        <w:t>pažeidžiamiausius mūsų visuomenės žmones</w:t>
      </w:r>
      <w:r>
        <w:rPr>
          <w:rFonts w:ascii="Times New Roman" w:hAnsi="Times New Roman"/>
        </w:rPr>
        <w:t>, kurie ypač nukentėjo nuo koronaviruso krizės (pavyzdžiui, neįgaliuosius ir migrantus ar etnines mažumas). Laikantis kartų lygybės, ypatingas dėmesys turėtų būti skiriamas jauniems žmonėms, kurie nusipelno šviesesnės ateities. EESRK ir nacionalinės ESRT džiaugiasi, kad Konferencijoje dėl Europos ateities skiriamas dėmesys jaunimu bei tuo, kad 2022 m. paskelbti Europos jaunimo metais.</w:t>
      </w:r>
    </w:p>
    <w:p w:rsidR="00EA79B5" w:rsidRPr="002645D0" w:rsidRDefault="00EA79B5" w:rsidP="00EA79B5">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color w:val="424242"/>
          <w:shd w:val="clear" w:color="auto" w:fill="FFFFFF"/>
        </w:rPr>
      </w:pPr>
      <w:r>
        <w:rPr>
          <w:rFonts w:ascii="Times New Roman" w:hAnsi="Times New Roman"/>
          <w:color w:val="424242"/>
          <w:shd w:val="clear" w:color="auto" w:fill="FFFFFF"/>
        </w:rPr>
        <w:t xml:space="preserve">Bus labai svarbu stiprinti valstybių narių </w:t>
      </w:r>
      <w:r>
        <w:rPr>
          <w:rFonts w:ascii="Times New Roman" w:hAnsi="Times New Roman"/>
          <w:b/>
          <w:color w:val="424242"/>
          <w:shd w:val="clear" w:color="auto" w:fill="FFFFFF"/>
        </w:rPr>
        <w:t>sveikatos sistemas</w:t>
      </w:r>
      <w:r>
        <w:rPr>
          <w:rFonts w:ascii="Times New Roman" w:hAnsi="Times New Roman"/>
          <w:color w:val="424242"/>
          <w:shd w:val="clear" w:color="auto" w:fill="FFFFFF"/>
        </w:rPr>
        <w:t xml:space="preserve">, toliau gerinti sveikatos koordinavimą visoje ES ir veiksmingiau užkirsti kelią tarpvalstybinėms grėsmėms sveikatai. ES turėtų parodyti ambicijų Europos sveikatos sąjungos ir Europos pasirengimo ekstremalioms sveikatos situacijoms ir reagavimo į jas instrukcijos (HERA) atžvilgiu. </w:t>
      </w:r>
    </w:p>
    <w:p w:rsidR="00456709" w:rsidRPr="001216E0" w:rsidRDefault="00456709" w:rsidP="00456709">
      <w:pPr>
        <w:spacing w:after="0" w:line="276" w:lineRule="auto"/>
        <w:jc w:val="both"/>
        <w:rPr>
          <w:rFonts w:ascii="Times New Roman" w:hAnsi="Times New Roman" w:cs="Times New Roman"/>
        </w:rPr>
      </w:pPr>
    </w:p>
    <w:p w:rsidR="00456709" w:rsidRPr="001216E0" w:rsidRDefault="00456709" w:rsidP="00456709">
      <w:pPr>
        <w:spacing w:after="0" w:line="276" w:lineRule="auto"/>
        <w:jc w:val="both"/>
        <w:rPr>
          <w:rFonts w:ascii="Times New Roman" w:hAnsi="Times New Roman" w:cs="Times New Roman"/>
        </w:rPr>
      </w:pPr>
      <w:r>
        <w:rPr>
          <w:rFonts w:ascii="Times New Roman" w:hAnsi="Times New Roman"/>
        </w:rPr>
        <w:t>EESRK ir nacionalinės ESRT taip pat pakartoja, kad reikia skubiai imtis veiksmų sprendžiant klimato krizę, kurią sukėlė žmogaus veikla ir kuri neabejotinai veikia visus planetos žemės, oro ir jūros kampelius, siekiant nulinio grynojo anglies dioksido kiekio iki 2050 m. Gerovės ekonomika turėtų apsaugoti ekosistemas, išsaugoti biologinę įvairovę, užtikrinti teisingą perėjimą prie neutralaus poveikio klimatui gyvenimo būdo visoje ES ir skatinti tvarų verslumą.</w:t>
      </w:r>
    </w:p>
    <w:p w:rsidR="00456709" w:rsidRPr="001216E0" w:rsidRDefault="00456709" w:rsidP="00456709">
      <w:pPr>
        <w:spacing w:after="0" w:line="276" w:lineRule="auto"/>
        <w:jc w:val="both"/>
        <w:rPr>
          <w:rFonts w:ascii="Times New Roman" w:hAnsi="Times New Roman" w:cs="Times New Roman"/>
        </w:rPr>
      </w:pPr>
    </w:p>
    <w:p w:rsidR="00456709" w:rsidRPr="002645D0" w:rsidRDefault="00456709" w:rsidP="00EA79B5">
      <w:pPr>
        <w:spacing w:after="0" w:line="276" w:lineRule="auto"/>
        <w:jc w:val="both"/>
        <w:rPr>
          <w:rFonts w:ascii="Times New Roman" w:hAnsi="Times New Roman" w:cs="Times New Roman"/>
        </w:rPr>
      </w:pPr>
      <w:r>
        <w:rPr>
          <w:rFonts w:ascii="Times New Roman" w:hAnsi="Times New Roman"/>
        </w:rPr>
        <w:t xml:space="preserve">Galiausiai, Europos Sąjunga turi ginti </w:t>
      </w:r>
      <w:r>
        <w:rPr>
          <w:rFonts w:ascii="Times New Roman" w:hAnsi="Times New Roman"/>
          <w:b/>
        </w:rPr>
        <w:t>lyčių lygybę, įvairovę, taiką, pagrindines teises, teisinę valstybę, demokratiją, socialinį dialogą ir įtraukų valdymą</w:t>
      </w:r>
      <w:r>
        <w:rPr>
          <w:rFonts w:ascii="Times New Roman" w:hAnsi="Times New Roman"/>
        </w:rPr>
        <w:t>.</w:t>
      </w:r>
    </w:p>
    <w:p w:rsidR="007D0E35" w:rsidRPr="002645D0" w:rsidRDefault="007D0E35" w:rsidP="00EA79B5">
      <w:pPr>
        <w:spacing w:after="0" w:line="276" w:lineRule="auto"/>
        <w:rPr>
          <w:rFonts w:ascii="Times New Roman" w:hAnsi="Times New Roman" w:cs="Times New Roman"/>
          <w:lang w:val="en-US"/>
        </w:rPr>
      </w:pPr>
    </w:p>
    <w:p w:rsidR="00EA79B5" w:rsidRPr="007D0E35" w:rsidRDefault="00456709" w:rsidP="00CA21FC">
      <w:pPr>
        <w:pStyle w:val="ListParagraph"/>
        <w:numPr>
          <w:ilvl w:val="0"/>
          <w:numId w:val="1"/>
        </w:numPr>
        <w:spacing w:line="276" w:lineRule="auto"/>
        <w:rPr>
          <w:b/>
          <w:bCs/>
          <w:smallCaps/>
          <w:color w:val="000099"/>
          <w:u w:val="single"/>
        </w:rPr>
      </w:pPr>
      <w:r>
        <w:rPr>
          <w:b/>
          <w:smallCaps/>
          <w:color w:val="000099"/>
          <w:u w:val="single"/>
        </w:rPr>
        <w:t xml:space="preserve">Siekdami bendros vizijos remiamės savo privalumais </w:t>
      </w:r>
    </w:p>
    <w:p w:rsidR="00456709" w:rsidRPr="002645D0" w:rsidRDefault="00456709" w:rsidP="00456709">
      <w:pPr>
        <w:pStyle w:val="ListParagraph"/>
        <w:spacing w:line="276" w:lineRule="auto"/>
        <w:ind w:left="360"/>
        <w:rPr>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Kaip paaiškėjo patvirtinus naują ekonomikos gaivinimo priemonę „NextGenerationEU“, Europos Sąjunga gali remtis </w:t>
      </w:r>
      <w:r>
        <w:rPr>
          <w:rFonts w:ascii="Times New Roman" w:hAnsi="Times New Roman"/>
          <w:b/>
        </w:rPr>
        <w:t>svarbiais privalumais</w:t>
      </w:r>
      <w:r>
        <w:rPr>
          <w:rFonts w:ascii="Times New Roman" w:hAnsi="Times New Roman"/>
        </w:rPr>
        <w:t xml:space="preserve">, pavyzdžiui, </w:t>
      </w:r>
      <w:r>
        <w:rPr>
          <w:rFonts w:ascii="Times New Roman" w:hAnsi="Times New Roman"/>
          <w:b/>
          <w:bCs/>
        </w:rPr>
        <w:t>didele vidaus rinka, tvirta pramonine baze ir precedento neturinčiu solidarumu</w:t>
      </w:r>
      <w:r>
        <w:rPr>
          <w:rFonts w:ascii="Times New Roman" w:hAnsi="Times New Roman"/>
        </w:rPr>
        <w:t xml:space="preserve">. </w:t>
      </w:r>
    </w:p>
    <w:p w:rsidR="00456709" w:rsidRPr="002645D0" w:rsidRDefault="00456709" w:rsidP="00456709">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Siekdama apsaugoti savo </w:t>
      </w:r>
      <w:r>
        <w:rPr>
          <w:rFonts w:ascii="Times New Roman" w:hAnsi="Times New Roman"/>
          <w:b/>
        </w:rPr>
        <w:t>vertybes, pagarbą pagrindinėms teisėms ir teisinei valstybei</w:t>
      </w:r>
      <w:r>
        <w:rPr>
          <w:rFonts w:ascii="Times New Roman" w:hAnsi="Times New Roman"/>
        </w:rPr>
        <w:t xml:space="preserve"> bei ginti savo prioritetus, Europos Sąjunga taip pat turi turėti </w:t>
      </w:r>
      <w:r>
        <w:rPr>
          <w:rFonts w:ascii="Times New Roman" w:hAnsi="Times New Roman"/>
          <w:b/>
          <w:bCs/>
        </w:rPr>
        <w:t>teigiamą vaidmenį tarptautinėje ekonomikos arenoje</w:t>
      </w:r>
      <w:r>
        <w:rPr>
          <w:rFonts w:ascii="Times New Roman" w:hAnsi="Times New Roman"/>
        </w:rPr>
        <w:t>. Ji turi pasiekti tam tikrą atviros strateginės autonomijos laipsnį ir pagerinti savo pasirengimą krizėms bei krizių valdymo pajėgumus.</w:t>
      </w:r>
    </w:p>
    <w:p w:rsidR="002645D0" w:rsidRPr="002645D0" w:rsidRDefault="002645D0" w:rsidP="00456709">
      <w:pPr>
        <w:spacing w:after="0" w:line="276" w:lineRule="auto"/>
        <w:jc w:val="both"/>
        <w:rPr>
          <w:rFonts w:ascii="Times New Roman" w:hAnsi="Times New Roman" w:cs="Times New Roman"/>
          <w:b/>
          <w:bCs/>
          <w:lang w:val="en-US"/>
        </w:rPr>
      </w:pPr>
    </w:p>
    <w:p w:rsidR="00456709" w:rsidRPr="002645D0" w:rsidRDefault="005713DF" w:rsidP="00456709">
      <w:pPr>
        <w:spacing w:after="0" w:line="276" w:lineRule="auto"/>
        <w:jc w:val="both"/>
        <w:rPr>
          <w:rFonts w:ascii="Times New Roman" w:hAnsi="Times New Roman" w:cs="Times New Roman"/>
        </w:rPr>
      </w:pPr>
      <w:r>
        <w:rPr>
          <w:rFonts w:ascii="Times New Roman" w:hAnsi="Times New Roman"/>
          <w:b/>
          <w:bCs/>
        </w:rPr>
        <w:t>Europos žaliasis kursas</w:t>
      </w:r>
      <w:r>
        <w:rPr>
          <w:rFonts w:ascii="Times New Roman" w:hAnsi="Times New Roman"/>
        </w:rPr>
        <w:t xml:space="preserve"> yra nauja Europos augimo strategija, kurios pagrindas – gerovė, tvarumas ir socialinis teisingumas.  Jo tikslas – paversti ES modernia, tausiai išteklius naudojančia ir konkurencinga ekonomika, užtikrinančia grynojo išmetamo šiltnamio efektą sukeliančių dujų kiekio sustabdymą iki 2050 m. ir ekonominį augimą, atsietą nuo išteklių naudojimo, kur niekas nepaliekamas nuošalyje.</w:t>
      </w:r>
    </w:p>
    <w:p w:rsidR="00456709" w:rsidRPr="002645D0" w:rsidRDefault="00456709" w:rsidP="00456709">
      <w:pPr>
        <w:spacing w:after="0" w:line="276" w:lineRule="auto"/>
        <w:jc w:val="both"/>
        <w:rPr>
          <w:rFonts w:ascii="Times New Roman" w:hAnsi="Times New Roman" w:cs="Times New Roman"/>
          <w:lang w:val="en-US"/>
        </w:rPr>
      </w:pPr>
    </w:p>
    <w:p w:rsidR="00456709" w:rsidRDefault="00456709" w:rsidP="00456709">
      <w:pPr>
        <w:spacing w:after="0" w:line="276" w:lineRule="auto"/>
        <w:jc w:val="both"/>
        <w:rPr>
          <w:rFonts w:ascii="Times New Roman" w:hAnsi="Times New Roman" w:cs="Times New Roman"/>
        </w:rPr>
      </w:pPr>
      <w:r>
        <w:rPr>
          <w:rFonts w:ascii="Times New Roman" w:hAnsi="Times New Roman"/>
        </w:rPr>
        <w:t>Teisingas perėjimas prie neutralaus poveikio klimatui gyvenimo būdo, kokybiškų darbo vietų skatinimas ir tvaraus verslumo bei inovacijų, įskaitant žiedinę ekonomiką ir socialinę ekonomiką, skatinimas bus itin svarbūs klestinčiai Europai.</w:t>
      </w:r>
    </w:p>
    <w:p w:rsidR="000F43E2" w:rsidRPr="002645D0" w:rsidRDefault="000F43E2" w:rsidP="005C5031">
      <w:pPr>
        <w:spacing w:after="0" w:line="276" w:lineRule="auto"/>
        <w:jc w:val="both"/>
        <w:rPr>
          <w:rFonts w:ascii="Times New Roman" w:hAnsi="Times New Roman" w:cs="Times New Roman"/>
          <w:lang w:val="en-US"/>
        </w:rPr>
      </w:pPr>
    </w:p>
    <w:p w:rsidR="001E6FD9" w:rsidRPr="002645D0" w:rsidRDefault="001E6FD9" w:rsidP="005C5031">
      <w:pPr>
        <w:spacing w:after="0" w:line="276" w:lineRule="auto"/>
        <w:jc w:val="both"/>
        <w:rPr>
          <w:rFonts w:ascii="Times New Roman" w:hAnsi="Times New Roman" w:cs="Times New Roman"/>
        </w:rPr>
      </w:pPr>
      <w:r>
        <w:rPr>
          <w:rFonts w:ascii="Times New Roman" w:hAnsi="Times New Roman"/>
        </w:rPr>
        <w:t xml:space="preserve">Kitas didelis uždavinys – sėkmingai užbaigta </w:t>
      </w:r>
      <w:r>
        <w:rPr>
          <w:rFonts w:ascii="Times New Roman" w:hAnsi="Times New Roman"/>
          <w:b/>
        </w:rPr>
        <w:t>skaitmeninė pertvarka</w:t>
      </w:r>
      <w:r>
        <w:rPr>
          <w:rFonts w:ascii="Times New Roman" w:hAnsi="Times New Roman"/>
        </w:rPr>
        <w:t>. Tai yra žmonių ir įmonių įgalinimas skatinti į žmones orientuotą, tvarią ir labiau klestinčią skaitmeninę ateitį. ES skaitmenine darbotvarke siekiama užtikrinti, kad šis pokytis būtų naudingas visiems – piliečiams ir įmonėms, tuo pačiu padedant ES pasiekti poveikio klimatui neutralumą iki 2050 m.</w:t>
      </w:r>
    </w:p>
    <w:p w:rsidR="000F43E2" w:rsidRPr="002645D0" w:rsidRDefault="000F43E2" w:rsidP="005C5031">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Galiausiai, </w:t>
      </w:r>
      <w:r>
        <w:rPr>
          <w:rFonts w:ascii="Times New Roman" w:hAnsi="Times New Roman"/>
          <w:b/>
        </w:rPr>
        <w:t>didžiausias mūsų Sąjungos turtas yra jos piliečiai ir Europos pilietinė visuomenė</w:t>
      </w:r>
      <w:r>
        <w:rPr>
          <w:rFonts w:ascii="Times New Roman" w:hAnsi="Times New Roman"/>
        </w:rPr>
        <w:t>.</w:t>
      </w:r>
      <w:r>
        <w:rPr>
          <w:rFonts w:ascii="Times New Roman" w:hAnsi="Times New Roman"/>
          <w:b/>
        </w:rPr>
        <w:t xml:space="preserve"> </w:t>
      </w:r>
      <w:r>
        <w:rPr>
          <w:rFonts w:ascii="Times New Roman" w:hAnsi="Times New Roman"/>
        </w:rPr>
        <w:t xml:space="preserve">Vykdant veiksmingą pilietinį ir socialinį dialogą, jie turi būti politikos centre ir turi turėti galimybę prisitaikyti prie pokyčių, būtinų vykstant dvejopiems perėjimams.  Dvidešimt pagrindinių socialinių teisių chartijos principų yra švyturys, vedantis mus link socialinės Europos, kuri yra įtrauki ir kupina galimybių. </w:t>
      </w:r>
    </w:p>
    <w:p w:rsidR="00066B82" w:rsidRPr="002645D0" w:rsidRDefault="00066B82" w:rsidP="00066B82">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EESRK ir nacionalinės ESRT palankiai vertina tai, kad 2022 m. bus </w:t>
      </w:r>
      <w:r>
        <w:rPr>
          <w:rFonts w:ascii="Times New Roman" w:hAnsi="Times New Roman"/>
          <w:b/>
        </w:rPr>
        <w:t>Europos jaunimo metai</w:t>
      </w:r>
      <w:r>
        <w:rPr>
          <w:rFonts w:ascii="Times New Roman" w:hAnsi="Times New Roman"/>
        </w:rPr>
        <w:t>. Pandemija labiausiai paveikė jaunus žmones, išaugo jų nedarbo ir neveiklumo lygis. EESRK ir nacionalinės ESRT ragina imtis priemonių, kurios būtų sutelktos į aktyvią darbo rinkos politiką, švietimą bei įgūdžius. Kartų solidarumas taip pat labai svarbus – tai pagrindinis veiksnys, padedantis jauniems žmonėms, tuo pačiu vertinant vyresnio amžiaus žmones.</w:t>
      </w:r>
    </w:p>
    <w:p w:rsidR="00066B82" w:rsidRPr="002645D0" w:rsidRDefault="00066B82" w:rsidP="00EA79B5">
      <w:pPr>
        <w:spacing w:after="0" w:line="276" w:lineRule="auto"/>
        <w:jc w:val="both"/>
        <w:rPr>
          <w:rFonts w:ascii="Times New Roman" w:hAnsi="Times New Roman" w:cs="Times New Roman"/>
          <w:b/>
          <w:bCs/>
          <w:lang w:val="en-US"/>
        </w:rPr>
      </w:pPr>
    </w:p>
    <w:p w:rsidR="00EA79B5" w:rsidRPr="008C12CB" w:rsidRDefault="00066B82" w:rsidP="00EA79B5">
      <w:pPr>
        <w:spacing w:after="0" w:line="276" w:lineRule="auto"/>
        <w:jc w:val="both"/>
        <w:rPr>
          <w:rFonts w:ascii="Times New Roman" w:hAnsi="Times New Roman" w:cs="Times New Roman"/>
          <w:b/>
          <w:bCs/>
        </w:rPr>
      </w:pPr>
      <w:r>
        <w:rPr>
          <w:rFonts w:ascii="Times New Roman" w:hAnsi="Times New Roman"/>
          <w:b/>
        </w:rPr>
        <w:lastRenderedPageBreak/>
        <w:t>Priemonė „NextGenerationEU“ ir nacionaliniai ekonomikos gaivinimo ir atsparumo didinimo planai</w:t>
      </w:r>
    </w:p>
    <w:p w:rsidR="00EA79B5" w:rsidRPr="002645D0" w:rsidRDefault="00EA79B5" w:rsidP="00EA79B5">
      <w:pPr>
        <w:spacing w:after="0" w:line="276" w:lineRule="auto"/>
        <w:jc w:val="both"/>
        <w:rPr>
          <w:rFonts w:ascii="Times New Roman" w:hAnsi="Times New Roman" w:cs="Times New Roman"/>
          <w:b/>
          <w:bCs/>
          <w:u w:val="single"/>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ES turi išlaikyti teigiamą istorinį postūmį, sukurtą patvirtinus priemonę „NextGenerationEU“ – laikiną, daugiau nei 800 mlrd. EUR vertės ekonomikos gavinimo priemonę, skirtą padėti atitaisyti tiesioginę ekonominę ir socialinę COVID-19 pandemijos sukeltą žalą.</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Ekonomikos gaivinimo ir atsparumo didinimo priemone, kuri yra pagrindinė priemonės „NextGenerationEU“ dalis, remiamos ES šalių vykdomos reformos ir investicijos. Jų tikslas – padaryti Europą žalesnę, labiau skaitmeninę, atsparesnę ir geriau prisitaikiusią prie dabartinių bei būsimų iššūkių.</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Ekonomikos gaivinimo ir atsparumo didinimo priemonės reglamente pabrėžiama būtinybė rengiant ir įgyvendinant nacionalinius ekonomikos gaivinimo planus konsultuotis su pilietinės visuomenės organizacijomis ir socialiniais partneriais. Tačiau matoma, kad iki šiol tai nebuvo daroma</w:t>
      </w:r>
      <w:r>
        <w:rPr>
          <w:rStyle w:val="FootnoteReference"/>
          <w:rFonts w:ascii="Times New Roman" w:hAnsi="Times New Roman" w:cs="Times New Roman"/>
          <w:lang w:val="fr-BE"/>
        </w:rPr>
        <w:footnoteReference w:id="1"/>
      </w:r>
      <w:r>
        <w:rPr>
          <w:rFonts w:ascii="Times New Roman" w:hAnsi="Times New Roman"/>
        </w:rPr>
        <w:t xml:space="preserve">. EESRK ir nacionalinės ESRT mano, kad daugumoje valstybių narių konsultacijos toli gražu nepatenkinamos, atsižvelgiant į pagrįstus pilietinės visuomenės reikalavimus. Todėl jie ragina </w:t>
      </w:r>
      <w:r>
        <w:rPr>
          <w:rFonts w:ascii="Times New Roman" w:hAnsi="Times New Roman"/>
          <w:b/>
        </w:rPr>
        <w:t>daug konkrečiau įtraukti organizuotą pilietinę visuomenę</w:t>
      </w:r>
      <w:r>
        <w:rPr>
          <w:rFonts w:ascii="Times New Roman" w:hAnsi="Times New Roman"/>
        </w:rPr>
        <w:t xml:space="preserve"> į nacionalinių planų įgyvendinimo ir vertinimo etapą, taikant formalesnes procedūras, kurios palengvintų tikrus mainus.</w:t>
      </w:r>
    </w:p>
    <w:p w:rsidR="007D0E35" w:rsidRPr="002645D0" w:rsidRDefault="007D0E35" w:rsidP="00EA79B5">
      <w:pPr>
        <w:spacing w:after="0" w:line="276" w:lineRule="auto"/>
        <w:jc w:val="both"/>
        <w:rPr>
          <w:rFonts w:ascii="Times New Roman" w:hAnsi="Times New Roman" w:cs="Times New Roman"/>
          <w:lang w:val="en-US"/>
        </w:rPr>
      </w:pPr>
    </w:p>
    <w:p w:rsidR="00EA79B5"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Organizuotos pilietinės visuomenės balsas: esminis elementas kuriant mūsų bendrąateitį</w:t>
      </w:r>
    </w:p>
    <w:p w:rsidR="00EA79B5" w:rsidRPr="002645D0" w:rsidRDefault="00EA79B5" w:rsidP="00EA79B5">
      <w:pPr>
        <w:spacing w:after="0" w:line="276" w:lineRule="auto"/>
        <w:jc w:val="both"/>
        <w:rPr>
          <w:rFonts w:ascii="Times New Roman" w:hAnsi="Times New Roman" w:cs="Times New Roman"/>
          <w:bCs/>
          <w:lang w:val="en-US"/>
        </w:rPr>
      </w:pPr>
    </w:p>
    <w:p w:rsidR="00911EF8" w:rsidRPr="002645D0" w:rsidRDefault="00911EF8" w:rsidP="00EA79B5">
      <w:pPr>
        <w:spacing w:after="0" w:line="276" w:lineRule="auto"/>
        <w:jc w:val="both"/>
        <w:rPr>
          <w:rFonts w:ascii="Times New Roman" w:hAnsi="Times New Roman" w:cs="Times New Roman"/>
        </w:rPr>
      </w:pPr>
      <w:r>
        <w:rPr>
          <w:rFonts w:ascii="Times New Roman" w:hAnsi="Times New Roman"/>
        </w:rPr>
        <w:t>Nuo COVID-19 krizės pradžios darbdavių organizacijos, profesinės sąjungos ir kitos pilietinės visuomenės organizacijos atliko svarbią funkciją švelninant krizės padarinius. Yra daugybė Europos pilietinės visuomenės veiksmų pavyzdžių, liudijančių jos struktūrų svarbą. Jų veikla COVID-19 krizės piko metu labai prisidėjo prie mūsų visuomenių sanglaudos ir stabilumo palaikymo.</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b/>
          <w:bCs/>
        </w:rPr>
      </w:pPr>
      <w:r>
        <w:rPr>
          <w:rFonts w:ascii="Times New Roman" w:hAnsi="Times New Roman"/>
        </w:rPr>
        <w:t xml:space="preserve">Šiuo metu, kai Europos Sąjungą reikia atstatyti ir parengti ateičiai, </w:t>
      </w:r>
      <w:r>
        <w:rPr>
          <w:rFonts w:ascii="Times New Roman" w:hAnsi="Times New Roman"/>
          <w:b/>
          <w:bCs/>
        </w:rPr>
        <w:t>socialiniai partneriai ir</w:t>
      </w:r>
      <w:r>
        <w:rPr>
          <w:rFonts w:ascii="Times New Roman" w:hAnsi="Times New Roman"/>
        </w:rPr>
        <w:t xml:space="preserve"> </w:t>
      </w:r>
      <w:r>
        <w:rPr>
          <w:rFonts w:ascii="Times New Roman" w:hAnsi="Times New Roman"/>
          <w:b/>
          <w:bCs/>
        </w:rPr>
        <w:t>pilietinės visuomenės organizacijos, taip pat EESRK ir valstybių narių ESRT yra pagrindiniai veikėjai.</w:t>
      </w:r>
    </w:p>
    <w:p w:rsidR="00911EF8" w:rsidRPr="002645D0" w:rsidRDefault="00911EF8" w:rsidP="00911EF8">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Europos atsinaujinimas ir socialinis bei ekonominis atstatymas reikalauja realaus ir konkretaus visų visuomenės elementų įsitraukimo, ypač į reformų kūrimo, įgyvendinimo ir vertinimo procesus.</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rPr>
          <w:rFonts w:ascii="Times New Roman" w:hAnsi="Times New Roman" w:cs="Times New Roman"/>
        </w:rPr>
      </w:pPr>
      <w:r>
        <w:rPr>
          <w:rFonts w:ascii="Times New Roman" w:hAnsi="Times New Roman"/>
        </w:rPr>
        <w:t xml:space="preserve">EESRK ir valstybių narių ESRT puikiai išmano šią sritį ir yra unikalūs nuolatiniai pilietinio dialogo forumai, kurie gali pasiūlyti įvairių suinteresuotųjų šalių </w:t>
      </w:r>
      <w:r>
        <w:rPr>
          <w:rFonts w:ascii="Times New Roman" w:hAnsi="Times New Roman"/>
          <w:b/>
          <w:bCs/>
        </w:rPr>
        <w:t>sutarimu pagrįstus sprendimus</w:t>
      </w:r>
      <w:r>
        <w:rPr>
          <w:rFonts w:ascii="Times New Roman" w:hAnsi="Times New Roman"/>
        </w:rPr>
        <w:t xml:space="preserve">. Dėl savo kūrybiškumo ir gebėjimo numatyti, jie gali sukurti atsakus, pritaikytus XXI a. iššūkiams ir atkūrimo procese turi turėti pagrindinę funkciją. </w:t>
      </w:r>
    </w:p>
    <w:p w:rsidR="00911EF8" w:rsidRPr="002645D0" w:rsidRDefault="00911EF8" w:rsidP="00911EF8">
      <w:pPr>
        <w:spacing w:after="0" w:line="276" w:lineRule="auto"/>
        <w:rPr>
          <w:rFonts w:ascii="Times New Roman" w:hAnsi="Times New Roman" w:cs="Times New Roman"/>
          <w:lang w:val="en-US"/>
        </w:rPr>
      </w:pPr>
    </w:p>
    <w:p w:rsidR="00911EF8" w:rsidRPr="002645D0" w:rsidRDefault="00911EF8" w:rsidP="00911EF8">
      <w:pPr>
        <w:spacing w:after="0" w:line="276" w:lineRule="auto"/>
        <w:rPr>
          <w:rFonts w:ascii="Times New Roman" w:hAnsi="Times New Roman" w:cs="Times New Roman"/>
        </w:rPr>
      </w:pPr>
      <w:r>
        <w:rPr>
          <w:rFonts w:ascii="Times New Roman" w:hAnsi="Times New Roman"/>
        </w:rPr>
        <w:t>EESRK, bendradarbiaudamas su nacionalinių ESRT tinklu, turi išskirtinę progą dalytis geriausia valstybių narių patirtimi ir geriausiais reformų sprendimais su Europos institucijomis.</w:t>
      </w:r>
    </w:p>
    <w:p w:rsidR="000F43E2" w:rsidRPr="002645D0" w:rsidRDefault="000F43E2" w:rsidP="00EA79B5">
      <w:pPr>
        <w:spacing w:after="0" w:line="276" w:lineRule="auto"/>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EESRK ir ES valstybių narių ESRT dar kartą patvirtina savo </w:t>
      </w:r>
      <w:r>
        <w:rPr>
          <w:rFonts w:ascii="Times New Roman" w:hAnsi="Times New Roman"/>
          <w:b/>
          <w:bCs/>
        </w:rPr>
        <w:t>norą aktyviai dalyvauti dabartinių reformų kūrimo, formulavimo ir įgyvendinimo procesuose</w:t>
      </w:r>
      <w:r>
        <w:rPr>
          <w:rFonts w:ascii="Times New Roman" w:hAnsi="Times New Roman"/>
        </w:rPr>
        <w:t>, kad politika visiškai atitiktų piliečių poreikius ir lūkesčius, ir sukurti didesnį bendros nuosavybės pojūtį.</w:t>
      </w:r>
    </w:p>
    <w:p w:rsidR="00911EF8" w:rsidRPr="002645D0" w:rsidRDefault="00911EF8" w:rsidP="00911EF8">
      <w:pPr>
        <w:spacing w:after="0" w:line="276" w:lineRule="auto"/>
        <w:jc w:val="both"/>
        <w:rPr>
          <w:rFonts w:ascii="Times New Roman" w:hAnsi="Times New Roman" w:cs="Times New Roman"/>
          <w:lang w:val="en-US"/>
        </w:rPr>
      </w:pPr>
    </w:p>
    <w:p w:rsidR="00911EF8" w:rsidRDefault="00911EF8" w:rsidP="00911EF8">
      <w:pPr>
        <w:spacing w:after="0" w:line="276" w:lineRule="auto"/>
        <w:jc w:val="both"/>
        <w:rPr>
          <w:rFonts w:ascii="Times New Roman" w:hAnsi="Times New Roman" w:cs="Times New Roman"/>
        </w:rPr>
      </w:pPr>
      <w:r>
        <w:rPr>
          <w:rFonts w:ascii="Times New Roman" w:hAnsi="Times New Roman"/>
        </w:rPr>
        <w:lastRenderedPageBreak/>
        <w:t xml:space="preserve">EESRK ir ESRT primena, kad būtina įgyvendinti </w:t>
      </w:r>
      <w:r>
        <w:rPr>
          <w:rFonts w:ascii="Times New Roman" w:hAnsi="Times New Roman"/>
          <w:b/>
          <w:bCs/>
        </w:rPr>
        <w:t>Europos Sąjungos sutarties 11 straipsnį</w:t>
      </w:r>
      <w:r>
        <w:rPr>
          <w:rFonts w:ascii="Times New Roman" w:hAnsi="Times New Roman"/>
        </w:rPr>
        <w:t>, kuriame, atsižvelgiant į nuostatas dėl demokratijos principų, teigiama, kad „institucijos palaiko atvirą, skaidrų ir nuolatinį dialogą su atstovaujamosiomis asociacijomis ir pilietine visuomene“.</w:t>
      </w:r>
    </w:p>
    <w:p w:rsidR="007366DC" w:rsidRPr="002645D0" w:rsidRDefault="007366DC" w:rsidP="00911EF8">
      <w:pPr>
        <w:spacing w:after="0" w:line="276" w:lineRule="auto"/>
        <w:jc w:val="both"/>
        <w:rPr>
          <w:rFonts w:ascii="Times New Roman" w:hAnsi="Times New Roman" w:cs="Times New Roman"/>
          <w:lang w:val="en-US"/>
        </w:rPr>
      </w:pPr>
    </w:p>
    <w:p w:rsidR="00EA79B5" w:rsidRPr="002645D0" w:rsidRDefault="00911EF8" w:rsidP="00911EF8">
      <w:pPr>
        <w:spacing w:after="0" w:line="276" w:lineRule="auto"/>
        <w:jc w:val="both"/>
        <w:rPr>
          <w:rFonts w:ascii="Times New Roman" w:hAnsi="Times New Roman" w:cs="Times New Roman"/>
        </w:rPr>
      </w:pPr>
      <w:r>
        <w:rPr>
          <w:rFonts w:ascii="Times New Roman" w:hAnsi="Times New Roman"/>
        </w:rPr>
        <w:t>Jie ketina ir toliau pasišvęsti šiam esminiam iššūkiui, žinodami, kad dalyvaujamajai demokratijai reikia tarpinių įstaigų, kurios įtrauktų piliečius ir skatintų juos reikšti savo nuomonę visose pilietinėse erdvėse.</w:t>
      </w:r>
    </w:p>
    <w:p w:rsidR="00EA79B5" w:rsidRPr="002645D0" w:rsidRDefault="00EA79B5" w:rsidP="00EA79B5">
      <w:pPr>
        <w:spacing w:after="0" w:line="276" w:lineRule="auto"/>
        <w:jc w:val="both"/>
        <w:rPr>
          <w:rFonts w:ascii="Times New Roman" w:hAnsi="Times New Roman" w:cs="Times New Roman"/>
          <w:lang w:val="en-US"/>
        </w:rPr>
      </w:pPr>
    </w:p>
    <w:p w:rsidR="002854C4" w:rsidRDefault="00911EF8" w:rsidP="00EA79B5">
      <w:pPr>
        <w:spacing w:after="0" w:line="276" w:lineRule="auto"/>
        <w:jc w:val="both"/>
        <w:rPr>
          <w:rFonts w:ascii="Times New Roman" w:hAnsi="Times New Roman" w:cs="Times New Roman"/>
        </w:rPr>
      </w:pPr>
      <w:r>
        <w:rPr>
          <w:rFonts w:ascii="Times New Roman" w:hAnsi="Times New Roman"/>
        </w:rPr>
        <w:t>Būtina, kad Europos Sąjunga remtų pagrindinį socialinių partnerių ir pilietinės visuomenės organizacijų vaidmenį propaguojant ir ginant mūsų Europos socialines ir ekonomines vertybes, demokratiją, pagrindines teises ir teisinę valstybę, kovojant su pilietinės erdvės nykimu. Tai Europos projekto esmė.</w:t>
      </w:r>
    </w:p>
    <w:p w:rsidR="00C616D4" w:rsidRDefault="00C616D4" w:rsidP="00EA79B5">
      <w:pPr>
        <w:spacing w:after="0" w:line="276" w:lineRule="auto"/>
        <w:jc w:val="both"/>
        <w:rPr>
          <w:rFonts w:ascii="Times New Roman" w:hAnsi="Times New Roman" w:cs="Times New Roman"/>
          <w:lang w:val="fr-BE"/>
        </w:rPr>
      </w:pPr>
    </w:p>
    <w:p w:rsidR="005C5031"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Konferencija dėl Europos ateities – galimybė sukurti geresnę ateitį visiems</w:t>
      </w:r>
    </w:p>
    <w:p w:rsidR="005C5031" w:rsidRPr="002645D0" w:rsidRDefault="005C5031"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EESRK ir nacionalinės ESRT mano, kad Konferencija dėl Europos ateities yra </w:t>
      </w:r>
      <w:r>
        <w:rPr>
          <w:rFonts w:ascii="Times New Roman" w:hAnsi="Times New Roman"/>
          <w:b/>
          <w:bCs/>
        </w:rPr>
        <w:t>istorinė galimybė</w:t>
      </w:r>
      <w:r>
        <w:rPr>
          <w:rFonts w:ascii="Times New Roman" w:hAnsi="Times New Roman"/>
        </w:rPr>
        <w:t xml:space="preserve"> sukurti dinamiką, skirtą atnaujinti Europos integracijos projektą. Ypač naujoviškas šio projekto aspektas yra jo tikslas užmegzti ryšį su visų 27 valstybių narių piliečiais.</w:t>
      </w:r>
    </w:p>
    <w:p w:rsidR="00911EF8" w:rsidRPr="002645D0" w:rsidRDefault="00911EF8" w:rsidP="00911EF8">
      <w:pPr>
        <w:spacing w:after="0" w:line="276" w:lineRule="auto"/>
        <w:jc w:val="both"/>
        <w:rPr>
          <w:rFonts w:ascii="Times New Roman" w:hAnsi="Times New Roman" w:cs="Times New Roman"/>
          <w:lang w:val="en-US"/>
        </w:rPr>
      </w:pPr>
    </w:p>
    <w:p w:rsidR="005C5031" w:rsidRPr="00924DBA" w:rsidRDefault="00911EF8" w:rsidP="00911EF8">
      <w:pPr>
        <w:spacing w:after="0" w:line="276" w:lineRule="auto"/>
        <w:jc w:val="both"/>
        <w:rPr>
          <w:rFonts w:ascii="Times New Roman" w:hAnsi="Times New Roman" w:cs="Times New Roman"/>
        </w:rPr>
      </w:pPr>
      <w:r>
        <w:rPr>
          <w:rFonts w:ascii="Times New Roman" w:hAnsi="Times New Roman"/>
        </w:rPr>
        <w:t xml:space="preserve">EESRK ir nacionalinės ESRT tvirtai remia šį </w:t>
      </w:r>
      <w:r>
        <w:rPr>
          <w:rFonts w:ascii="Times New Roman" w:hAnsi="Times New Roman"/>
          <w:b/>
          <w:bCs/>
        </w:rPr>
        <w:t>dalyvaujamosios demokratijos</w:t>
      </w:r>
      <w:r>
        <w:rPr>
          <w:rFonts w:ascii="Times New Roman" w:hAnsi="Times New Roman"/>
        </w:rPr>
        <w:t xml:space="preserve"> plėtros procesą. Jie mano, kad Konferencijoje dėl Europos ateities europiečiai turi atsidurti dėmesio centre, bei užtikrinti, kad visos Europos piliečiai dalyvautų diskusijose ir pasiektų konkrečių, matomų ir išmatuojamų rezultatų.</w:t>
      </w:r>
    </w:p>
    <w:p w:rsidR="00D8736E" w:rsidRPr="00924DBA" w:rsidRDefault="00D8736E" w:rsidP="00911EF8">
      <w:pPr>
        <w:spacing w:after="0" w:line="276" w:lineRule="auto"/>
        <w:jc w:val="both"/>
        <w:rPr>
          <w:rFonts w:ascii="Times New Roman" w:hAnsi="Times New Roman" w:cs="Times New Roman"/>
          <w:lang w:val="en-US"/>
        </w:rPr>
      </w:pPr>
    </w:p>
    <w:p w:rsidR="002645D0" w:rsidRDefault="00924DBA" w:rsidP="00911EF8">
      <w:pPr>
        <w:spacing w:after="0" w:line="276" w:lineRule="auto"/>
        <w:jc w:val="both"/>
        <w:rPr>
          <w:bCs/>
          <w:spacing w:val="-2"/>
        </w:rPr>
      </w:pPr>
      <w:r>
        <w:rPr>
          <w:rFonts w:ascii="Times New Roman" w:hAnsi="Times New Roman"/>
        </w:rPr>
        <w:t xml:space="preserve">Konferencija turi būti grindžiama </w:t>
      </w:r>
      <w:r>
        <w:rPr>
          <w:rFonts w:ascii="Times New Roman" w:hAnsi="Times New Roman"/>
          <w:b/>
        </w:rPr>
        <w:t>skaidriu, principu „iš apačios į viršų“ pagrįstu procesu ir duoti apčiuopiamų rezultatų</w:t>
      </w:r>
      <w:r>
        <w:rPr>
          <w:rFonts w:ascii="Times New Roman" w:hAnsi="Times New Roman"/>
        </w:rPr>
        <w:t xml:space="preserve">. Siekiant užtikrinti skaidrumą ir atskaitomybę, turi būti sukurta internetinė </w:t>
      </w:r>
      <w:r>
        <w:rPr>
          <w:rFonts w:ascii="Times New Roman" w:hAnsi="Times New Roman"/>
          <w:b/>
        </w:rPr>
        <w:t>suvestinė</w:t>
      </w:r>
      <w:r>
        <w:rPr>
          <w:rFonts w:ascii="Times New Roman" w:hAnsi="Times New Roman"/>
        </w:rPr>
        <w:t>, kuri informuotų piliečius apie tai, kaip ES institucijos vykdo jų prašymus, ar reformos priemonės kyla iš Konferencijos dėl Europos ateities, ir apie šių priemonių įgyvendinimo terminus. Jei dėl kai kurių idėjų nesiimama veiksmų, turi būti paaiškintos to priežastys.</w:t>
      </w:r>
    </w:p>
    <w:p w:rsidR="00924DBA" w:rsidRPr="002645D0" w:rsidRDefault="00924DBA" w:rsidP="00911EF8">
      <w:pPr>
        <w:spacing w:after="0" w:line="276" w:lineRule="auto"/>
        <w:jc w:val="both"/>
        <w:rPr>
          <w:rFonts w:ascii="Times New Roman" w:hAnsi="Times New Roman" w:cs="Times New Roman"/>
          <w:lang w:val="en-US"/>
        </w:rPr>
      </w:pPr>
    </w:p>
    <w:p w:rsidR="00EA79B5" w:rsidRPr="002645D0" w:rsidRDefault="002645D0" w:rsidP="00EA79B5">
      <w:pPr>
        <w:spacing w:after="0" w:line="276" w:lineRule="auto"/>
        <w:jc w:val="both"/>
        <w:rPr>
          <w:rFonts w:ascii="Times New Roman" w:hAnsi="Times New Roman" w:cs="Times New Roman"/>
        </w:rPr>
      </w:pPr>
      <w:r>
        <w:rPr>
          <w:rFonts w:ascii="Times New Roman" w:hAnsi="Times New Roman"/>
        </w:rPr>
        <w:t>EESRK ir nacionalinės ESRT dėl savo narių ir tinklų yra ypač gerai pasirengę palaikyti ryšius su piliečiais ir perduoti jų pasiūlymus Konferencijos valdybai. Šiuo tikslu EESRK palankiai vertina jų dalyvavimą Konferencijos valdyboje.</w:t>
      </w:r>
    </w:p>
    <w:p w:rsidR="003234EF" w:rsidRPr="00EB31FE" w:rsidRDefault="00EB31FE" w:rsidP="00EB31FE">
      <w:pPr>
        <w:overflowPunct w:val="0"/>
        <w:autoSpaceDE w:val="0"/>
        <w:autoSpaceDN w:val="0"/>
        <w:adjustRightInd w:val="0"/>
        <w:spacing w:line="288" w:lineRule="auto"/>
        <w:jc w:val="center"/>
        <w:textAlignment w:val="baseline"/>
      </w:pPr>
      <w:r>
        <w:t>_______________</w:t>
      </w:r>
    </w:p>
    <w:sectPr w:rsidR="003234EF" w:rsidRPr="00EB31FE" w:rsidSect="00EB31F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2DC3" w16cex:dateUtc="2021-10-2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64001" w16cid:durableId="25252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F7" w:rsidRDefault="00F241F7" w:rsidP="00EA79B5">
      <w:pPr>
        <w:spacing w:after="0" w:line="240" w:lineRule="auto"/>
      </w:pPr>
      <w:r>
        <w:separator/>
      </w:r>
    </w:p>
  </w:endnote>
  <w:endnote w:type="continuationSeparator" w:id="0">
    <w:p w:rsidR="00F241F7" w:rsidRDefault="00F241F7" w:rsidP="00EA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C7" w:rsidRPr="00EB31FE" w:rsidRDefault="00EB31FE" w:rsidP="00EB31FE">
    <w:pPr>
      <w:pStyle w:val="Footer"/>
    </w:pPr>
    <w:r>
      <w:t xml:space="preserve">EESC-2021-05465-01-00-INFO-TRA (LT) </w:t>
    </w:r>
    <w:r>
      <w:fldChar w:fldCharType="begin"/>
    </w:r>
    <w:r>
      <w:instrText xml:space="preserve"> PAGE  \* Arabic  \* MERGEFORMAT </w:instrText>
    </w:r>
    <w:r>
      <w:fldChar w:fldCharType="separate"/>
    </w:r>
    <w:r w:rsidR="00F24569">
      <w:rPr>
        <w:noProof/>
      </w:rPr>
      <w:t>1</w:t>
    </w:r>
    <w:r>
      <w:fldChar w:fldCharType="end"/>
    </w:r>
    <w:r>
      <w:t>/</w:t>
    </w:r>
    <w:r w:rsidR="00F24569">
      <w:fldChar w:fldCharType="begin"/>
    </w:r>
    <w:r w:rsidR="00F24569">
      <w:instrText xml:space="preserve"> NUMPAGES </w:instrText>
    </w:r>
    <w:r w:rsidR="00F24569">
      <w:fldChar w:fldCharType="separate"/>
    </w:r>
    <w:r w:rsidR="00F24569">
      <w:rPr>
        <w:noProof/>
      </w:rPr>
      <w:t>6</w:t>
    </w:r>
    <w:r w:rsidR="00F2456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F7" w:rsidRDefault="00F241F7" w:rsidP="00EA79B5">
      <w:pPr>
        <w:spacing w:after="0" w:line="240" w:lineRule="auto"/>
      </w:pPr>
      <w:r>
        <w:separator/>
      </w:r>
    </w:p>
  </w:footnote>
  <w:footnote w:type="continuationSeparator" w:id="0">
    <w:p w:rsidR="00F241F7" w:rsidRDefault="00F241F7" w:rsidP="00EA79B5">
      <w:pPr>
        <w:spacing w:after="0" w:line="240" w:lineRule="auto"/>
      </w:pPr>
      <w:r>
        <w:continuationSeparator/>
      </w:r>
    </w:p>
  </w:footnote>
  <w:footnote w:id="1">
    <w:p w:rsidR="00066B82" w:rsidRPr="002645D0" w:rsidRDefault="00066B82" w:rsidP="00066B82">
      <w:pPr>
        <w:pStyle w:val="FootnoteText"/>
      </w:pPr>
      <w:r>
        <w:rPr>
          <w:rStyle w:val="FootnoteReference"/>
        </w:rPr>
        <w:footnoteRef/>
      </w:r>
      <w:r>
        <w:t xml:space="preserve"> </w:t>
      </w:r>
      <w:r>
        <w:tab/>
      </w:r>
      <w:hyperlink r:id="rId1" w:history="1">
        <w:r>
          <w:rPr>
            <w:rStyle w:val="Hyperlink"/>
          </w:rPr>
          <w:tab/>
          <w:t>EESRK rezoliucija</w:t>
        </w:r>
      </w:hyperlink>
      <w:r>
        <w:t xml:space="preserve"> „Organizuotos pilietinės visuomenės dalyvavimas nacionalinių ekonomikos gaivinimo ir atsparumo didinimo planų procesuose. Kas veiksminga o kas ne?“ 2021 m. vasario mėn.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91644E"/>
    <w:multiLevelType w:val="hybridMultilevel"/>
    <w:tmpl w:val="591AB3BA"/>
    <w:lvl w:ilvl="0" w:tplc="8FBED718">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924376B"/>
    <w:multiLevelType w:val="hybridMultilevel"/>
    <w:tmpl w:val="740A47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DFE5822"/>
    <w:multiLevelType w:val="hybridMultilevel"/>
    <w:tmpl w:val="8402BF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5E4495D"/>
    <w:multiLevelType w:val="hybridMultilevel"/>
    <w:tmpl w:val="23DE5E40"/>
    <w:lvl w:ilvl="0" w:tplc="6888849A">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23C2D41"/>
    <w:multiLevelType w:val="hybridMultilevel"/>
    <w:tmpl w:val="2F00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79465B"/>
    <w:multiLevelType w:val="hybridMultilevel"/>
    <w:tmpl w:val="AEC0AF5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F275FB0"/>
    <w:multiLevelType w:val="hybridMultilevel"/>
    <w:tmpl w:val="C492CFA0"/>
    <w:lvl w:ilvl="0" w:tplc="F816062A">
      <w:start w:val="1"/>
      <w:numFmt w:val="decimal"/>
      <w:lvlText w:val="%1."/>
      <w:lvlJc w:val="left"/>
      <w:pPr>
        <w:ind w:left="360" w:hanging="360"/>
      </w:pPr>
      <w:rPr>
        <w:b w:val="0"/>
        <w:b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B5"/>
    <w:rsid w:val="00026200"/>
    <w:rsid w:val="00063AD9"/>
    <w:rsid w:val="00066B82"/>
    <w:rsid w:val="000A4C4C"/>
    <w:rsid w:val="000C2CB8"/>
    <w:rsid w:val="000F43E2"/>
    <w:rsid w:val="001216E0"/>
    <w:rsid w:val="00190269"/>
    <w:rsid w:val="001B357B"/>
    <w:rsid w:val="001C28D1"/>
    <w:rsid w:val="001E6FD9"/>
    <w:rsid w:val="00212624"/>
    <w:rsid w:val="00236C7F"/>
    <w:rsid w:val="00244FBC"/>
    <w:rsid w:val="002645D0"/>
    <w:rsid w:val="002854C4"/>
    <w:rsid w:val="00297477"/>
    <w:rsid w:val="002B4374"/>
    <w:rsid w:val="002C70DA"/>
    <w:rsid w:val="003240E1"/>
    <w:rsid w:val="00394B8F"/>
    <w:rsid w:val="003A15CF"/>
    <w:rsid w:val="003C229B"/>
    <w:rsid w:val="00414102"/>
    <w:rsid w:val="004259AE"/>
    <w:rsid w:val="004535F8"/>
    <w:rsid w:val="00456709"/>
    <w:rsid w:val="00471B87"/>
    <w:rsid w:val="005713DF"/>
    <w:rsid w:val="005C5031"/>
    <w:rsid w:val="005E23F9"/>
    <w:rsid w:val="005F73D5"/>
    <w:rsid w:val="00611BFD"/>
    <w:rsid w:val="0065623F"/>
    <w:rsid w:val="00696A23"/>
    <w:rsid w:val="006C3A97"/>
    <w:rsid w:val="007366DC"/>
    <w:rsid w:val="00752257"/>
    <w:rsid w:val="007545CF"/>
    <w:rsid w:val="00775940"/>
    <w:rsid w:val="00792ED5"/>
    <w:rsid w:val="007940C0"/>
    <w:rsid w:val="007A0D82"/>
    <w:rsid w:val="007A0F24"/>
    <w:rsid w:val="007D0E35"/>
    <w:rsid w:val="007E000B"/>
    <w:rsid w:val="00824453"/>
    <w:rsid w:val="00830090"/>
    <w:rsid w:val="00867716"/>
    <w:rsid w:val="00876BC3"/>
    <w:rsid w:val="008C12CB"/>
    <w:rsid w:val="008C656E"/>
    <w:rsid w:val="008D56CD"/>
    <w:rsid w:val="00911EF8"/>
    <w:rsid w:val="00912C1B"/>
    <w:rsid w:val="00924DBA"/>
    <w:rsid w:val="00950AEB"/>
    <w:rsid w:val="00975673"/>
    <w:rsid w:val="00983B86"/>
    <w:rsid w:val="00A0355D"/>
    <w:rsid w:val="00AB4FF8"/>
    <w:rsid w:val="00AC5848"/>
    <w:rsid w:val="00AF251E"/>
    <w:rsid w:val="00B17EB6"/>
    <w:rsid w:val="00B85F3F"/>
    <w:rsid w:val="00BB44E6"/>
    <w:rsid w:val="00BB768E"/>
    <w:rsid w:val="00BE6294"/>
    <w:rsid w:val="00C403D4"/>
    <w:rsid w:val="00C616D4"/>
    <w:rsid w:val="00C87CE3"/>
    <w:rsid w:val="00CA04AE"/>
    <w:rsid w:val="00CE090B"/>
    <w:rsid w:val="00D27742"/>
    <w:rsid w:val="00D42F87"/>
    <w:rsid w:val="00D77F2A"/>
    <w:rsid w:val="00D8736E"/>
    <w:rsid w:val="00DA58E7"/>
    <w:rsid w:val="00E40CFB"/>
    <w:rsid w:val="00E532C6"/>
    <w:rsid w:val="00E61211"/>
    <w:rsid w:val="00EA79B5"/>
    <w:rsid w:val="00EB31FE"/>
    <w:rsid w:val="00F241F7"/>
    <w:rsid w:val="00F24569"/>
    <w:rsid w:val="00F3009F"/>
    <w:rsid w:val="00F37F3C"/>
    <w:rsid w:val="00F6297D"/>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8C35-B3ED-4808-97E2-5AEB98F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lt-LT"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5"/>
    <w:rPr>
      <w:szCs w:val="22"/>
      <w:lang w:bidi="ar-SA"/>
    </w:rPr>
  </w:style>
  <w:style w:type="paragraph" w:styleId="Heading1">
    <w:name w:val="heading 1"/>
    <w:basedOn w:val="Normal"/>
    <w:next w:val="Normal"/>
    <w:link w:val="Heading1Char"/>
    <w:qFormat/>
    <w:rsid w:val="00830090"/>
    <w:pPr>
      <w:numPr>
        <w:numId w:val="7"/>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30090"/>
    <w:pPr>
      <w:numPr>
        <w:ilvl w:val="1"/>
        <w:numId w:val="7"/>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30090"/>
    <w:pPr>
      <w:numPr>
        <w:ilvl w:val="2"/>
        <w:numId w:val="7"/>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30090"/>
    <w:pPr>
      <w:numPr>
        <w:ilvl w:val="3"/>
        <w:numId w:val="7"/>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30090"/>
    <w:pPr>
      <w:numPr>
        <w:ilvl w:val="4"/>
        <w:numId w:val="7"/>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30090"/>
    <w:pPr>
      <w:numPr>
        <w:ilvl w:val="5"/>
        <w:numId w:val="7"/>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30090"/>
    <w:pPr>
      <w:numPr>
        <w:ilvl w:val="6"/>
        <w:numId w:val="7"/>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30090"/>
    <w:pPr>
      <w:numPr>
        <w:ilvl w:val="7"/>
        <w:numId w:val="7"/>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30090"/>
    <w:pPr>
      <w:numPr>
        <w:ilvl w:val="8"/>
        <w:numId w:val="7"/>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9B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A79B5"/>
    <w:rPr>
      <w:rFonts w:ascii="Times New Roman" w:hAnsi="Times New Roman" w:cs="Times New Roman"/>
      <w:szCs w:val="22"/>
      <w:lang w:val="lt-LT" w:bidi="ar-SA"/>
    </w:rPr>
  </w:style>
  <w:style w:type="paragraph" w:styleId="ListParagraph">
    <w:name w:val="List Paragraph"/>
    <w:aliases w:val="List Paragraph (numbered (a)),List Paragraph Char Char Char,Use Case List Paragraph,List Paragraph2,Bullet List,FooterText,List Paragraph1,Colorful List Accent 1,numbered,Paragraphe de liste1,列出段落,列出段落1,Bulletr List Paragraph,リスト段落1,body"/>
    <w:basedOn w:val="Normal"/>
    <w:link w:val="ListParagraphChar"/>
    <w:uiPriority w:val="34"/>
    <w:qFormat/>
    <w:rsid w:val="00EA79B5"/>
    <w:pPr>
      <w:spacing w:after="0" w:line="288" w:lineRule="auto"/>
      <w:ind w:left="720"/>
      <w:contextualSpacing/>
      <w:jc w:val="both"/>
    </w:pPr>
    <w:rPr>
      <w:rFonts w:ascii="Times New Roman" w:eastAsia="Times New Roman" w:hAnsi="Times New Roman" w:cs="Times New Roman"/>
    </w:rPr>
  </w:style>
  <w:style w:type="paragraph" w:styleId="FootnoteText">
    <w:name w:val="footnote text"/>
    <w:basedOn w:val="Normal"/>
    <w:link w:val="FootnoteTextChar"/>
    <w:qFormat/>
    <w:rsid w:val="00EA79B5"/>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basedOn w:val="DefaultParagraphFont"/>
    <w:link w:val="FootnoteText"/>
    <w:rsid w:val="00EA79B5"/>
    <w:rPr>
      <w:rFonts w:ascii="Times New Roman" w:eastAsia="Times New Roman" w:hAnsi="Times New Roman" w:cs="Times New Roman"/>
      <w:sz w:val="16"/>
      <w:szCs w:val="22"/>
      <w:lang w:val="lt-LT" w:bidi="ar-SA"/>
    </w:rPr>
  </w:style>
  <w:style w:type="character" w:styleId="FootnoteReference">
    <w:name w:val="footnote reference"/>
    <w:basedOn w:val="DefaultParagraphFont"/>
    <w:unhideWhenUsed/>
    <w:qFormat/>
    <w:rsid w:val="00EA79B5"/>
    <w:rPr>
      <w:sz w:val="24"/>
      <w:vertAlign w:val="superscript"/>
    </w:rPr>
  </w:style>
  <w:style w:type="character" w:styleId="Hyperlink">
    <w:name w:val="Hyperlink"/>
    <w:basedOn w:val="DefaultParagraphFont"/>
    <w:uiPriority w:val="99"/>
    <w:rsid w:val="00EA79B5"/>
    <w:rPr>
      <w:color w:val="0000FF"/>
      <w:u w:val="single"/>
    </w:rPr>
  </w:style>
  <w:style w:type="character" w:styleId="CommentReference">
    <w:name w:val="annotation reference"/>
    <w:basedOn w:val="DefaultParagraphFont"/>
    <w:uiPriority w:val="99"/>
    <w:semiHidden/>
    <w:unhideWhenUsed/>
    <w:rsid w:val="002C70DA"/>
    <w:rPr>
      <w:sz w:val="16"/>
      <w:szCs w:val="16"/>
    </w:rPr>
  </w:style>
  <w:style w:type="paragraph" w:styleId="CommentText">
    <w:name w:val="annotation text"/>
    <w:basedOn w:val="Normal"/>
    <w:link w:val="CommentTextChar"/>
    <w:uiPriority w:val="99"/>
    <w:semiHidden/>
    <w:unhideWhenUsed/>
    <w:rsid w:val="002C70DA"/>
    <w:pPr>
      <w:spacing w:line="240" w:lineRule="auto"/>
    </w:pPr>
    <w:rPr>
      <w:sz w:val="20"/>
      <w:szCs w:val="20"/>
    </w:rPr>
  </w:style>
  <w:style w:type="character" w:customStyle="1" w:styleId="CommentTextChar">
    <w:name w:val="Comment Text Char"/>
    <w:basedOn w:val="DefaultParagraphFont"/>
    <w:link w:val="CommentText"/>
    <w:uiPriority w:val="99"/>
    <w:semiHidden/>
    <w:rsid w:val="002C70DA"/>
    <w:rPr>
      <w:sz w:val="20"/>
      <w:lang w:val="lt-LT" w:bidi="ar-SA"/>
    </w:rPr>
  </w:style>
  <w:style w:type="paragraph" w:styleId="CommentSubject">
    <w:name w:val="annotation subject"/>
    <w:basedOn w:val="CommentText"/>
    <w:next w:val="CommentText"/>
    <w:link w:val="CommentSubjectChar"/>
    <w:uiPriority w:val="99"/>
    <w:semiHidden/>
    <w:unhideWhenUsed/>
    <w:rsid w:val="002C70DA"/>
    <w:rPr>
      <w:b/>
      <w:bCs/>
    </w:rPr>
  </w:style>
  <w:style w:type="character" w:customStyle="1" w:styleId="CommentSubjectChar">
    <w:name w:val="Comment Subject Char"/>
    <w:basedOn w:val="CommentTextChar"/>
    <w:link w:val="CommentSubject"/>
    <w:uiPriority w:val="99"/>
    <w:semiHidden/>
    <w:rsid w:val="002C70DA"/>
    <w:rPr>
      <w:b/>
      <w:bCs/>
      <w:sz w:val="20"/>
      <w:lang w:val="lt-LT" w:bidi="ar-SA"/>
    </w:rPr>
  </w:style>
  <w:style w:type="paragraph" w:styleId="BalloonText">
    <w:name w:val="Balloon Text"/>
    <w:basedOn w:val="Normal"/>
    <w:link w:val="BalloonTextChar"/>
    <w:uiPriority w:val="99"/>
    <w:semiHidden/>
    <w:unhideWhenUsed/>
    <w:rsid w:val="005C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31"/>
    <w:rPr>
      <w:rFonts w:ascii="Segoe UI" w:hAnsi="Segoe UI" w:cs="Segoe UI"/>
      <w:sz w:val="18"/>
      <w:szCs w:val="18"/>
      <w:lang w:val="lt-LT" w:bidi="ar-SA"/>
    </w:rPr>
  </w:style>
  <w:style w:type="table" w:styleId="TableGrid">
    <w:name w:val="Table Grid"/>
    <w:basedOn w:val="TableNormal"/>
    <w:uiPriority w:val="59"/>
    <w:rsid w:val="007A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CF"/>
    <w:rPr>
      <w:szCs w:val="22"/>
      <w:lang w:val="lt-LT" w:bidi="ar-SA"/>
    </w:rPr>
  </w:style>
  <w:style w:type="character" w:styleId="FollowedHyperlink">
    <w:name w:val="FollowedHyperlink"/>
    <w:basedOn w:val="DefaultParagraphFont"/>
    <w:uiPriority w:val="99"/>
    <w:semiHidden/>
    <w:unhideWhenUsed/>
    <w:rsid w:val="00066B82"/>
    <w:rPr>
      <w:color w:val="954F72" w:themeColor="followedHyperlink"/>
      <w:u w:val="single"/>
    </w:rPr>
  </w:style>
  <w:style w:type="character" w:customStyle="1" w:styleId="ListParagraphChar">
    <w:name w:val="List Paragraph Char"/>
    <w:aliases w:val="List Paragraph (numbered (a)) Char,List Paragraph Char Char Char Char,Use Case List Paragraph Char,List Paragraph2 Char,Bullet List Char,FooterText Char,List Paragraph1 Char,Colorful List Accent 1 Char,numbered Char,列出段落 Char"/>
    <w:basedOn w:val="DefaultParagraphFont"/>
    <w:link w:val="ListParagraph"/>
    <w:uiPriority w:val="34"/>
    <w:locked/>
    <w:rsid w:val="0065623F"/>
    <w:rPr>
      <w:rFonts w:ascii="Times New Roman" w:eastAsia="Times New Roman" w:hAnsi="Times New Roman" w:cs="Times New Roman"/>
      <w:szCs w:val="22"/>
      <w:lang w:val="lt-LT" w:bidi="ar-SA"/>
    </w:rPr>
  </w:style>
  <w:style w:type="character" w:customStyle="1" w:styleId="Heading1Char">
    <w:name w:val="Heading 1 Char"/>
    <w:basedOn w:val="DefaultParagraphFont"/>
    <w:link w:val="Heading1"/>
    <w:rsid w:val="00830090"/>
    <w:rPr>
      <w:rFonts w:ascii="Times New Roman" w:eastAsia="Times New Roman" w:hAnsi="Times New Roman" w:cs="Times New Roman"/>
      <w:kern w:val="28"/>
      <w:szCs w:val="22"/>
      <w:lang w:val="lt-LT" w:bidi="ar-SA"/>
    </w:rPr>
  </w:style>
  <w:style w:type="character" w:customStyle="1" w:styleId="Heading2Char">
    <w:name w:val="Heading 2 Char"/>
    <w:basedOn w:val="DefaultParagraphFont"/>
    <w:link w:val="Heading2"/>
    <w:rsid w:val="00830090"/>
    <w:rPr>
      <w:rFonts w:ascii="Times New Roman" w:eastAsia="Times New Roman" w:hAnsi="Times New Roman" w:cs="Times New Roman"/>
      <w:szCs w:val="22"/>
      <w:lang w:val="lt-LT" w:bidi="ar-SA"/>
    </w:rPr>
  </w:style>
  <w:style w:type="character" w:customStyle="1" w:styleId="Heading3Char">
    <w:name w:val="Heading 3 Char"/>
    <w:basedOn w:val="DefaultParagraphFont"/>
    <w:link w:val="Heading3"/>
    <w:rsid w:val="00830090"/>
    <w:rPr>
      <w:rFonts w:ascii="Times New Roman" w:eastAsia="Times New Roman" w:hAnsi="Times New Roman" w:cs="Times New Roman"/>
      <w:szCs w:val="22"/>
      <w:lang w:val="lt-LT" w:bidi="ar-SA"/>
    </w:rPr>
  </w:style>
  <w:style w:type="character" w:customStyle="1" w:styleId="Heading4Char">
    <w:name w:val="Heading 4 Char"/>
    <w:basedOn w:val="DefaultParagraphFont"/>
    <w:link w:val="Heading4"/>
    <w:rsid w:val="00830090"/>
    <w:rPr>
      <w:rFonts w:ascii="Times New Roman" w:eastAsia="Times New Roman" w:hAnsi="Times New Roman" w:cs="Times New Roman"/>
      <w:szCs w:val="22"/>
      <w:lang w:val="lt-LT" w:bidi="ar-SA"/>
    </w:rPr>
  </w:style>
  <w:style w:type="character" w:customStyle="1" w:styleId="Heading5Char">
    <w:name w:val="Heading 5 Char"/>
    <w:basedOn w:val="DefaultParagraphFont"/>
    <w:link w:val="Heading5"/>
    <w:rsid w:val="00830090"/>
    <w:rPr>
      <w:rFonts w:ascii="Times New Roman" w:eastAsia="Times New Roman" w:hAnsi="Times New Roman" w:cs="Times New Roman"/>
      <w:szCs w:val="22"/>
      <w:lang w:val="lt-LT" w:bidi="ar-SA"/>
    </w:rPr>
  </w:style>
  <w:style w:type="character" w:customStyle="1" w:styleId="Heading6Char">
    <w:name w:val="Heading 6 Char"/>
    <w:basedOn w:val="DefaultParagraphFont"/>
    <w:link w:val="Heading6"/>
    <w:rsid w:val="00830090"/>
    <w:rPr>
      <w:rFonts w:ascii="Times New Roman" w:eastAsia="Times New Roman" w:hAnsi="Times New Roman" w:cs="Times New Roman"/>
      <w:szCs w:val="22"/>
      <w:lang w:val="lt-LT" w:bidi="ar-SA"/>
    </w:rPr>
  </w:style>
  <w:style w:type="character" w:customStyle="1" w:styleId="Heading7Char">
    <w:name w:val="Heading 7 Char"/>
    <w:basedOn w:val="DefaultParagraphFont"/>
    <w:link w:val="Heading7"/>
    <w:rsid w:val="00830090"/>
    <w:rPr>
      <w:rFonts w:ascii="Times New Roman" w:eastAsia="Times New Roman" w:hAnsi="Times New Roman" w:cs="Times New Roman"/>
      <w:szCs w:val="22"/>
      <w:lang w:val="lt-LT" w:bidi="ar-SA"/>
    </w:rPr>
  </w:style>
  <w:style w:type="character" w:customStyle="1" w:styleId="Heading8Char">
    <w:name w:val="Heading 8 Char"/>
    <w:basedOn w:val="DefaultParagraphFont"/>
    <w:link w:val="Heading8"/>
    <w:rsid w:val="00830090"/>
    <w:rPr>
      <w:rFonts w:ascii="Times New Roman" w:eastAsia="Times New Roman" w:hAnsi="Times New Roman" w:cs="Times New Roman"/>
      <w:szCs w:val="22"/>
      <w:lang w:val="lt-LT" w:bidi="ar-SA"/>
    </w:rPr>
  </w:style>
  <w:style w:type="character" w:customStyle="1" w:styleId="Heading9Char">
    <w:name w:val="Heading 9 Char"/>
    <w:basedOn w:val="DefaultParagraphFont"/>
    <w:link w:val="Heading9"/>
    <w:rsid w:val="00830090"/>
    <w:rPr>
      <w:rFonts w:ascii="Times New Roman" w:eastAsia="Times New Roman" w:hAnsi="Times New Roman" w:cs="Times New Roman"/>
      <w:szCs w:val="22"/>
      <w:lang w:val="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lt/documents/resolution/involvement-organised-civil-society-national-recovery-and-resilience-plans-what-works-and-what-doe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V63NAVDT5PV3-1648642317-5089</_dlc_DocId>
    <_dlc_DocIdUrl xmlns="01cfe264-354f-4f3f-acd0-cf26eb309336">
      <Url>http://dm2016/eesc/2021/_layouts/15/DocIdRedir.aspx?ID=V63NAVDT5PV3-1648642317-5089</Url>
      <Description>V63NAVDT5PV3-1648642317-5089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2021-12-10T12:00:00+00:00</ProductionDate>
    <DocumentNumber xmlns="d442a82d-24cc-4721-bd32-c982b501ac21">5465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14428</FicheNumber>
    <OriginalSender xmlns="01cfe264-354f-4f3f-acd0-cf26eb309336">
      <UserInfo>
        <DisplayName>Zebrauskas Linas</DisplayName>
        <AccountId>2013</AccountId>
        <AccountType/>
      </UserInfo>
    </OriginalSend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2DF4A19-4403-4338-BB37-41ED5779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0B156-CA8B-4543-BB17-0AFBD02BAF93}">
  <ds:schemaRefs>
    <ds:schemaRef ds:uri="http://schemas.microsoft.com/sharepoint/events"/>
  </ds:schemaRefs>
</ds:datastoreItem>
</file>

<file path=customXml/itemProps3.xml><?xml version="1.0" encoding="utf-8"?>
<ds:datastoreItem xmlns:ds="http://schemas.openxmlformats.org/officeDocument/2006/customXml" ds:itemID="{E1013CE7-C11D-4610-8400-602C1AC3D24F}">
  <ds:schemaRefs>
    <ds:schemaRef ds:uri="http://schemas.microsoft.com/sharepoint/v3/contenttype/forms"/>
  </ds:schemaRefs>
</ds:datastoreItem>
</file>

<file path=customXml/itemProps4.xml><?xml version="1.0" encoding="utf-8"?>
<ds:datastoreItem xmlns:ds="http://schemas.openxmlformats.org/officeDocument/2006/customXml" ds:itemID="{6C35B680-E41E-499B-925A-BAED140EB8F8}">
  <ds:schemaRefs>
    <ds:schemaRef ds:uri="http://purl.org/dc/terms/"/>
    <ds:schemaRef ds:uri="http://schemas.microsoft.com/sharepoint/v3/fields"/>
    <ds:schemaRef ds:uri="http://schemas.openxmlformats.org/package/2006/metadata/core-properties"/>
    <ds:schemaRef ds:uri="http://schemas.microsoft.com/office/2006/documentManagement/types"/>
    <ds:schemaRef ds:uri="d442a82d-24cc-4721-bd32-c982b501ac21"/>
    <ds:schemaRef ds:uri="http://purl.org/dc/elements/1.1/"/>
    <ds:schemaRef ds:uri="http://schemas.microsoft.com/office/2006/metadata/properties"/>
    <ds:schemaRef ds:uri="http://schemas.microsoft.com/office/infopath/2007/PartnerControls"/>
    <ds:schemaRef ds:uri="01cfe264-354f-4f3f-acd0-cf26eb3093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12821</Characters>
  <Application>Microsoft Office Word</Application>
  <DocSecurity>4</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Metinio EESRK ir ES ekonomikos ir socialinių reikalų tarybų susirinkimo išvados</vt:lpstr>
      <vt:lpstr/>
    </vt:vector>
  </TitlesOfParts>
  <Company>EESC-ECOR</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Metinio EESRK ir ES ekonomikos ir socialinių reikalų tarybų susirinkimo išvados</dc:title>
  <dc:subject>INFO</dc:subject>
  <dc:creator>Ana Dumitrache</dc:creator>
  <cp:keywords>EESC-2021-05465-01-00-INFO-TRA-EN</cp:keywords>
  <dc:description>Rapporteur:  - Original language: EN - Date of document: 10/12/2021 - Date of meeting:  - External documents:  - Administrator: MME DUMITRACHE Ana</dc:description>
  <cp:lastModifiedBy>Sonia Calvy</cp:lastModifiedBy>
  <cp:revision>2</cp:revision>
  <dcterms:created xsi:type="dcterms:W3CDTF">2021-12-14T08:48:00Z</dcterms:created>
  <dcterms:modified xsi:type="dcterms:W3CDTF">2021-12-14T08:48:00Z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26/11/2021</vt:lpwstr>
  </property>
  <property fmtid="{D5CDD505-2E9C-101B-9397-08002B2CF9AE}" pid="4" name="Pref_Time">
    <vt:lpwstr>13:18:27</vt:lpwstr>
  </property>
  <property fmtid="{D5CDD505-2E9C-101B-9397-08002B2CF9AE}" pid="5" name="Pref_User">
    <vt:lpwstr>amett</vt:lpwstr>
  </property>
  <property fmtid="{D5CDD505-2E9C-101B-9397-08002B2CF9AE}" pid="6" name="Pref_FileName">
    <vt:lpwstr>EESC-2021-05465-01-00-INFO-ORI.docx</vt:lpwstr>
  </property>
  <property fmtid="{D5CDD505-2E9C-101B-9397-08002B2CF9AE}" pid="7" name="ContentTypeId">
    <vt:lpwstr>0x010100EA97B91038054C99906057A708A1480A004B06FA2060D04E4BBAF9E05CA34417ED</vt:lpwstr>
  </property>
  <property fmtid="{D5CDD505-2E9C-101B-9397-08002B2CF9AE}" pid="8" name="_dlc_DocIdItemGuid">
    <vt:lpwstr>6b08a6b9-c9f3-47f2-ad20-508ca216be2c</vt:lpwstr>
  </property>
  <property fmtid="{D5CDD505-2E9C-101B-9397-08002B2CF9AE}" pid="9" name="AvailableTranslations">
    <vt:lpwstr>42;#FI|87606a43-d45f-42d6-b8c9-e1a3457db5b7;#58;#MT|7df99101-6854-4a26-b53a-b88c0da02c26;#17;#NL|55c6556c-b4f4-441d-9acf-c498d4f838bd;#13;#PT|50ccc04a-eadd-42ae-a0cb-acaf45f812ba;#35;#PL|1e03da61-4678-4e07-b136-b5024ca9197b;#15;#LT|a7ff5ce7-6123-4f68-865a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5465</vt:i4>
  </property>
  <property fmtid="{D5CDD505-2E9C-101B-9397-08002B2CF9AE}" pid="14" name="DocumentYear">
    <vt:i4>2021</vt:i4>
  </property>
  <property fmtid="{D5CDD505-2E9C-101B-9397-08002B2CF9AE}" pid="15" name="DocumentVersion">
    <vt:i4>0</vt:i4>
  </property>
  <property fmtid="{D5CDD505-2E9C-101B-9397-08002B2CF9AE}" pid="16" name="FicheNumber">
    <vt:i4>14428</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Cabinet du Président</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FI|87606a43-d45f-42d6-b8c9-e1a3457db5b7;MT|7df99101-6854-4a26-b53a-b88c0da02c26;NL|55c6556c-b4f4-441d-9acf-c498d4f838bd;PT|50ccc04a-eadd-42ae-a0cb-acaf45f812ba;PL|1e03da61-4678-4e07-b136-b5024ca9197b;ET|ff6c3f4c-b02c-4c3c-ab07-2c37995a7a0a;SV|c2ed69e7-a33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35;#PL|1e03da61-4678-4e07-b136-b5024ca9197b;#25;#CS|72f9705b-0217-4fd3-bea2-cbc7ed80e26e;#37;#EL|6d4f4d51-af9b-4650-94b4-4276bee85c91;#28;#ES|e7a6b05b-ae16-40c8-add9-68b64b03aeba;#12;#DA|5d49c027-8956-412b-aa16-e85a0f96ad0e;#14;#ET|ff6c3f4c-b02c-4c3c-ab07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15;#LT|a7ff5ce7-6123-4f68-865a-a57c31810414</vt:lpwstr>
  </property>
</Properties>
</file>