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jc w:val="center"/>
        <w:tblLayout w:type="fixed"/>
        <w:tblLook w:val="0000" w:firstRow="0" w:lastRow="0" w:firstColumn="0" w:lastColumn="0" w:noHBand="0" w:noVBand="0"/>
      </w:tblPr>
      <w:tblGrid>
        <w:gridCol w:w="9180"/>
      </w:tblGrid>
      <w:tr w:rsidR="003A1E8D" w:rsidRPr="00DE5AC3" w14:paraId="2A1530AA" w14:textId="77777777" w:rsidTr="00223789">
        <w:trPr>
          <w:jc w:val="center"/>
        </w:trPr>
        <w:tc>
          <w:tcPr>
            <w:tcW w:w="9180" w:type="dxa"/>
          </w:tcPr>
          <w:p w14:paraId="4A0F34FC" w14:textId="2635AD17" w:rsidR="003A1E8D" w:rsidRPr="00DE5AC3" w:rsidRDefault="003A1E8D" w:rsidP="006F07D4">
            <w:pPr>
              <w:spacing w:after="0" w:line="288" w:lineRule="auto"/>
              <w:ind w:right="-567"/>
              <w:rPr>
                <w:rFonts w:ascii="Calibri" w:hAnsi="Calibri" w:cs="Calibri"/>
              </w:rPr>
            </w:pPr>
            <w:r w:rsidRPr="00DE5AC3">
              <w:rPr>
                <w:rFonts w:ascii="Calibri" w:hAnsi="Calibri"/>
                <w:noProof/>
                <w:lang w:val="fr-BE" w:eastAsia="fr-BE"/>
              </w:rPr>
              <w:drawing>
                <wp:anchor distT="0" distB="0" distL="114300" distR="114300" simplePos="0" relativeHeight="251659264" behindDoc="1" locked="0" layoutInCell="1" allowOverlap="1" wp14:anchorId="6698C255" wp14:editId="0D6412E5">
                  <wp:simplePos x="0" y="0"/>
                  <wp:positionH relativeFrom="column">
                    <wp:posOffset>4553585</wp:posOffset>
                  </wp:positionH>
                  <wp:positionV relativeFrom="paragraph">
                    <wp:posOffset>103367</wp:posOffset>
                  </wp:positionV>
                  <wp:extent cx="1398905" cy="1132205"/>
                  <wp:effectExtent l="0" t="0" r="0" b="0"/>
                  <wp:wrapTight wrapText="bothSides">
                    <wp:wrapPolygon edited="0">
                      <wp:start x="0" y="0"/>
                      <wp:lineTo x="0" y="21079"/>
                      <wp:lineTo x="21178" y="21079"/>
                      <wp:lineTo x="2117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SE FR-300D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8905" cy="1132205"/>
                          </a:xfrm>
                          <a:prstGeom prst="rect">
                            <a:avLst/>
                          </a:prstGeom>
                        </pic:spPr>
                      </pic:pic>
                    </a:graphicData>
                  </a:graphic>
                  <wp14:sizeRelH relativeFrom="margin">
                    <wp14:pctWidth>0</wp14:pctWidth>
                  </wp14:sizeRelH>
                  <wp14:sizeRelV relativeFrom="margin">
                    <wp14:pctHeight>0</wp14:pctHeight>
                  </wp14:sizeRelV>
                </wp:anchor>
              </w:drawing>
            </w:r>
            <w:r w:rsidR="00B750E5" w:rsidRPr="00DE5AC3">
              <w:rPr>
                <w:noProof/>
                <w:lang w:val="fr-BE" w:eastAsia="fr-BE"/>
              </w:rPr>
              <w:drawing>
                <wp:inline distT="0" distB="0" distL="0" distR="0" wp14:anchorId="69AD01D2" wp14:editId="466668FC">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14:paraId="44707A6B" w14:textId="77777777" w:rsidR="003A1E8D" w:rsidRPr="00DE5AC3" w:rsidRDefault="003A1E8D" w:rsidP="006F07D4">
            <w:pPr>
              <w:spacing w:after="0" w:line="288" w:lineRule="auto"/>
            </w:pPr>
          </w:p>
        </w:tc>
      </w:tr>
    </w:tbl>
    <w:p w14:paraId="09F8C2C7" w14:textId="77777777" w:rsidR="003A1E8D" w:rsidRPr="00DE5AC3" w:rsidRDefault="006F07D4" w:rsidP="006F07D4">
      <w:pPr>
        <w:spacing w:after="0" w:line="288" w:lineRule="auto"/>
        <w:rPr>
          <w:rFonts w:ascii="Times New Roman" w:hAnsi="Times New Roman" w:cs="Times New Roman"/>
        </w:rPr>
      </w:pPr>
      <w:r w:rsidRPr="00DE5AC3">
        <w:rPr>
          <w:rFonts w:ascii="Times New Roman" w:hAnsi="Times New Roman"/>
          <w:noProof/>
          <w:sz w:val="20"/>
          <w:lang w:val="fr-BE" w:eastAsia="fr-BE"/>
        </w:rPr>
        <mc:AlternateContent>
          <mc:Choice Requires="wps">
            <w:drawing>
              <wp:anchor distT="0" distB="0" distL="114300" distR="114300" simplePos="0" relativeHeight="251661312" behindDoc="1" locked="0" layoutInCell="0" allowOverlap="1" wp14:anchorId="0D7E6514" wp14:editId="44F8629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B7D09" w14:textId="77777777" w:rsidR="006F07D4" w:rsidRPr="00260E65" w:rsidRDefault="006F07D4">
                            <w:pPr>
                              <w:jc w:val="center"/>
                              <w:rPr>
                                <w:rFonts w:ascii="Arial" w:hAnsi="Arial" w:cs="Arial"/>
                                <w:b/>
                                <w:bCs/>
                                <w:sz w:val="48"/>
                              </w:rPr>
                            </w:pPr>
                            <w:r>
                              <w:rPr>
                                <w:rFonts w:ascii="Arial" w:hAnsi="Arial"/>
                                <w:b/>
                                <w:bCs/>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6514"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5A7B7D09" w14:textId="77777777" w:rsidR="006F07D4" w:rsidRPr="00260E65" w:rsidRDefault="006F07D4">
                      <w:pPr>
                        <w:jc w:val="center"/>
                        <w:rPr>
                          <w:rFonts w:ascii="Arial" w:hAnsi="Arial" w:cs="Arial"/>
                          <w:b/>
                          <w:bCs/>
                          <w:sz w:val="48"/>
                        </w:rPr>
                      </w:pPr>
                      <w:r>
                        <w:rPr>
                          <w:rFonts w:ascii="Arial" w:hAnsi="Arial"/>
                          <w:b/>
                          <w:bCs/>
                          <w:sz w:val="48"/>
                        </w:rPr>
                        <w:t>IT</w:t>
                      </w:r>
                    </w:p>
                  </w:txbxContent>
                </v:textbox>
                <w10:wrap anchorx="page" anchory="page"/>
              </v:shape>
            </w:pict>
          </mc:Fallback>
        </mc:AlternateContent>
      </w:r>
    </w:p>
    <w:p w14:paraId="2754F7AE" w14:textId="77777777" w:rsidR="003A1E8D" w:rsidRPr="00DE5AC3" w:rsidRDefault="003A1E8D" w:rsidP="006F07D4">
      <w:pPr>
        <w:spacing w:after="0" w:line="288" w:lineRule="auto"/>
        <w:rPr>
          <w:rFonts w:ascii="Times New Roman" w:hAnsi="Times New Roman" w:cs="Times New Roman"/>
        </w:rPr>
      </w:pPr>
    </w:p>
    <w:p w14:paraId="01AE8836" w14:textId="77777777" w:rsidR="003A1E8D" w:rsidRPr="00DE5AC3" w:rsidRDefault="003A1E8D" w:rsidP="006F07D4">
      <w:pPr>
        <w:spacing w:after="0" w:line="288" w:lineRule="auto"/>
        <w:jc w:val="center"/>
        <w:rPr>
          <w:rFonts w:ascii="Times New Roman" w:hAnsi="Times New Roman" w:cs="Times New Roman"/>
          <w:b/>
        </w:rPr>
      </w:pPr>
      <w:r w:rsidRPr="00DE5AC3">
        <w:rPr>
          <w:rFonts w:ascii="Times New Roman" w:hAnsi="Times New Roman"/>
          <w:b/>
        </w:rPr>
        <w:t xml:space="preserve">Riunione annuale dei Presidenti e dei Segretari generali dei consigli economici e sociali nazionali </w:t>
      </w:r>
      <w:r w:rsidRPr="00DE5AC3">
        <w:rPr>
          <w:rFonts w:ascii="Times New Roman" w:hAnsi="Times New Roman"/>
          <w:b/>
        </w:rPr>
        <w:br/>
        <w:t>dell'UE e del Comitato economico e sociale europeo</w:t>
      </w:r>
    </w:p>
    <w:p w14:paraId="1FAC235C" w14:textId="4A68972E" w:rsidR="003A1E8D" w:rsidRPr="00DE5AC3" w:rsidRDefault="00430D54" w:rsidP="006F07D4">
      <w:pPr>
        <w:spacing w:after="0" w:line="288" w:lineRule="auto"/>
        <w:jc w:val="center"/>
        <w:rPr>
          <w:rFonts w:ascii="Times New Roman" w:hAnsi="Times New Roman" w:cs="Times New Roman"/>
          <w:b/>
        </w:rPr>
      </w:pPr>
      <w:r w:rsidRPr="00DE5AC3">
        <w:rPr>
          <w:rFonts w:ascii="Times New Roman" w:hAnsi="Times New Roman"/>
          <w:b/>
        </w:rPr>
        <w:t>Videoconferenza, 9 settembre 2020</w:t>
      </w:r>
    </w:p>
    <w:p w14:paraId="29D54C8E" w14:textId="4F041270" w:rsidR="003A1E8D" w:rsidRPr="006D096D" w:rsidRDefault="003A1E8D" w:rsidP="006F07D4">
      <w:pPr>
        <w:spacing w:after="0" w:line="288" w:lineRule="auto"/>
        <w:jc w:val="center"/>
        <w:rPr>
          <w:rFonts w:ascii="Times New Roman" w:hAnsi="Times New Roman" w:cs="Times New Roman"/>
          <w:sz w:val="20"/>
        </w:rPr>
      </w:pPr>
    </w:p>
    <w:p w14:paraId="76E69CAE" w14:textId="77777777" w:rsidR="003A1E8D" w:rsidRPr="006D096D" w:rsidRDefault="003A1E8D" w:rsidP="006F07D4">
      <w:pPr>
        <w:spacing w:after="0" w:line="288" w:lineRule="auto"/>
        <w:jc w:val="center"/>
        <w:rPr>
          <w:rFonts w:ascii="Times New Roman" w:hAnsi="Times New Roman" w:cs="Times New Roman"/>
          <w:sz w:val="20"/>
        </w:rPr>
      </w:pPr>
    </w:p>
    <w:p w14:paraId="0815A8CA" w14:textId="77777777" w:rsidR="003A1E8D" w:rsidRPr="00DE5AC3" w:rsidRDefault="003A1E8D" w:rsidP="006F07D4">
      <w:pPr>
        <w:spacing w:after="0" w:line="288" w:lineRule="auto"/>
        <w:jc w:val="center"/>
        <w:rPr>
          <w:rFonts w:ascii="Times New Roman" w:hAnsi="Times New Roman" w:cs="Times New Roman"/>
          <w:b/>
        </w:rPr>
      </w:pPr>
      <w:r w:rsidRPr="00DE5AC3">
        <w:rPr>
          <w:rFonts w:ascii="Times New Roman" w:hAnsi="Times New Roman"/>
          <w:b/>
        </w:rPr>
        <w:t>Le sfide della moderna democrazia partecipativa in un'Europa in via di ricostruzione: un primo contributo dei consigli economici e sociali e delle istituzioni analoghe alla Conferenza sul futuro dell'Europa</w:t>
      </w:r>
    </w:p>
    <w:p w14:paraId="41F8FE50" w14:textId="77777777" w:rsidR="005A7CC8" w:rsidRPr="006D096D" w:rsidRDefault="005A7CC8" w:rsidP="006F07D4">
      <w:pPr>
        <w:spacing w:after="0" w:line="288" w:lineRule="auto"/>
        <w:jc w:val="center"/>
        <w:rPr>
          <w:rFonts w:ascii="Times New Roman" w:hAnsi="Times New Roman" w:cs="Times New Roman"/>
          <w:b/>
          <w:bCs/>
          <w:sz w:val="24"/>
          <w:shd w:val="clear" w:color="auto" w:fill="FFFFFF"/>
        </w:rPr>
      </w:pPr>
    </w:p>
    <w:p w14:paraId="08410DFF" w14:textId="77777777" w:rsidR="00383292" w:rsidRPr="00DE5AC3" w:rsidRDefault="00383292" w:rsidP="006F07D4">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z w:val="16"/>
          <w:szCs w:val="16"/>
          <w:shd w:val="clear" w:color="auto" w:fill="FFFFFF"/>
        </w:rPr>
      </w:pPr>
    </w:p>
    <w:p w14:paraId="42C29553" w14:textId="1799DEE2" w:rsidR="00383292" w:rsidRPr="00DE5AC3" w:rsidRDefault="00D9603E" w:rsidP="006F07D4">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hd w:val="clear" w:color="auto" w:fill="FFFFFF"/>
        </w:rPr>
      </w:pPr>
      <w:r w:rsidRPr="00DE5AC3">
        <w:rPr>
          <w:rFonts w:ascii="Times New Roman" w:hAnsi="Times New Roman"/>
          <w:b/>
          <w:bCs/>
          <w:shd w:val="clear" w:color="auto" w:fill="FFFFFF"/>
        </w:rPr>
        <w:t>CONCLUSIONI</w:t>
      </w:r>
    </w:p>
    <w:p w14:paraId="3DE77901" w14:textId="77777777" w:rsidR="009C7E0C" w:rsidRPr="006D096D" w:rsidRDefault="009C7E0C" w:rsidP="006F07D4">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z w:val="16"/>
          <w:shd w:val="clear" w:color="auto" w:fill="FFFFFF"/>
        </w:rPr>
      </w:pPr>
    </w:p>
    <w:p w14:paraId="7419EBC2" w14:textId="77777777" w:rsidR="00E97B8B" w:rsidRPr="006D096D" w:rsidRDefault="00E97B8B" w:rsidP="006F07D4">
      <w:pPr>
        <w:spacing w:after="0" w:line="288" w:lineRule="auto"/>
        <w:jc w:val="center"/>
        <w:rPr>
          <w:rFonts w:ascii="Times New Roman" w:hAnsi="Times New Roman" w:cs="Times New Roman"/>
          <w:b/>
          <w:bCs/>
          <w:i/>
          <w:iCs/>
          <w:sz w:val="24"/>
          <w:shd w:val="clear" w:color="auto" w:fill="FFFFFF"/>
        </w:rPr>
      </w:pPr>
    </w:p>
    <w:p w14:paraId="21766DDC" w14:textId="0400228F" w:rsidR="005A7CC8" w:rsidRPr="00DE5AC3" w:rsidRDefault="005A7CC8" w:rsidP="006F07D4">
      <w:pPr>
        <w:spacing w:after="0" w:line="288" w:lineRule="auto"/>
        <w:jc w:val="both"/>
        <w:rPr>
          <w:rFonts w:ascii="Times New Roman" w:hAnsi="Times New Roman" w:cs="Times New Roman"/>
          <w:b/>
          <w:bCs/>
          <w:i/>
          <w:iCs/>
          <w:shd w:val="clear" w:color="auto" w:fill="FFFFFF"/>
        </w:rPr>
      </w:pPr>
      <w:r w:rsidRPr="00DE5AC3">
        <w:rPr>
          <w:rFonts w:ascii="Times New Roman" w:hAnsi="Times New Roman"/>
          <w:b/>
          <w:bCs/>
          <w:i/>
          <w:iCs/>
          <w:shd w:val="clear" w:color="auto" w:fill="FFFFFF"/>
        </w:rPr>
        <w:t>I Presidenti e i Segretari generali dei consigli economici e sociali nazionali dell'UE e del Comitato economico e sociale europeo (CESE), riunitisi tramite videoconferenza il 9 settembre 2020, presentano le seguenti conclusioni, con cui trasmettono un chiaro messaggio di sostegno al piano europeo di ripresa e di ricostruzione per il periodo successivo alla crisi indotta dalla pandemia.</w:t>
      </w:r>
    </w:p>
    <w:p w14:paraId="5761587A" w14:textId="77777777" w:rsidR="00E37C7E" w:rsidRPr="006D096D" w:rsidRDefault="00E37C7E" w:rsidP="006F07D4">
      <w:pPr>
        <w:spacing w:after="0" w:line="288" w:lineRule="auto"/>
        <w:jc w:val="both"/>
        <w:rPr>
          <w:rFonts w:ascii="Times New Roman" w:hAnsi="Times New Roman" w:cs="Times New Roman"/>
          <w:b/>
          <w:bCs/>
          <w:i/>
          <w:iCs/>
          <w:sz w:val="20"/>
          <w:shd w:val="clear" w:color="auto" w:fill="FFFFFF"/>
        </w:rPr>
      </w:pPr>
    </w:p>
    <w:p w14:paraId="4C8C2C11" w14:textId="77777777" w:rsidR="005A7CC8" w:rsidRPr="00DE5AC3" w:rsidRDefault="005A7CC8" w:rsidP="006F07D4">
      <w:pPr>
        <w:spacing w:after="0" w:line="288" w:lineRule="auto"/>
        <w:jc w:val="both"/>
        <w:rPr>
          <w:rFonts w:ascii="Times New Roman" w:hAnsi="Times New Roman" w:cs="Times New Roman"/>
          <w:b/>
          <w:bCs/>
          <w:i/>
          <w:iCs/>
          <w:shd w:val="clear" w:color="auto" w:fill="FFFFFF"/>
        </w:rPr>
      </w:pPr>
      <w:r w:rsidRPr="00DE5AC3">
        <w:rPr>
          <w:rFonts w:ascii="Times New Roman" w:hAnsi="Times New Roman"/>
          <w:b/>
          <w:bCs/>
          <w:i/>
          <w:iCs/>
          <w:shd w:val="clear" w:color="auto" w:fill="FFFFFF"/>
        </w:rPr>
        <w:t>La riunione di quest'anno si tiene in un momento assolutamente cruciale, in cui l'UE subisce le conseguenze della più grave crisi sanitaria mai conosciuta nella sua storia e alla vigilia dell'adozione e dell'attuazione del pacchetto per la ripresa e la ricostruzione nonché dell'avvio della Conferenza sul futuro dell'Europa.</w:t>
      </w:r>
    </w:p>
    <w:p w14:paraId="388369A9" w14:textId="77777777" w:rsidR="00E37C7E" w:rsidRPr="00DE5AC3" w:rsidRDefault="00E37C7E" w:rsidP="006F07D4">
      <w:pPr>
        <w:spacing w:after="0" w:line="288" w:lineRule="auto"/>
        <w:jc w:val="both"/>
        <w:rPr>
          <w:rFonts w:ascii="Times New Roman" w:hAnsi="Times New Roman" w:cs="Times New Roman"/>
          <w:b/>
          <w:bCs/>
          <w:i/>
          <w:iCs/>
          <w:shd w:val="clear" w:color="auto" w:fill="FFFFFF"/>
        </w:rPr>
      </w:pPr>
    </w:p>
    <w:p w14:paraId="247937F0" w14:textId="77777777" w:rsidR="005A7CC8" w:rsidRPr="00DE5AC3" w:rsidRDefault="005A7CC8" w:rsidP="00EE38CD">
      <w:pPr>
        <w:keepNext/>
        <w:spacing w:after="0" w:line="288" w:lineRule="auto"/>
        <w:jc w:val="both"/>
        <w:rPr>
          <w:rFonts w:ascii="Times New Roman" w:hAnsi="Times New Roman" w:cs="Times New Roman"/>
        </w:rPr>
      </w:pPr>
      <w:r w:rsidRPr="00DE5AC3">
        <w:rPr>
          <w:rFonts w:ascii="Times New Roman" w:hAnsi="Times New Roman"/>
        </w:rPr>
        <w:t>A seguito di un approfondito dibattito con le delegazioni tenutosi alla riunione annuale, i Presidenti e i Segretari generali dei consigli economici e sociali (CES) nazionali e del CESE formulano le seguenti conclusioni:</w:t>
      </w:r>
    </w:p>
    <w:p w14:paraId="5963A6DC" w14:textId="77777777" w:rsidR="00E37C7E" w:rsidRPr="006D096D" w:rsidRDefault="00E37C7E" w:rsidP="00EE38CD">
      <w:pPr>
        <w:keepNext/>
        <w:spacing w:after="0" w:line="288" w:lineRule="auto"/>
        <w:jc w:val="both"/>
        <w:rPr>
          <w:rFonts w:ascii="Times New Roman" w:hAnsi="Times New Roman" w:cs="Times New Roman"/>
          <w:sz w:val="20"/>
          <w:shd w:val="clear" w:color="auto" w:fill="FFFFFF"/>
        </w:rPr>
      </w:pPr>
    </w:p>
    <w:p w14:paraId="5F053A5C" w14:textId="6A443F68" w:rsidR="009D2FD2" w:rsidRPr="00DE5AC3" w:rsidRDefault="00A311DE" w:rsidP="006F07D4">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b/>
        </w:rPr>
        <w:t>la crisi pandemica costituisce una grave minaccia per la resilienza delle società, delle economie e dei sistemi sanitari e pone sfide di vasta portata per le istituzioni europee</w:t>
      </w:r>
      <w:r w:rsidRPr="00DE5AC3">
        <w:rPr>
          <w:rFonts w:ascii="Times New Roman" w:hAnsi="Times New Roman"/>
        </w:rPr>
        <w:t>, dal momento che la pandemia ha ugualmente messo in luce, in particolare, i punti deboli e i limiti dell'attuale stato di avanzamento del progetto europeo. Dare una risposta tempestiva a questa emergenza a livello globale è un imperativo assoluto per garantire la protezione della salute pubblica, del benessere economico e dei sistemi sociali, oltre che per la qualità stessa della democrazia.</w:t>
      </w:r>
    </w:p>
    <w:p w14:paraId="669CBF99" w14:textId="77777777" w:rsidR="00E37C7E" w:rsidRPr="00DE5AC3" w:rsidRDefault="00E37C7E" w:rsidP="006F07D4">
      <w:pPr>
        <w:spacing w:after="0" w:line="288" w:lineRule="auto"/>
        <w:jc w:val="both"/>
        <w:rPr>
          <w:rFonts w:ascii="Times New Roman" w:hAnsi="Times New Roman" w:cs="Times New Roman"/>
          <w:color w:val="1A1A1A"/>
          <w:shd w:val="clear" w:color="auto" w:fill="FFFFFF"/>
        </w:rPr>
      </w:pPr>
    </w:p>
    <w:p w14:paraId="266F4B2B" w14:textId="77777777" w:rsidR="00285A96" w:rsidRPr="00DE5AC3" w:rsidRDefault="009D2FD2" w:rsidP="006D096D">
      <w:pPr>
        <w:pStyle w:val="ListParagraph"/>
        <w:keepNext/>
        <w:keepLines/>
        <w:numPr>
          <w:ilvl w:val="0"/>
          <w:numId w:val="2"/>
        </w:numPr>
        <w:spacing w:after="0" w:line="288" w:lineRule="auto"/>
        <w:ind w:left="714" w:hanging="357"/>
        <w:jc w:val="both"/>
        <w:rPr>
          <w:rFonts w:ascii="Times New Roman" w:hAnsi="Times New Roman" w:cs="Times New Roman"/>
        </w:rPr>
      </w:pPr>
      <w:r w:rsidRPr="00DE5AC3">
        <w:rPr>
          <w:rFonts w:ascii="Times New Roman" w:hAnsi="Times New Roman"/>
          <w:b/>
        </w:rPr>
        <w:lastRenderedPageBreak/>
        <w:t>La ripresa dall'impatto della crisi del coronavirus sarà effettiva solo se sarà accompagnata da una ristrutturazione della nostra società e da un progetto europeo più forte.</w:t>
      </w:r>
      <w:r w:rsidRPr="00DE5AC3">
        <w:rPr>
          <w:rFonts w:ascii="Times New Roman" w:hAnsi="Times New Roman"/>
        </w:rPr>
        <w:t xml:space="preserve"> Non possiamo limitarci a ripristinare quanto esisteva prima: dobbiamo ristrutturarlo e migliorarlo. Per i CES, questa ristrutturazione e questo miglioramento dovranno basarsi sui principi su cui si fonda tutto il nostro lavoro: tutelare i diritti umani e sociali, i valori democratici e lo Stato di diritto, la buona governance e la responsabilità democratica, sfruttare tutte le potenzialità del mercato unico, conseguire gli obiettivi di sviluppo sostenibile (OSS) e realizzare un'economia circolare. È essenziale che tutti gli investimenti convergano verso una trasformazione strutturale dell'economia europea, pur salvaguardando la coesione sociale e orientandosi verso la sovranità alimentare, l'inquinamento zero, il ripristino della diversità e il conseguimento della neutralità climatica nell'UE al più tardi entro il 2050.</w:t>
      </w:r>
    </w:p>
    <w:p w14:paraId="16A36A65" w14:textId="77777777" w:rsidR="005B292F" w:rsidRPr="00DE5AC3" w:rsidRDefault="005B292F" w:rsidP="006F07D4">
      <w:pPr>
        <w:spacing w:after="0" w:line="288" w:lineRule="auto"/>
        <w:jc w:val="both"/>
        <w:rPr>
          <w:rFonts w:ascii="Times New Roman" w:hAnsi="Times New Roman" w:cs="Times New Roman"/>
        </w:rPr>
      </w:pPr>
    </w:p>
    <w:p w14:paraId="163559E5" w14:textId="723A9722" w:rsidR="00285A96" w:rsidRPr="00DE5AC3" w:rsidRDefault="005B292F" w:rsidP="006F07D4">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rPr>
        <w:t>Il semestre europeo è un processo di fondamentale importanza. A partire da quest'anno il semestre si concentrerà su una strategia di crescita sostenibile e sarà essenziale per l'attuazione d</w:t>
      </w:r>
      <w:r w:rsidR="001D5867">
        <w:rPr>
          <w:rFonts w:ascii="Times New Roman" w:hAnsi="Times New Roman"/>
        </w:rPr>
        <w:t xml:space="preserve">ei piani nazionali di ripresa. </w:t>
      </w:r>
      <w:r w:rsidRPr="00DE5AC3">
        <w:rPr>
          <w:rFonts w:ascii="Times New Roman" w:hAnsi="Times New Roman"/>
        </w:rPr>
        <w:t>La società civile, a livello sia europeo che nazionale, è disponibile ad essere coinvolta a pieno titolo nel processo del semestre e ben preparata a farlo. Anche i CES nazionali, che ogni anno sono già coinvolti da vicino, nell'ambito del semestre europeo, nella preparazione del programma nazionale di riforma (PNR), dovrebbero essere coinvolti nell'elaborazione dei piani di ripresa dei rispettivi paesi.</w:t>
      </w:r>
    </w:p>
    <w:p w14:paraId="17C65852" w14:textId="77777777" w:rsidR="00F0232E" w:rsidRPr="00DE5AC3" w:rsidRDefault="00F0232E" w:rsidP="006F07D4">
      <w:pPr>
        <w:spacing w:after="0" w:line="288" w:lineRule="auto"/>
        <w:jc w:val="both"/>
        <w:rPr>
          <w:rFonts w:ascii="Times New Roman" w:hAnsi="Times New Roman" w:cs="Times New Roman"/>
        </w:rPr>
      </w:pPr>
    </w:p>
    <w:p w14:paraId="2F37091F" w14:textId="77777777" w:rsidR="00203CBA" w:rsidRPr="00DE5AC3" w:rsidRDefault="007A5857" w:rsidP="006F07D4">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rPr>
        <w:t xml:space="preserve">È altresì essenziale comprendere perché alcuni gruppi sociali si siano rivelati più vulnerabili durante la crisi, in termini sia di insufficiente protezione contro il contagio che di perdita di mezzi di sussistenza, e adoperarsi per limitare tale vulnerabilità in futuro: </w:t>
      </w:r>
      <w:r w:rsidRPr="00DE5AC3">
        <w:rPr>
          <w:rFonts w:ascii="Times New Roman" w:hAnsi="Times New Roman"/>
          <w:b/>
        </w:rPr>
        <w:t>nessuno deve essere lasciato indietro</w:t>
      </w:r>
      <w:r w:rsidRPr="00DE5AC3">
        <w:rPr>
          <w:rFonts w:ascii="Times New Roman" w:hAnsi="Times New Roman"/>
        </w:rPr>
        <w:t>.</w:t>
      </w:r>
    </w:p>
    <w:p w14:paraId="6D65C11A" w14:textId="77777777" w:rsidR="00DD2B02" w:rsidRPr="00DE5AC3" w:rsidRDefault="00DD2B02" w:rsidP="00DD2B02">
      <w:pPr>
        <w:spacing w:after="0" w:line="288" w:lineRule="auto"/>
        <w:jc w:val="both"/>
        <w:rPr>
          <w:rFonts w:ascii="Times New Roman" w:hAnsi="Times New Roman" w:cs="Times New Roman"/>
        </w:rPr>
      </w:pPr>
    </w:p>
    <w:p w14:paraId="73ADF04A" w14:textId="77777777" w:rsidR="00DD2B02" w:rsidRPr="00DE5AC3" w:rsidRDefault="00DD2B02" w:rsidP="00DD2B02">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rPr>
        <w:t xml:space="preserve">Per quanto valide e a vasto raggio, le </w:t>
      </w:r>
      <w:r w:rsidRPr="00DE5AC3">
        <w:rPr>
          <w:rFonts w:ascii="Times New Roman" w:hAnsi="Times New Roman"/>
          <w:b/>
        </w:rPr>
        <w:t>misure</w:t>
      </w:r>
      <w:r w:rsidRPr="00DE5AC3">
        <w:rPr>
          <w:rFonts w:ascii="Times New Roman" w:hAnsi="Times New Roman"/>
        </w:rPr>
        <w:t xml:space="preserve"> da adottare saranno efficaci e riscuoteranno consenso solo se saranno </w:t>
      </w:r>
      <w:r w:rsidRPr="00DE5AC3">
        <w:rPr>
          <w:rFonts w:ascii="Times New Roman" w:hAnsi="Times New Roman"/>
          <w:b/>
        </w:rPr>
        <w:t>applicate nei territori e raggiungeranno le persone a cui sono destinate</w:t>
      </w:r>
      <w:r w:rsidRPr="00DE5AC3">
        <w:rPr>
          <w:rFonts w:ascii="Times New Roman" w:hAnsi="Times New Roman"/>
        </w:rPr>
        <w:t>. È pertanto vitale garantire che siano attuate con efficacia, trasparenza ed equità.</w:t>
      </w:r>
    </w:p>
    <w:p w14:paraId="72E82BCF" w14:textId="77777777" w:rsidR="009C7E0C" w:rsidRPr="00DE5AC3" w:rsidRDefault="009C7E0C" w:rsidP="006F07D4">
      <w:pPr>
        <w:spacing w:after="0" w:line="288" w:lineRule="auto"/>
        <w:jc w:val="both"/>
        <w:rPr>
          <w:rFonts w:ascii="Times New Roman" w:hAnsi="Times New Roman" w:cs="Times New Roman"/>
        </w:rPr>
      </w:pPr>
    </w:p>
    <w:p w14:paraId="4FE597D0" w14:textId="4D920BCB" w:rsidR="00203CBA" w:rsidRPr="00DE5AC3" w:rsidRDefault="00203CBA" w:rsidP="006F07D4">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rPr>
        <w:t>Prima di ogni altra cosa, è importante sottolineare che uno dei principali insegnamenti ricavati dalla crisi è la necessità di rafforzare i sistemi sanitari di quasi ogni paese euro</w:t>
      </w:r>
      <w:r w:rsidR="006A389C">
        <w:rPr>
          <w:rFonts w:ascii="Times New Roman" w:hAnsi="Times New Roman"/>
        </w:rPr>
        <w:t xml:space="preserve">peo mediante la creazione di </w:t>
      </w:r>
      <w:r w:rsidRPr="00DE5AC3">
        <w:rPr>
          <w:rFonts w:ascii="Times New Roman" w:hAnsi="Times New Roman"/>
        </w:rPr>
        <w:t>"</w:t>
      </w:r>
      <w:r w:rsidR="006A389C">
        <w:rPr>
          <w:rFonts w:ascii="Times New Roman" w:hAnsi="Times New Roman"/>
        </w:rPr>
        <w:t>un'</w:t>
      </w:r>
      <w:r w:rsidRPr="00DE5AC3">
        <w:rPr>
          <w:rFonts w:ascii="Times New Roman" w:hAnsi="Times New Roman"/>
        </w:rPr>
        <w:t>Unione della salute dell'UE", come proposto dalla Commissione europea con il suo "programma UE per la salute" (EU4Health).</w:t>
      </w:r>
    </w:p>
    <w:p w14:paraId="6730B170" w14:textId="77777777" w:rsidR="009C7E0C" w:rsidRPr="00DE5AC3" w:rsidRDefault="009C7E0C" w:rsidP="006F07D4">
      <w:pPr>
        <w:spacing w:after="0" w:line="288" w:lineRule="auto"/>
        <w:jc w:val="both"/>
        <w:rPr>
          <w:rFonts w:ascii="Times New Roman" w:hAnsi="Times New Roman" w:cs="Times New Roman"/>
        </w:rPr>
      </w:pPr>
    </w:p>
    <w:p w14:paraId="22C2C8F4" w14:textId="143A883E" w:rsidR="00743B58" w:rsidRPr="00DE5AC3" w:rsidRDefault="007A5857" w:rsidP="006644E1">
      <w:pPr>
        <w:pStyle w:val="ListParagraph"/>
        <w:numPr>
          <w:ilvl w:val="0"/>
          <w:numId w:val="2"/>
        </w:numPr>
        <w:spacing w:after="0" w:line="288" w:lineRule="auto"/>
        <w:jc w:val="both"/>
        <w:rPr>
          <w:rFonts w:ascii="Times New Roman" w:hAnsi="Times New Roman" w:cs="Times New Roman"/>
          <w:shd w:val="clear" w:color="auto" w:fill="FFFFFF"/>
        </w:rPr>
      </w:pPr>
      <w:r w:rsidRPr="00DE5AC3">
        <w:rPr>
          <w:rFonts w:ascii="Times New Roman" w:hAnsi="Times New Roman"/>
          <w:b/>
          <w:shd w:val="clear" w:color="auto" w:fill="FFFFFF"/>
        </w:rPr>
        <w:t>Le organizzazioni dei datori di lavoro, i sindacati e altre organizzazioni della società civile hanno avuto un ruolo chiave nell'elaborare misure idonee e nel fare in modo che provvedimenti spesso assai difficili risultassero accettabili per le imprese e i cittadini in generale.</w:t>
      </w:r>
      <w:r w:rsidRPr="00DE5AC3">
        <w:rPr>
          <w:rFonts w:ascii="Times New Roman" w:hAnsi="Times New Roman"/>
          <w:shd w:val="clear" w:color="auto" w:fill="FFFFFF"/>
        </w:rPr>
        <w:t xml:space="preserve"> Negli ultimi mesi queste organizzazioni hanno attuato un gran numero di misure e dato in molti casi valide risposte ai problemi. </w:t>
      </w:r>
      <w:r w:rsidRPr="00DE5AC3">
        <w:rPr>
          <w:rFonts w:ascii="Times New Roman" w:hAnsi="Times New Roman"/>
        </w:rPr>
        <w:t>Ecco solo alcuni esempi che possono rendere conto della loro azione in questo periodo:</w:t>
      </w:r>
      <w:r w:rsidRPr="00DE5AC3">
        <w:t xml:space="preserve"> </w:t>
      </w:r>
      <w:r w:rsidRPr="00DE5AC3">
        <w:rPr>
          <w:rFonts w:ascii="Times New Roman" w:hAnsi="Times New Roman"/>
        </w:rPr>
        <w:t xml:space="preserve">in diversi Stati membri sindacati e datori di lavoro si sono adoperati attivamente per definire e applicare delle misure in materia di relazioni industriali e di lavoro, ad esempio sotto forma di "protocolli per il rientro sul luogo di lavoro"; sono stati firmati nuovi accordi collettivi che estendono l'accesso ai regimi di disoccupazione per i lavoratori; le parti sociali hanno proposto strumenti di sostegno per i lavoratori autonomi e gli imprenditori in proprio, hanno concluso accordi in materia di salute e sicurezza e introdotto misure per l'occupazione dei lavoratori; altre organizzazioni della società civile </w:t>
      </w:r>
      <w:r w:rsidRPr="00DE5AC3">
        <w:rPr>
          <w:rFonts w:ascii="Times New Roman" w:hAnsi="Times New Roman"/>
        </w:rPr>
        <w:lastRenderedPageBreak/>
        <w:t>hanno diffuso informazioni sulle misure di emergenza adottate dai governi per proteggere i consumatori, hanno introdotto programmi di apprendimento a distanza per aiutare insegnanti e discenti, hanno offerto assistenza agli operatori sanitari, alle comunità e ai gruppi vulnerabili colpiti dalla pandemia e hanno attuato numerose altre misure con cui hanno dato prova del loro risoluto impegno a continuare a fornire un sostegno vitale alle persone vulnerabili e in stato di bisogno.</w:t>
      </w:r>
    </w:p>
    <w:p w14:paraId="28C4555E" w14:textId="77777777" w:rsidR="00743B58" w:rsidRPr="00DE5AC3" w:rsidRDefault="00743B58" w:rsidP="00743B58">
      <w:pPr>
        <w:pStyle w:val="ListParagraph"/>
        <w:spacing w:after="0" w:line="288" w:lineRule="auto"/>
        <w:jc w:val="both"/>
        <w:rPr>
          <w:rFonts w:ascii="Times New Roman" w:hAnsi="Times New Roman" w:cs="Times New Roman"/>
          <w:shd w:val="clear" w:color="auto" w:fill="FFFFFF"/>
        </w:rPr>
      </w:pPr>
    </w:p>
    <w:p w14:paraId="5213F200" w14:textId="453AA9C2" w:rsidR="00AD3598" w:rsidRPr="00DE5AC3" w:rsidRDefault="00743B58" w:rsidP="006F07D4">
      <w:pPr>
        <w:pStyle w:val="ListParagraph"/>
        <w:numPr>
          <w:ilvl w:val="0"/>
          <w:numId w:val="2"/>
        </w:numPr>
        <w:spacing w:after="0" w:line="288" w:lineRule="auto"/>
        <w:jc w:val="both"/>
        <w:rPr>
          <w:rFonts w:ascii="Times New Roman" w:hAnsi="Times New Roman" w:cs="Times New Roman"/>
          <w:shd w:val="clear" w:color="auto" w:fill="FFFFFF"/>
        </w:rPr>
      </w:pPr>
      <w:r w:rsidRPr="00DE5AC3">
        <w:rPr>
          <w:rFonts w:ascii="Times New Roman" w:hAnsi="Times New Roman"/>
        </w:rPr>
        <w:t xml:space="preserve">La solidarietà tra generazioni sarà un fattore chiave per il superamento della crisi. </w:t>
      </w:r>
      <w:r w:rsidRPr="00DE5AC3">
        <w:rPr>
          <w:rFonts w:ascii="Times New Roman" w:hAnsi="Times New Roman"/>
          <w:shd w:val="clear" w:color="auto" w:fill="FFFFFF"/>
        </w:rPr>
        <w:t>Questa solidarietà e questo impegno assumono particolare importanza per quel che riguarda l'inserimento sociale dei giovani sul piano del lavoro, della formazione e dell'apprendimento, come pure per le persone con disabilità, per chi sta progressivamente perdendo autonomia e per gli anziani, affinché possano beneficiare di un'assistenza a domicilio o in istituti specializzati. Infine, la società civile è ben decisa a sostenere gli sforzi volti a combattere la violenza intrafamiliare di cui sono vittime le donne e i bambini.</w:t>
      </w:r>
    </w:p>
    <w:p w14:paraId="6237BB72" w14:textId="77777777" w:rsidR="00AD3598" w:rsidRPr="00DE5AC3" w:rsidRDefault="00AD3598" w:rsidP="006F07D4">
      <w:pPr>
        <w:spacing w:after="0" w:line="288" w:lineRule="auto"/>
        <w:jc w:val="both"/>
        <w:rPr>
          <w:rFonts w:ascii="Times New Roman" w:hAnsi="Times New Roman" w:cs="Times New Roman"/>
          <w:shd w:val="clear" w:color="auto" w:fill="FFFFFF"/>
        </w:rPr>
      </w:pPr>
    </w:p>
    <w:p w14:paraId="0F1EEF44" w14:textId="77777777" w:rsidR="00E37C7E" w:rsidRPr="00DE5AC3" w:rsidRDefault="00CC176F" w:rsidP="006F07D4">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rPr>
        <w:t>Pur con qualche eccezione in alcuni paesi, si deve constatare che, in generale, il ruolo della grande maggioranza dei CES nazionali è stato rafforzato.</w:t>
      </w:r>
    </w:p>
    <w:p w14:paraId="30CDB7EE" w14:textId="77777777" w:rsidR="009C7E0C" w:rsidRPr="00DE5AC3" w:rsidRDefault="009C7E0C" w:rsidP="006F07D4">
      <w:pPr>
        <w:spacing w:after="0" w:line="288" w:lineRule="auto"/>
        <w:jc w:val="both"/>
        <w:rPr>
          <w:rFonts w:ascii="Times New Roman" w:hAnsi="Times New Roman" w:cs="Times New Roman"/>
          <w:color w:val="1A1A1A"/>
          <w:shd w:val="clear" w:color="auto" w:fill="FFFFFF"/>
        </w:rPr>
      </w:pPr>
    </w:p>
    <w:p w14:paraId="5F15F017" w14:textId="77777777" w:rsidR="00E37C7E" w:rsidRPr="00DE5AC3" w:rsidRDefault="00194596" w:rsidP="006F07D4">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b/>
        </w:rPr>
        <w:t>Dato il loro radicamento nella realtà concreta delle nostre società ed economie, le parti sociali, le altre organizzazioni della società civile e i CES dovranno svolgere un ruolo chiave nel processo di ripresa e di ricostruzione.</w:t>
      </w:r>
      <w:r w:rsidRPr="00DE5AC3">
        <w:rPr>
          <w:rFonts w:ascii="Times New Roman" w:hAnsi="Times New Roman"/>
        </w:rPr>
        <w:t xml:space="preserve"> Il CESE, insieme alla rete dei CES nazionali, è infatti la sede più idonea per scambiare buone pratiche e punti di vista e condividere le soluzioni migliori per la ripresa e la ricostruzione.</w:t>
      </w:r>
    </w:p>
    <w:p w14:paraId="67A878E5" w14:textId="77777777" w:rsidR="009C7E0C" w:rsidRPr="00DE5AC3" w:rsidRDefault="009C7E0C" w:rsidP="006F07D4">
      <w:pPr>
        <w:spacing w:after="0" w:line="288" w:lineRule="auto"/>
        <w:jc w:val="both"/>
        <w:rPr>
          <w:rFonts w:ascii="Times New Roman" w:hAnsi="Times New Roman" w:cs="Times New Roman"/>
          <w:color w:val="1A1A1A"/>
          <w:shd w:val="clear" w:color="auto" w:fill="FFFFFF"/>
        </w:rPr>
      </w:pPr>
    </w:p>
    <w:p w14:paraId="4532E187" w14:textId="77777777" w:rsidR="00E37C7E" w:rsidRPr="00DE5AC3" w:rsidRDefault="007A5857" w:rsidP="006F07D4">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b/>
        </w:rPr>
        <w:t>Al tempo stesso, ci troviamo di fronte a una crisi strutturale della rappresentanza.</w:t>
      </w:r>
      <w:r w:rsidRPr="00DE5AC3">
        <w:rPr>
          <w:rFonts w:ascii="Times New Roman" w:hAnsi="Times New Roman"/>
        </w:rPr>
        <w:t xml:space="preserve"> Il modello attuale subisce oggi l'influenza di importanti trasformazioni che portano degli sconvolgimenti nelle organizzazioni tradizionali di rappresentanza e hanno un impatto negativo sui corpi intermedi. L'evoluzione della buona governance nel XXI secolo non potrà ignorare la sempre maggiore domanda di partecipazione dei cittadini al processo politico, sia a livello nazionale che europeo. I CES devono affrontare la sfida che consiste nel rispondere a questa crescente domanda nello svolgimento delle loro attività, nel rispetto tuttavia della cultura e della forma che assume il dialogo sociale nei diversi Stati membri. Alcuni CES sono in prima linea nell'affrontare questa evoluzione e sono stati in grado di progettare e attuare con grande successo degli strumenti di partecipazione. Le piattaforme della società civile, i gruppi rappresentativi di cittadini o le consultazioni strutturate online sono alcuni esempi di strumenti che hanno dato risultati estremamente positivi.</w:t>
      </w:r>
    </w:p>
    <w:p w14:paraId="4C02C6F1" w14:textId="77777777" w:rsidR="009C7E0C" w:rsidRPr="00DE5AC3" w:rsidRDefault="009C7E0C" w:rsidP="006F07D4">
      <w:pPr>
        <w:spacing w:after="0" w:line="288" w:lineRule="auto"/>
        <w:jc w:val="both"/>
        <w:rPr>
          <w:rFonts w:ascii="Times New Roman" w:hAnsi="Times New Roman" w:cs="Times New Roman"/>
          <w:color w:val="1A1A1A"/>
          <w:shd w:val="clear" w:color="auto" w:fill="FFFFFF"/>
        </w:rPr>
      </w:pPr>
    </w:p>
    <w:p w14:paraId="2196EFA8" w14:textId="72AF8555" w:rsidR="007A5857" w:rsidRPr="00DE5AC3" w:rsidRDefault="00E37C7E" w:rsidP="006F07D4">
      <w:pPr>
        <w:pStyle w:val="ListParagraph"/>
        <w:numPr>
          <w:ilvl w:val="0"/>
          <w:numId w:val="2"/>
        </w:numPr>
        <w:spacing w:after="0" w:line="288" w:lineRule="auto"/>
        <w:jc w:val="both"/>
        <w:rPr>
          <w:rFonts w:ascii="Times New Roman" w:hAnsi="Times New Roman" w:cs="Times New Roman"/>
        </w:rPr>
      </w:pPr>
      <w:r w:rsidRPr="00DE5AC3">
        <w:rPr>
          <w:rFonts w:ascii="Times New Roman" w:hAnsi="Times New Roman"/>
          <w:b/>
        </w:rPr>
        <w:t>Alla vigilia della Conferenza sul futuro dell'Europa, i CES europei ribadiscono la loro volontà di cooperare pienamente con i governi e i parlamenti e di partecipare all'elaborazione, alla formulazione e all'attuazione dei processi in tutte le loro fasi e a tutti i livelli, nonché di essere coinvolti in merito a questioni specifiche di qualsiasi tipo al fine di tutelare la salute, la sicurezza e il benessere dei cittadini.</w:t>
      </w:r>
      <w:r w:rsidRPr="00DE5AC3">
        <w:rPr>
          <w:rFonts w:ascii="Times New Roman" w:hAnsi="Times New Roman"/>
        </w:rPr>
        <w:t xml:space="preserve"> Secondo i CES, le misure previste dovrebbero essere definite attraverso il dialogo sociale e la costruzione del consenso nonché con la partecipazione e l'accordo delle parti sociali e della società civile organizzata. In questo nuovo processo di ripresa e di ricostruzione, i CES auspicano che l'imminente Conferenza sul futuro dell'Europa possa rappresentare un'opportunità per rafforzare e </w:t>
      </w:r>
      <w:r w:rsidRPr="00DE5AC3">
        <w:rPr>
          <w:rFonts w:ascii="Times New Roman" w:hAnsi="Times New Roman"/>
        </w:rPr>
        <w:lastRenderedPageBreak/>
        <w:t>approfondire la struttura istituzionale dell'UE e per procedere a un autentico rilancio del progetto europeo, affinché quest'ultimo sia in grado di affrontare le sfide dei prossimi decenni e di soddisfare le aspirazioni delle nazioni europee che chiedono "più Europa".</w:t>
      </w:r>
    </w:p>
    <w:p w14:paraId="3674CD49" w14:textId="7581C054" w:rsidR="006F07D4" w:rsidRDefault="006F07D4" w:rsidP="006F07D4">
      <w:pPr>
        <w:spacing w:after="0" w:line="288" w:lineRule="auto"/>
        <w:jc w:val="both"/>
        <w:rPr>
          <w:rFonts w:ascii="Times New Roman" w:hAnsi="Times New Roman" w:cs="Times New Roman"/>
          <w:sz w:val="16"/>
        </w:rPr>
      </w:pPr>
    </w:p>
    <w:p w14:paraId="0DBC4E1B" w14:textId="77777777" w:rsidR="006D096D" w:rsidRPr="006D096D" w:rsidRDefault="006D096D" w:rsidP="006F07D4">
      <w:pPr>
        <w:spacing w:after="0" w:line="288" w:lineRule="auto"/>
        <w:jc w:val="both"/>
        <w:rPr>
          <w:rFonts w:ascii="Times New Roman" w:hAnsi="Times New Roman" w:cs="Times New Roman"/>
          <w:sz w:val="16"/>
        </w:rPr>
      </w:pPr>
    </w:p>
    <w:p w14:paraId="39F42769" w14:textId="77777777" w:rsidR="008E4B22" w:rsidRPr="00DE5AC3" w:rsidRDefault="004C129F" w:rsidP="006F07D4">
      <w:pPr>
        <w:spacing w:after="0" w:line="288" w:lineRule="auto"/>
        <w:ind w:left="426" w:hanging="426"/>
        <w:jc w:val="center"/>
        <w:rPr>
          <w:rFonts w:ascii="Times New Roman" w:hAnsi="Times New Roman" w:cs="Times New Roman"/>
        </w:rPr>
      </w:pPr>
      <w:r w:rsidRPr="00DE5AC3">
        <w:rPr>
          <w:rFonts w:ascii="Times New Roman" w:hAnsi="Times New Roman"/>
          <w:b/>
          <w:color w:val="1A1A1A"/>
          <w:shd w:val="clear" w:color="auto" w:fill="FFFFFF"/>
        </w:rPr>
        <w:t>_____________</w:t>
      </w:r>
    </w:p>
    <w:sectPr w:rsidR="008E4B22" w:rsidRPr="00DE5AC3" w:rsidSect="00D1088A">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4F22" w14:textId="77777777" w:rsidR="001D4808" w:rsidRDefault="001D4808" w:rsidP="00E37C7E">
      <w:pPr>
        <w:spacing w:after="0" w:line="240" w:lineRule="auto"/>
      </w:pPr>
      <w:r>
        <w:separator/>
      </w:r>
    </w:p>
  </w:endnote>
  <w:endnote w:type="continuationSeparator" w:id="0">
    <w:p w14:paraId="0CFC6C44" w14:textId="77777777" w:rsidR="001D4808" w:rsidRDefault="001D4808" w:rsidP="00E37C7E">
      <w:pPr>
        <w:spacing w:after="0" w:line="240" w:lineRule="auto"/>
      </w:pPr>
      <w:r>
        <w:continuationSeparator/>
      </w:r>
    </w:p>
  </w:endnote>
  <w:endnote w:type="continuationNotice" w:id="1">
    <w:p w14:paraId="53F8791D" w14:textId="77777777" w:rsidR="001D4808" w:rsidRDefault="001D4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334B2" w14:textId="77777777" w:rsidR="00294CA2" w:rsidRDefault="0029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14:paraId="3E57E4EB" w14:textId="768DC034" w:rsidR="0071298C" w:rsidRPr="00D1088A" w:rsidRDefault="00D1088A" w:rsidP="00294CA2">
    <w:pPr>
      <w:pStyle w:val="Footer"/>
      <w:jc w:val="center"/>
    </w:pPr>
    <w:r>
      <w:fldChar w:fldCharType="begin"/>
    </w:r>
    <w:r>
      <w:instrText xml:space="preserve"> PAGE  \* Arabic  \* MERGEFORMAT </w:instrText>
    </w:r>
    <w:r>
      <w:fldChar w:fldCharType="separate"/>
    </w:r>
    <w:r w:rsidR="00294CA2">
      <w:rPr>
        <w:noProof/>
      </w:rPr>
      <w:t>1</w:t>
    </w:r>
    <w:r>
      <w:fldChar w:fldCharType="end"/>
    </w:r>
    <w:r>
      <w:t>/</w:t>
    </w:r>
    <w:fldSimple w:instr=" NUMPAGES ">
      <w:r w:rsidR="00294CA2">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69D6" w14:textId="77777777" w:rsidR="00294CA2" w:rsidRDefault="0029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7E888" w14:textId="77777777" w:rsidR="001D4808" w:rsidRDefault="001D4808" w:rsidP="00E37C7E">
      <w:pPr>
        <w:spacing w:after="0" w:line="240" w:lineRule="auto"/>
      </w:pPr>
      <w:r>
        <w:separator/>
      </w:r>
    </w:p>
  </w:footnote>
  <w:footnote w:type="continuationSeparator" w:id="0">
    <w:p w14:paraId="53EF90F7" w14:textId="77777777" w:rsidR="001D4808" w:rsidRDefault="001D4808" w:rsidP="00E37C7E">
      <w:pPr>
        <w:spacing w:after="0" w:line="240" w:lineRule="auto"/>
      </w:pPr>
      <w:r>
        <w:continuationSeparator/>
      </w:r>
    </w:p>
  </w:footnote>
  <w:footnote w:type="continuationNotice" w:id="1">
    <w:p w14:paraId="228411DC" w14:textId="77777777" w:rsidR="001D4808" w:rsidRDefault="001D4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C386" w14:textId="77777777" w:rsidR="00294CA2" w:rsidRDefault="00294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FAC25" w14:textId="77777777" w:rsidR="00294CA2" w:rsidRDefault="00294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04AB" w14:textId="77777777" w:rsidR="00294CA2" w:rsidRDefault="00294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1686B"/>
    <w:multiLevelType w:val="hybridMultilevel"/>
    <w:tmpl w:val="B4A6DAA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EB7865"/>
    <w:multiLevelType w:val="hybridMultilevel"/>
    <w:tmpl w:val="723831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FA"/>
    <w:rsid w:val="0003690C"/>
    <w:rsid w:val="0006351F"/>
    <w:rsid w:val="00072E2D"/>
    <w:rsid w:val="00074ABB"/>
    <w:rsid w:val="000862AA"/>
    <w:rsid w:val="0009345A"/>
    <w:rsid w:val="000D4141"/>
    <w:rsid w:val="000D41F9"/>
    <w:rsid w:val="000D6B94"/>
    <w:rsid w:val="000E72A5"/>
    <w:rsid w:val="000F5453"/>
    <w:rsid w:val="000F60EA"/>
    <w:rsid w:val="00100F72"/>
    <w:rsid w:val="001338A5"/>
    <w:rsid w:val="001462AD"/>
    <w:rsid w:val="00150862"/>
    <w:rsid w:val="00152766"/>
    <w:rsid w:val="00162EB1"/>
    <w:rsid w:val="00167A75"/>
    <w:rsid w:val="001774AB"/>
    <w:rsid w:val="00180046"/>
    <w:rsid w:val="00194596"/>
    <w:rsid w:val="00195E8A"/>
    <w:rsid w:val="00197209"/>
    <w:rsid w:val="001A638B"/>
    <w:rsid w:val="001B0393"/>
    <w:rsid w:val="001B3993"/>
    <w:rsid w:val="001B5BBD"/>
    <w:rsid w:val="001D4808"/>
    <w:rsid w:val="001D5867"/>
    <w:rsid w:val="00203CBA"/>
    <w:rsid w:val="00216E75"/>
    <w:rsid w:val="00223789"/>
    <w:rsid w:val="0024290A"/>
    <w:rsid w:val="00255492"/>
    <w:rsid w:val="00261C1E"/>
    <w:rsid w:val="00261FFA"/>
    <w:rsid w:val="00264AC5"/>
    <w:rsid w:val="00285A96"/>
    <w:rsid w:val="00294CA2"/>
    <w:rsid w:val="002A546E"/>
    <w:rsid w:val="002B2FA5"/>
    <w:rsid w:val="002D3DEF"/>
    <w:rsid w:val="002F3931"/>
    <w:rsid w:val="002F7729"/>
    <w:rsid w:val="00310F13"/>
    <w:rsid w:val="00336BF0"/>
    <w:rsid w:val="003375D4"/>
    <w:rsid w:val="003420C9"/>
    <w:rsid w:val="00383292"/>
    <w:rsid w:val="003907BE"/>
    <w:rsid w:val="003A1E8D"/>
    <w:rsid w:val="003A7219"/>
    <w:rsid w:val="003B245D"/>
    <w:rsid w:val="003B311B"/>
    <w:rsid w:val="003D7565"/>
    <w:rsid w:val="003E79FA"/>
    <w:rsid w:val="003F5B66"/>
    <w:rsid w:val="003F66E8"/>
    <w:rsid w:val="003F70FE"/>
    <w:rsid w:val="003F75BA"/>
    <w:rsid w:val="004024CB"/>
    <w:rsid w:val="00430D54"/>
    <w:rsid w:val="00434878"/>
    <w:rsid w:val="00445D5A"/>
    <w:rsid w:val="00455B02"/>
    <w:rsid w:val="0045780A"/>
    <w:rsid w:val="0047199B"/>
    <w:rsid w:val="00480459"/>
    <w:rsid w:val="004C129F"/>
    <w:rsid w:val="004C6322"/>
    <w:rsid w:val="004E1A95"/>
    <w:rsid w:val="004E64C1"/>
    <w:rsid w:val="00500783"/>
    <w:rsid w:val="00511916"/>
    <w:rsid w:val="005126C1"/>
    <w:rsid w:val="00552914"/>
    <w:rsid w:val="0056537F"/>
    <w:rsid w:val="00586401"/>
    <w:rsid w:val="0059522F"/>
    <w:rsid w:val="005A4FFE"/>
    <w:rsid w:val="005A6F87"/>
    <w:rsid w:val="005A7CC8"/>
    <w:rsid w:val="005B292F"/>
    <w:rsid w:val="005B7208"/>
    <w:rsid w:val="005C7B52"/>
    <w:rsid w:val="005D12D4"/>
    <w:rsid w:val="005E2AE5"/>
    <w:rsid w:val="0060040D"/>
    <w:rsid w:val="006300B0"/>
    <w:rsid w:val="00636B5D"/>
    <w:rsid w:val="00662284"/>
    <w:rsid w:val="006644E1"/>
    <w:rsid w:val="00675152"/>
    <w:rsid w:val="0069233A"/>
    <w:rsid w:val="00692C6A"/>
    <w:rsid w:val="006A389C"/>
    <w:rsid w:val="006A6263"/>
    <w:rsid w:val="006D096D"/>
    <w:rsid w:val="006E23B4"/>
    <w:rsid w:val="006E38E6"/>
    <w:rsid w:val="006F07D4"/>
    <w:rsid w:val="00703645"/>
    <w:rsid w:val="0071298C"/>
    <w:rsid w:val="00714F38"/>
    <w:rsid w:val="00725866"/>
    <w:rsid w:val="007402DF"/>
    <w:rsid w:val="00743B58"/>
    <w:rsid w:val="00745C11"/>
    <w:rsid w:val="00772697"/>
    <w:rsid w:val="00791307"/>
    <w:rsid w:val="007A2313"/>
    <w:rsid w:val="007A5857"/>
    <w:rsid w:val="007D6A6C"/>
    <w:rsid w:val="007F5E31"/>
    <w:rsid w:val="00837201"/>
    <w:rsid w:val="00852CB3"/>
    <w:rsid w:val="00855BB7"/>
    <w:rsid w:val="00876C0B"/>
    <w:rsid w:val="008B2421"/>
    <w:rsid w:val="008C4718"/>
    <w:rsid w:val="008D7D59"/>
    <w:rsid w:val="008E4952"/>
    <w:rsid w:val="008E4B22"/>
    <w:rsid w:val="0090283E"/>
    <w:rsid w:val="009316F3"/>
    <w:rsid w:val="0093643E"/>
    <w:rsid w:val="00943596"/>
    <w:rsid w:val="009914F6"/>
    <w:rsid w:val="009C28DB"/>
    <w:rsid w:val="009C33F9"/>
    <w:rsid w:val="009C7E0C"/>
    <w:rsid w:val="009D2FD2"/>
    <w:rsid w:val="009F5255"/>
    <w:rsid w:val="00A07E8C"/>
    <w:rsid w:val="00A10F48"/>
    <w:rsid w:val="00A311DE"/>
    <w:rsid w:val="00A40F5D"/>
    <w:rsid w:val="00A478D1"/>
    <w:rsid w:val="00A54E1F"/>
    <w:rsid w:val="00A55D2C"/>
    <w:rsid w:val="00A773F9"/>
    <w:rsid w:val="00A9100B"/>
    <w:rsid w:val="00AA79D7"/>
    <w:rsid w:val="00AC49F6"/>
    <w:rsid w:val="00AD3598"/>
    <w:rsid w:val="00AE4708"/>
    <w:rsid w:val="00B33195"/>
    <w:rsid w:val="00B454B5"/>
    <w:rsid w:val="00B618B5"/>
    <w:rsid w:val="00B650F0"/>
    <w:rsid w:val="00B750E5"/>
    <w:rsid w:val="00BA5943"/>
    <w:rsid w:val="00BC3EC8"/>
    <w:rsid w:val="00BC5F54"/>
    <w:rsid w:val="00BD4304"/>
    <w:rsid w:val="00C30670"/>
    <w:rsid w:val="00CA20A3"/>
    <w:rsid w:val="00CB5893"/>
    <w:rsid w:val="00CC176F"/>
    <w:rsid w:val="00CD4504"/>
    <w:rsid w:val="00D101D1"/>
    <w:rsid w:val="00D10385"/>
    <w:rsid w:val="00D1088A"/>
    <w:rsid w:val="00D25816"/>
    <w:rsid w:val="00D264FE"/>
    <w:rsid w:val="00D2773C"/>
    <w:rsid w:val="00D444BA"/>
    <w:rsid w:val="00D61443"/>
    <w:rsid w:val="00D87E0E"/>
    <w:rsid w:val="00D9603E"/>
    <w:rsid w:val="00DD2B02"/>
    <w:rsid w:val="00DE5AC3"/>
    <w:rsid w:val="00DE5EE9"/>
    <w:rsid w:val="00DF6654"/>
    <w:rsid w:val="00E20A22"/>
    <w:rsid w:val="00E2798D"/>
    <w:rsid w:val="00E326E0"/>
    <w:rsid w:val="00E37C7E"/>
    <w:rsid w:val="00E4496A"/>
    <w:rsid w:val="00E6298B"/>
    <w:rsid w:val="00E6769E"/>
    <w:rsid w:val="00E67D38"/>
    <w:rsid w:val="00E74EBB"/>
    <w:rsid w:val="00E97B8B"/>
    <w:rsid w:val="00EB3ABE"/>
    <w:rsid w:val="00EB5C93"/>
    <w:rsid w:val="00EE38CD"/>
    <w:rsid w:val="00F0232E"/>
    <w:rsid w:val="00F026DC"/>
    <w:rsid w:val="00F30D51"/>
    <w:rsid w:val="00F410EA"/>
    <w:rsid w:val="00F6298C"/>
    <w:rsid w:val="00F753D6"/>
    <w:rsid w:val="00FA6179"/>
    <w:rsid w:val="00FB5989"/>
    <w:rsid w:val="00FC13DA"/>
    <w:rsid w:val="00FC1B09"/>
    <w:rsid w:val="00FC3F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69EA60"/>
  <w15:chartTrackingRefBased/>
  <w15:docId w15:val="{156E38F1-B789-4728-8D58-AF17C35F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857"/>
    <w:rPr>
      <w:rFonts w:ascii="Segoe UI" w:hAnsi="Segoe UI" w:cs="Segoe UI"/>
      <w:sz w:val="18"/>
      <w:szCs w:val="18"/>
    </w:rPr>
  </w:style>
  <w:style w:type="character" w:styleId="CommentReference">
    <w:name w:val="annotation reference"/>
    <w:basedOn w:val="DefaultParagraphFont"/>
    <w:uiPriority w:val="99"/>
    <w:semiHidden/>
    <w:unhideWhenUsed/>
    <w:rsid w:val="007A5857"/>
    <w:rPr>
      <w:sz w:val="16"/>
      <w:szCs w:val="16"/>
    </w:rPr>
  </w:style>
  <w:style w:type="paragraph" w:styleId="CommentText">
    <w:name w:val="annotation text"/>
    <w:basedOn w:val="Normal"/>
    <w:link w:val="CommentTextChar"/>
    <w:uiPriority w:val="99"/>
    <w:semiHidden/>
    <w:unhideWhenUsed/>
    <w:rsid w:val="007A5857"/>
    <w:pPr>
      <w:spacing w:line="240" w:lineRule="auto"/>
    </w:pPr>
    <w:rPr>
      <w:sz w:val="20"/>
      <w:szCs w:val="20"/>
    </w:rPr>
  </w:style>
  <w:style w:type="character" w:customStyle="1" w:styleId="CommentTextChar">
    <w:name w:val="Comment Text Char"/>
    <w:basedOn w:val="DefaultParagraphFont"/>
    <w:link w:val="CommentText"/>
    <w:uiPriority w:val="99"/>
    <w:semiHidden/>
    <w:rsid w:val="007A5857"/>
    <w:rPr>
      <w:sz w:val="20"/>
      <w:szCs w:val="20"/>
    </w:rPr>
  </w:style>
  <w:style w:type="paragraph" w:styleId="CommentSubject">
    <w:name w:val="annotation subject"/>
    <w:basedOn w:val="CommentText"/>
    <w:next w:val="CommentText"/>
    <w:link w:val="CommentSubjectChar"/>
    <w:uiPriority w:val="99"/>
    <w:semiHidden/>
    <w:unhideWhenUsed/>
    <w:rsid w:val="007A5857"/>
    <w:rPr>
      <w:b/>
      <w:bCs/>
    </w:rPr>
  </w:style>
  <w:style w:type="character" w:customStyle="1" w:styleId="CommentSubjectChar">
    <w:name w:val="Comment Subject Char"/>
    <w:basedOn w:val="CommentTextChar"/>
    <w:link w:val="CommentSubject"/>
    <w:uiPriority w:val="99"/>
    <w:semiHidden/>
    <w:rsid w:val="007A5857"/>
    <w:rPr>
      <w:b/>
      <w:bCs/>
      <w:sz w:val="20"/>
      <w:szCs w:val="20"/>
    </w:rPr>
  </w:style>
  <w:style w:type="paragraph" w:styleId="ListParagraph">
    <w:name w:val="List Paragraph"/>
    <w:basedOn w:val="Normal"/>
    <w:uiPriority w:val="34"/>
    <w:qFormat/>
    <w:rsid w:val="000862AA"/>
    <w:pPr>
      <w:ind w:left="720"/>
      <w:contextualSpacing/>
    </w:pPr>
  </w:style>
  <w:style w:type="paragraph" w:styleId="Header">
    <w:name w:val="header"/>
    <w:basedOn w:val="Normal"/>
    <w:link w:val="HeaderChar"/>
    <w:uiPriority w:val="99"/>
    <w:unhideWhenUsed/>
    <w:rsid w:val="00E37C7E"/>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37C7E"/>
    <w:rPr>
      <w:rFonts w:ascii="Times New Roman" w:hAnsi="Times New Roman" w:cs="Times New Roman"/>
    </w:rPr>
  </w:style>
  <w:style w:type="paragraph" w:styleId="Footer">
    <w:name w:val="footer"/>
    <w:basedOn w:val="Normal"/>
    <w:link w:val="FooterChar"/>
    <w:uiPriority w:val="99"/>
    <w:unhideWhenUsed/>
    <w:rsid w:val="00E37C7E"/>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37C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3647">
      <w:bodyDiv w:val="1"/>
      <w:marLeft w:val="0"/>
      <w:marRight w:val="0"/>
      <w:marTop w:val="0"/>
      <w:marBottom w:val="0"/>
      <w:divBdr>
        <w:top w:val="none" w:sz="0" w:space="0" w:color="auto"/>
        <w:left w:val="none" w:sz="0" w:space="0" w:color="auto"/>
        <w:bottom w:val="none" w:sz="0" w:space="0" w:color="auto"/>
        <w:right w:val="none" w:sz="0" w:space="0" w:color="auto"/>
      </w:divBdr>
    </w:div>
    <w:div w:id="747072628">
      <w:bodyDiv w:val="1"/>
      <w:marLeft w:val="0"/>
      <w:marRight w:val="0"/>
      <w:marTop w:val="0"/>
      <w:marBottom w:val="0"/>
      <w:divBdr>
        <w:top w:val="none" w:sz="0" w:space="0" w:color="auto"/>
        <w:left w:val="none" w:sz="0" w:space="0" w:color="auto"/>
        <w:bottom w:val="none" w:sz="0" w:space="0" w:color="auto"/>
        <w:right w:val="none" w:sz="0" w:space="0" w:color="auto"/>
      </w:divBdr>
    </w:div>
    <w:div w:id="15677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VV634QRNENMJ-762678085-4838</_dlc_DocId>
    <_dlc_DocIdUrl xmlns="cda99570-6012-4083-bfeb-7d32ad1ce1a3">
      <Url>http://dm2016/eesc/2020/_layouts/15/DocIdRedir.aspx?ID=VV634QRNENMJ-762678085-4838</Url>
      <Description>VV634QRNENMJ-762678085-4838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2020-09-18T12:00:00+00:00</ProductionDate>
    <FicheYear xmlns="cda99570-6012-4083-bfeb-7d32ad1ce1a3">2020</FicheYear>
    <DocumentNumber xmlns="98af4b3d-0f8e-4839-87de-ec8dfffabf66">3505</DocumentNumber>
    <DocumentVersion xmlns="cda99570-6012-4083-bfeb-7d32ad1ce1a3">3</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36</Value>
      <Value>34</Value>
      <Value>31</Value>
      <Value>43</Value>
      <Value>29</Value>
      <Value>45</Value>
      <Value>38</Value>
      <Value>9</Value>
      <Value>39</Value>
      <Value>16</Value>
      <Value>13</Value>
      <Value>41</Value>
      <Value>11</Value>
      <Value>10</Value>
      <Value>46</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9577</FicheNumber>
    <DocumentPart xmlns="cda99570-6012-4083-bfeb-7d32ad1ce1a3">0</DocumentPart>
    <AdoptionDate xmlns="cda99570-6012-4083-bfeb-7d32ad1ce1a3" xsi:nil="true"/>
    <RequestingService xmlns="cda99570-6012-4083-bfeb-7d32ad1ce1a3">Relations avec les conseils économiques et sociaux nationaux et la société civile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af4b3d-0f8e-4839-87de-ec8dfffabf66" xsi:nil="true"/>
    <DossierName_0 xmlns="http://schemas.microsoft.com/sharepoint/v3/fields">
      <Terms xmlns="http://schemas.microsoft.com/office/infopath/2007/PartnerControls"/>
    </DossierName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292A099219C5BF43911B0000CE8DBCC8" ma:contentTypeVersion="4" ma:contentTypeDescription="Defines the documents for Document Manager V2" ma:contentTypeScope="" ma:versionID="d945b5853b9a409bd93986b015db2ee4">
  <xsd:schema xmlns:xsd="http://www.w3.org/2001/XMLSchema" xmlns:xs="http://www.w3.org/2001/XMLSchema" xmlns:p="http://schemas.microsoft.com/office/2006/metadata/properties" xmlns:ns2="cda99570-6012-4083-bfeb-7d32ad1ce1a3" xmlns:ns3="http://schemas.microsoft.com/sharepoint/v3/fields" xmlns:ns4="98af4b3d-0f8e-4839-87de-ec8dfffabf66" targetNamespace="http://schemas.microsoft.com/office/2006/metadata/properties" ma:root="true" ma:fieldsID="012abeaec5591cf3df1cee32d300b2f6" ns2:_="" ns3:_="" ns4:_="">
    <xsd:import namespace="cda99570-6012-4083-bfeb-7d32ad1ce1a3"/>
    <xsd:import namespace="http://schemas.microsoft.com/sharepoint/v3/fields"/>
    <xsd:import namespace="98af4b3d-0f8e-4839-87de-ec8dfffabf6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af4b3d-0f8e-4839-87de-ec8dfffabf6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52DA8-1A61-41E2-A672-AF5CC7FF33AE}">
  <ds:schemaRefs>
    <ds:schemaRef ds:uri="http://schemas.microsoft.com/sharepoint/events"/>
  </ds:schemaRefs>
</ds:datastoreItem>
</file>

<file path=customXml/itemProps2.xml><?xml version="1.0" encoding="utf-8"?>
<ds:datastoreItem xmlns:ds="http://schemas.openxmlformats.org/officeDocument/2006/customXml" ds:itemID="{BD5E6FEE-D5E6-44C8-9051-354AA6121A4B}">
  <ds:schemaRefs>
    <ds:schemaRef ds:uri="http://schemas.microsoft.com/sharepoint/v3/contenttype/forms"/>
  </ds:schemaRefs>
</ds:datastoreItem>
</file>

<file path=customXml/itemProps3.xml><?xml version="1.0" encoding="utf-8"?>
<ds:datastoreItem xmlns:ds="http://schemas.openxmlformats.org/officeDocument/2006/customXml" ds:itemID="{E8D34DA7-2DF0-4E5A-A8D9-0AC88A86B70F}">
  <ds:schemaRefs>
    <ds:schemaRef ds:uri="http://purl.org/dc/elements/1.1/"/>
    <ds:schemaRef ds:uri="http://schemas.microsoft.com/office/2006/metadata/properties"/>
    <ds:schemaRef ds:uri="cda99570-6012-4083-bfeb-7d32ad1ce1a3"/>
    <ds:schemaRef ds:uri="http://purl.org/dc/terms/"/>
    <ds:schemaRef ds:uri="http://schemas.openxmlformats.org/package/2006/metadata/core-properties"/>
    <ds:schemaRef ds:uri="http://schemas.microsoft.com/office/2006/documentManagement/types"/>
    <ds:schemaRef ds:uri="98af4b3d-0f8e-4839-87de-ec8dfffabf66"/>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5AD78C93-D9EC-45EA-BBE7-24E1FD218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98af4b3d-0f8e-4839-87de-ec8dfffab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8010</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Conclusioni adottate nel corso della riunione annuale dei Presidenti e dei Segretari generali dei consigli economici e sociali nazionali dell'UE e del Comitato economico e sociale europeo (09/09/2020)</vt: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Conclusioni adottate nel corso della riunione annuale dei Presidenti e dei Segretari generali dei consigli economici e sociali nazionali dell'UE e del Comitato economico e sociale europeo (09/09/2020)</dc:title>
  <dc:subject>Lavori consultivi, varie</dc:subject>
  <dc:creator>siegfried jantscher</dc:creator>
  <cp:keywords>EESC-2020-03505-00-03-TCD-TRA-EN</cp:keywords>
  <dc:description>Rapporteur:  - Original language: EN - Date of document: 18/09/2020 - Date of meeting:  - External documents:  - Administrator: M. JANTSCHER Siegfried Hubert</dc:description>
  <cp:lastModifiedBy>Sonia Calvy</cp:lastModifiedBy>
  <cp:revision>2</cp:revision>
  <cp:lastPrinted>2020-07-28T10:13:00Z</cp:lastPrinted>
  <dcterms:created xsi:type="dcterms:W3CDTF">2020-09-23T09:48:00Z</dcterms:created>
  <dcterms:modified xsi:type="dcterms:W3CDTF">2020-09-23T09:48:00Z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11/09/2020, 08/09/2020, 21/08/2020, 03/08/2020</vt:lpwstr>
  </property>
  <property fmtid="{D5CDD505-2E9C-101B-9397-08002B2CF9AE}" pid="4" name="Pref_Time">
    <vt:lpwstr>12:26:42, 12:13:46, 08:04:17, 13:50:36</vt:lpwstr>
  </property>
  <property fmtid="{D5CDD505-2E9C-101B-9397-08002B2CF9AE}" pid="5" name="Pref_User">
    <vt:lpwstr>hnic, mkop, amett, enied</vt:lpwstr>
  </property>
  <property fmtid="{D5CDD505-2E9C-101B-9397-08002B2CF9AE}" pid="6" name="Pref_FileName">
    <vt:lpwstr>EESC-2020-03505-00-03-TCD-ORI.docx, EESC-2020-03505-00-02-TCD-ORI.docx, EESC-2020-03505-00-01-TCD-ORI.docx, EESC-2020-03505-00-00-TCD-ORI.docx</vt:lpwstr>
  </property>
  <property fmtid="{D5CDD505-2E9C-101B-9397-08002B2CF9AE}" pid="7" name="ContentTypeId">
    <vt:lpwstr>0x010100EA97B91038054C99906057A708A1480A00292A099219C5BF43911B0000CE8DBCC8</vt:lpwstr>
  </property>
  <property fmtid="{D5CDD505-2E9C-101B-9397-08002B2CF9AE}" pid="8" name="_dlc_DocIdItemGuid">
    <vt:lpwstr>af4f8c8e-c232-450d-aea8-d1b9db86577a</vt:lpwstr>
  </property>
  <property fmtid="{D5CDD505-2E9C-101B-9397-08002B2CF9AE}" pid="9" name="AvailableTranslations">
    <vt:lpwstr>4;#EN|f2175f21-25d7-44a3-96da-d6a61b075e1b;#36;#MT|7df99101-6854-4a26-b53a-b88c0da02c26;#39;#HU|6b229040-c589-4408-b4c1-4285663d20a8;#11;#FR|d2afafd3-4c81-4f60-8f52-ee33f2f54ff3;#34;#SL|98a412ae-eb01-49e9-ae3d-585a81724cfc;#31;#CS|72f9705b-0217-4fd3-bea2-</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3505</vt:i4>
  </property>
  <property fmtid="{D5CDD505-2E9C-101B-9397-08002B2CF9AE}" pid="14" name="FicheYear">
    <vt:i4>2020</vt:i4>
  </property>
  <property fmtid="{D5CDD505-2E9C-101B-9397-08002B2CF9AE}" pid="15" name="DocumentVersion">
    <vt:i4>3</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8;#TCD|cd9d6eb6-3f4f-424a-b2d1-57c9d450eaaf</vt:lpwstr>
  </property>
  <property fmtid="{D5CDD505-2E9C-101B-9397-08002B2CF9AE}" pid="21" name="RequestingService">
    <vt:lpwstr>Relations avec les conseils économiques et sociaux nationaux et la société civile</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EN|f2175f21-25d7-44a3-96da-d6a61b075e1b;FR|d2afafd3-4c81-4f60-8f52-ee33f2f54ff3;PL|1e03da61-4678-4e07-b136-b5024ca9197b;PT|50ccc04a-eadd-42ae-a0cb-acaf45f812ba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29;#PT|50ccc04a-eadd-42ae-a0cb-acaf45f812ba;#11;#FR|d2afafd3-4c81-4f60-8f52-ee33f2f54ff3;#9;#PL|1e03da61-4678-4e07-b136-b5024ca9197b;#8;#TCD|cd9d6eb6-3f4f-424a-b2d1-57c9d450eaaf;#6;#Final|ea5e6674-7b27-4bac-b091-73adbb394efe;#5;#Unrestricted|826e22d7-d029</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2020</vt:i4>
  </property>
  <property fmtid="{D5CDD505-2E9C-101B-9397-08002B2CF9AE}" pid="34" name="FicheNumber">
    <vt:i4>9577</vt:i4>
  </property>
  <property fmtid="{D5CDD505-2E9C-101B-9397-08002B2CF9AE}" pid="35" name="DocumentLanguage">
    <vt:lpwstr>13;#IT|0774613c-01ed-4e5d-a25d-11d2388de825</vt:lpwstr>
  </property>
  <property fmtid="{D5CDD505-2E9C-101B-9397-08002B2CF9AE}" pid="36" name="_docset_NoMedatataSyncRequired">
    <vt:lpwstr>False</vt:lpwstr>
  </property>
</Properties>
</file>