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B5" w:rsidRPr="00C3394F" w:rsidRDefault="007D0E35" w:rsidP="00EA79B5">
      <w:pPr>
        <w:spacing w:after="0" w:line="288" w:lineRule="auto"/>
        <w:rPr>
          <w:rFonts w:ascii="Times New Roman" w:hAnsi="Times New Roman" w:cs="Times New Roman"/>
        </w:rPr>
      </w:pPr>
      <w:bookmarkStart w:id="0" w:name="_GoBack"/>
      <w:bookmarkEnd w:id="0"/>
      <w:r>
        <w:rPr>
          <w:noProof/>
          <w:lang w:val="fr-BE" w:eastAsia="fr-BE"/>
        </w:rPr>
        <w:drawing>
          <wp:inline distT="0" distB="0" distL="0" distR="0" wp14:anchorId="5BA7D4F7" wp14:editId="5F03E75C">
            <wp:extent cx="5745375" cy="155511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497" cy="1564892"/>
                    </a:xfrm>
                    <a:prstGeom prst="rect">
                      <a:avLst/>
                    </a:prstGeom>
                  </pic:spPr>
                </pic:pic>
              </a:graphicData>
            </a:graphic>
          </wp:inline>
        </w:drawing>
      </w:r>
      <w:r>
        <w:rPr>
          <w:rFonts w:ascii="Times New Roman" w:hAnsi="Times New Roman"/>
          <w:noProof/>
          <w:lang w:val="fr-BE" w:eastAsia="fr-BE"/>
        </w:rPr>
        <mc:AlternateContent>
          <mc:Choice Requires="wps">
            <w:drawing>
              <wp:anchor distT="0" distB="0" distL="114300" distR="114300" simplePos="0" relativeHeight="251660288" behindDoc="1" locked="0" layoutInCell="0" allowOverlap="1" wp14:anchorId="48C1079E" wp14:editId="304E1F5A">
                <wp:simplePos x="0" y="0"/>
                <wp:positionH relativeFrom="page">
                  <wp:posOffset>6769100</wp:posOffset>
                </wp:positionH>
                <wp:positionV relativeFrom="page">
                  <wp:posOffset>10081260</wp:posOffset>
                </wp:positionV>
                <wp:extent cx="647700" cy="39624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9B5" w:rsidRPr="00EB31FE" w:rsidRDefault="00EB31FE" w:rsidP="00EA79B5">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1079E" id="_x0000_t202" coordsize="21600,21600" o:spt="202" path="m,l,21600r21600,l21600,xe">
                <v:stroke joinstyle="miter"/>
                <v:path gradientshapeok="t" o:connecttype="rect"/>
              </v:shapetype>
              <v:shape id="Text Box 20" o:spid="_x0000_s1026" type="#_x0000_t202" style="position:absolute;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LMtg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MhsCzLYCAAC6&#10;BQAADgAAAAAAAAAAAAAAAAAuAgAAZHJzL2Uyb0RvYy54bWxQSwECLQAUAAYACAAAACEA61QxWt4A&#10;AAAPAQAADwAAAAAAAAAAAAAAAAAQBQAAZHJzL2Rvd25yZXYueG1sUEsFBgAAAAAEAAQA8wAAABsG&#10;AAAAAA==&#10;" o:allowincell="f" filled="f" stroked="f">
                <v:textbox>
                  <w:txbxContent>
                    <w:p w:rsidR="00EA79B5" w:rsidRPr="00EB31FE" w:rsidRDefault="00EB31FE" w:rsidP="00EA79B5">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00EA79B5" w:rsidRPr="00C3394F" w:rsidRDefault="00EA79B5" w:rsidP="00EA79B5">
      <w:pPr>
        <w:spacing w:after="0" w:line="288" w:lineRule="auto"/>
        <w:jc w:val="center"/>
        <w:rPr>
          <w:rFonts w:ascii="Times New Roman" w:hAnsi="Times New Roman" w:cs="Times New Roman"/>
          <w:lang w:val="fr-BE"/>
        </w:rPr>
      </w:pPr>
    </w:p>
    <w:p w:rsidR="00EA79B5" w:rsidRPr="00C3394F" w:rsidRDefault="00EA79B5" w:rsidP="00EA79B5">
      <w:pPr>
        <w:spacing w:after="0" w:line="288" w:lineRule="auto"/>
        <w:jc w:val="center"/>
        <w:rPr>
          <w:rFonts w:ascii="Times New Roman" w:hAnsi="Times New Roman" w:cs="Times New Roman"/>
          <w:lang w:val="fr-BE"/>
        </w:rPr>
      </w:pPr>
    </w:p>
    <w:p w:rsidR="007E000B" w:rsidRPr="002645D0" w:rsidRDefault="007E000B" w:rsidP="007E000B">
      <w:pPr>
        <w:spacing w:after="0" w:line="288" w:lineRule="auto"/>
        <w:jc w:val="center"/>
        <w:rPr>
          <w:rFonts w:ascii="Times New Roman" w:hAnsi="Times New Roman" w:cs="Times New Roman"/>
          <w:b/>
        </w:rPr>
      </w:pPr>
      <w:r>
        <w:rPr>
          <w:rFonts w:ascii="Times New Roman" w:hAnsi="Times New Roman"/>
          <w:b/>
        </w:rPr>
        <w:t>Az EGSZB és az EU gazdasági és szociális tanácsai elnökeinek és főtitkárainak éves ülése</w:t>
      </w:r>
    </w:p>
    <w:p w:rsidR="007E000B" w:rsidRPr="002645D0" w:rsidRDefault="007D0E35" w:rsidP="007E000B">
      <w:pPr>
        <w:spacing w:after="0" w:line="288" w:lineRule="auto"/>
        <w:jc w:val="center"/>
        <w:rPr>
          <w:rFonts w:ascii="Times New Roman" w:hAnsi="Times New Roman" w:cs="Times New Roman"/>
          <w:b/>
        </w:rPr>
      </w:pPr>
      <w:r>
        <w:rPr>
          <w:rFonts w:ascii="Times New Roman" w:hAnsi="Times New Roman"/>
          <w:b/>
        </w:rPr>
        <w:t>Párizs, 2021. november 22–23.</w:t>
      </w:r>
    </w:p>
    <w:p w:rsidR="00EA79B5" w:rsidRPr="002645D0" w:rsidRDefault="00EA79B5" w:rsidP="007E000B">
      <w:pPr>
        <w:spacing w:after="0" w:line="288" w:lineRule="auto"/>
        <w:jc w:val="center"/>
        <w:rPr>
          <w:rFonts w:ascii="Times New Roman" w:hAnsi="Times New Roman" w:cs="Times New Roman"/>
          <w:b/>
          <w:lang w:val="en-US"/>
        </w:rPr>
      </w:pPr>
    </w:p>
    <w:p w:rsidR="00EA79B5" w:rsidRPr="001C28D1" w:rsidRDefault="00EA79B5" w:rsidP="00EA79B5">
      <w:pPr>
        <w:spacing w:after="0" w:line="288" w:lineRule="auto"/>
        <w:jc w:val="center"/>
        <w:rPr>
          <w:rFonts w:ascii="Times New Roman" w:hAnsi="Times New Roman" w:cs="Times New Roman"/>
          <w:i/>
          <w:color w:val="000099"/>
          <w:lang w:val="en-US"/>
        </w:rPr>
      </w:pPr>
    </w:p>
    <w:p w:rsidR="00824453" w:rsidRPr="001C28D1" w:rsidRDefault="007E000B" w:rsidP="007E000B">
      <w:pPr>
        <w:spacing w:after="0" w:line="288" w:lineRule="auto"/>
        <w:jc w:val="center"/>
        <w:rPr>
          <w:rFonts w:ascii="Times New Roman" w:hAnsi="Times New Roman" w:cs="Times New Roman"/>
          <w:b/>
          <w:color w:val="000099"/>
        </w:rPr>
      </w:pPr>
      <w:r>
        <w:rPr>
          <w:rFonts w:ascii="Times New Roman" w:hAnsi="Times New Roman"/>
          <w:b/>
          <w:color w:val="000099"/>
        </w:rPr>
        <w:t>A részvételi demokrácia és annak szerepe az EU ellenállóképessé és időtállóvá tételében</w:t>
      </w:r>
    </w:p>
    <w:p w:rsidR="00824453" w:rsidRPr="001C28D1" w:rsidRDefault="00824453" w:rsidP="007E000B">
      <w:pPr>
        <w:spacing w:after="0" w:line="288" w:lineRule="auto"/>
        <w:jc w:val="center"/>
        <w:rPr>
          <w:rFonts w:ascii="Times New Roman" w:hAnsi="Times New Roman" w:cs="Times New Roman"/>
          <w:b/>
          <w:color w:val="000099"/>
        </w:rPr>
      </w:pPr>
      <w:r>
        <w:rPr>
          <w:rFonts w:ascii="Times New Roman" w:hAnsi="Times New Roman"/>
          <w:b/>
          <w:color w:val="000099"/>
        </w:rPr>
        <w:t>Az Európai Gazdasági és Szociális Bizottság és a nemzeti gazdasági és szociális tanácsok hozzájárulása az Európa jövőjéről szóló konferenciához</w:t>
      </w:r>
    </w:p>
    <w:p w:rsidR="00EA79B5" w:rsidRPr="002645D0" w:rsidRDefault="00EA79B5" w:rsidP="00EA79B5">
      <w:pPr>
        <w:spacing w:after="0" w:line="288" w:lineRule="auto"/>
        <w:jc w:val="center"/>
        <w:rPr>
          <w:rFonts w:ascii="Times New Roman" w:hAnsi="Times New Roman" w:cs="Times New Roman"/>
          <w:b/>
          <w:bCs/>
          <w:shd w:val="clear" w:color="auto" w:fill="FFFFFF"/>
          <w:lang w:val="en-US"/>
        </w:rPr>
      </w:pPr>
    </w:p>
    <w:p w:rsidR="00EA79B5" w:rsidRPr="002645D0" w:rsidRDefault="00EA79B5" w:rsidP="00EA79B5">
      <w:pPr>
        <w:spacing w:after="0" w:line="288" w:lineRule="auto"/>
        <w:jc w:val="center"/>
        <w:rPr>
          <w:rFonts w:ascii="Times New Roman" w:hAnsi="Times New Roman" w:cs="Times New Roman"/>
          <w:b/>
          <w:bCs/>
          <w:shd w:val="clear" w:color="auto" w:fill="FFFFFF"/>
          <w:lang w:val="en-US"/>
        </w:rPr>
      </w:pPr>
    </w:p>
    <w:p w:rsidR="00EA79B5" w:rsidRPr="002645D0" w:rsidRDefault="00EA79B5" w:rsidP="00EA79B5">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lang w:val="en-US"/>
        </w:rPr>
      </w:pPr>
    </w:p>
    <w:p w:rsidR="00EA79B5" w:rsidRPr="002645D0" w:rsidRDefault="00EA79B5" w:rsidP="00EA79B5">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rPr>
      </w:pPr>
      <w:r>
        <w:rPr>
          <w:rFonts w:ascii="Times New Roman" w:hAnsi="Times New Roman"/>
          <w:b/>
          <w:shd w:val="clear" w:color="auto" w:fill="FFFFFF"/>
        </w:rPr>
        <w:t>KÖVETKEZTETÉSEK</w:t>
      </w:r>
    </w:p>
    <w:p w:rsidR="00EA79B5" w:rsidRPr="002645D0" w:rsidRDefault="00EA79B5" w:rsidP="00EA79B5">
      <w:pPr>
        <w:pBdr>
          <w:top w:val="single" w:sz="4" w:space="1" w:color="auto"/>
          <w:left w:val="single" w:sz="4" w:space="4" w:color="auto"/>
          <w:bottom w:val="single" w:sz="4" w:space="1" w:color="auto"/>
          <w:right w:val="single" w:sz="4" w:space="4" w:color="auto"/>
        </w:pBdr>
        <w:spacing w:after="0" w:line="288" w:lineRule="auto"/>
        <w:jc w:val="center"/>
        <w:rPr>
          <w:rFonts w:ascii="Times New Roman" w:hAnsi="Times New Roman" w:cs="Times New Roman"/>
          <w:b/>
          <w:bCs/>
          <w:shd w:val="clear" w:color="auto" w:fill="FFFFFF"/>
          <w:lang w:val="en-US"/>
        </w:rPr>
      </w:pPr>
    </w:p>
    <w:p w:rsidR="00EA79B5" w:rsidRPr="002645D0" w:rsidRDefault="00EA79B5" w:rsidP="00EA79B5">
      <w:pPr>
        <w:spacing w:after="0" w:line="288" w:lineRule="auto"/>
        <w:jc w:val="both"/>
        <w:rPr>
          <w:rFonts w:ascii="Times New Roman" w:hAnsi="Times New Roman" w:cs="Times New Roman"/>
          <w:b/>
          <w:bCs/>
          <w:i/>
          <w:iCs/>
          <w:shd w:val="clear" w:color="auto" w:fill="FFFFFF"/>
          <w:lang w:val="en-US"/>
        </w:rPr>
      </w:pPr>
    </w:p>
    <w:p w:rsidR="002854C4" w:rsidRPr="002645D0" w:rsidRDefault="002854C4" w:rsidP="00EA79B5">
      <w:pPr>
        <w:spacing w:after="0" w:line="288" w:lineRule="auto"/>
        <w:jc w:val="both"/>
        <w:rPr>
          <w:rFonts w:ascii="Times New Roman" w:hAnsi="Times New Roman" w:cs="Times New Roman"/>
          <w:b/>
          <w:bCs/>
          <w:i/>
          <w:iCs/>
          <w:shd w:val="clear" w:color="auto" w:fill="FFFFFF"/>
          <w:lang w:val="en-US"/>
        </w:rPr>
      </w:pPr>
    </w:p>
    <w:p w:rsidR="00EA79B5" w:rsidRPr="002645D0" w:rsidRDefault="00EA79B5" w:rsidP="00EA79B5">
      <w:pPr>
        <w:spacing w:after="0" w:line="288" w:lineRule="auto"/>
        <w:jc w:val="both"/>
        <w:rPr>
          <w:rFonts w:ascii="Times New Roman" w:hAnsi="Times New Roman" w:cs="Times New Roman"/>
          <w:b/>
          <w:bCs/>
          <w:i/>
          <w:iCs/>
          <w:shd w:val="clear" w:color="auto" w:fill="FFFFFF"/>
          <w:lang w:val="en-US"/>
        </w:rPr>
      </w:pPr>
    </w:p>
    <w:p w:rsidR="00824453" w:rsidRPr="002645D0" w:rsidRDefault="00824453" w:rsidP="00824453">
      <w:pPr>
        <w:spacing w:after="0" w:line="288" w:lineRule="auto"/>
        <w:jc w:val="both"/>
        <w:rPr>
          <w:rFonts w:ascii="Times New Roman" w:hAnsi="Times New Roman" w:cs="Times New Roman"/>
          <w:b/>
          <w:bCs/>
          <w:i/>
          <w:iCs/>
          <w:shd w:val="clear" w:color="auto" w:fill="FFFFFF"/>
        </w:rPr>
      </w:pPr>
      <w:r>
        <w:rPr>
          <w:rFonts w:ascii="Times New Roman" w:hAnsi="Times New Roman"/>
          <w:b/>
          <w:i/>
          <w:shd w:val="clear" w:color="auto" w:fill="FFFFFF"/>
        </w:rPr>
        <w:t>Az Európai Gazdasági és Szociális Bizottság (EGSZB) és az Európai Unió nemzeti gazdasági és szociális tanácsainak (gszt-k) elnökei és főtitkárai 2021. november 22-én és 23-án Párizsban üléseztek.</w:t>
      </w:r>
    </w:p>
    <w:p w:rsidR="00824453" w:rsidRPr="002645D0" w:rsidRDefault="00824453" w:rsidP="00824453">
      <w:pPr>
        <w:spacing w:after="0" w:line="288" w:lineRule="auto"/>
        <w:jc w:val="both"/>
        <w:rPr>
          <w:rFonts w:ascii="Times New Roman" w:hAnsi="Times New Roman" w:cs="Times New Roman"/>
          <w:b/>
          <w:bCs/>
          <w:i/>
          <w:iCs/>
          <w:shd w:val="clear" w:color="auto" w:fill="FFFFFF"/>
          <w:lang w:val="en-US"/>
        </w:rPr>
      </w:pPr>
    </w:p>
    <w:p w:rsidR="00824453" w:rsidRPr="002645D0" w:rsidRDefault="00824453" w:rsidP="00824453">
      <w:pPr>
        <w:spacing w:after="0" w:line="288" w:lineRule="auto"/>
        <w:jc w:val="both"/>
        <w:rPr>
          <w:rFonts w:ascii="Times New Roman" w:hAnsi="Times New Roman" w:cs="Times New Roman"/>
          <w:b/>
          <w:bCs/>
          <w:i/>
          <w:iCs/>
          <w:shd w:val="clear" w:color="auto" w:fill="FFFFFF"/>
        </w:rPr>
      </w:pPr>
      <w:r>
        <w:rPr>
          <w:rFonts w:ascii="Times New Roman" w:hAnsi="Times New Roman"/>
          <w:b/>
          <w:i/>
          <w:shd w:val="clear" w:color="auto" w:fill="FFFFFF"/>
        </w:rPr>
        <w:t>A mélyreható és tartalmas vitát követően az alábbi következtetéseket fogalmazták meg, melyek teljes mértékben támogatják az Európa jövőjéről szóló ambiciózus konferenciát, amely kézzelfogható eredményeket fog hozni annak érdekében, hogy az Európai Unió erősebbé és időtállóbbá váljon, és közelebb kerüljön polgáraihoz. Ennek érdekében az EU-nak meg kell hallgatnia az európai és a nemzeti szervezett civil társadalom üzeneteit és javaslatait, és azok alapján kell cselekednie.</w:t>
      </w:r>
    </w:p>
    <w:p w:rsidR="00824453" w:rsidRPr="002645D0" w:rsidRDefault="00824453" w:rsidP="00824453">
      <w:pPr>
        <w:spacing w:after="0" w:line="288" w:lineRule="auto"/>
        <w:jc w:val="both"/>
        <w:rPr>
          <w:rFonts w:ascii="Times New Roman" w:hAnsi="Times New Roman" w:cs="Times New Roman"/>
          <w:b/>
          <w:bCs/>
          <w:i/>
          <w:iCs/>
          <w:shd w:val="clear" w:color="auto" w:fill="FFFFFF"/>
          <w:lang w:val="en-US"/>
        </w:rPr>
      </w:pPr>
    </w:p>
    <w:p w:rsidR="00EA79B5" w:rsidRDefault="00EA79B5"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Pr="002645D0" w:rsidRDefault="00975673" w:rsidP="00EA79B5">
      <w:pPr>
        <w:spacing w:after="0" w:line="288" w:lineRule="auto"/>
        <w:jc w:val="both"/>
        <w:rPr>
          <w:rFonts w:ascii="Times New Roman" w:hAnsi="Times New Roman" w:cs="Times New Roman"/>
          <w:b/>
          <w:bCs/>
          <w:i/>
          <w:iCs/>
          <w:shd w:val="clear" w:color="auto" w:fill="FFFFFF"/>
          <w:lang w:val="en-US"/>
        </w:rPr>
      </w:pPr>
    </w:p>
    <w:p w:rsidR="003A15CF" w:rsidRDefault="003A15CF" w:rsidP="00EA79B5">
      <w:pPr>
        <w:spacing w:after="0" w:line="288" w:lineRule="auto"/>
        <w:jc w:val="both"/>
        <w:rPr>
          <w:rFonts w:ascii="Times New Roman" w:hAnsi="Times New Roman" w:cs="Times New Roman"/>
          <w:b/>
          <w:bCs/>
          <w:i/>
          <w:iCs/>
          <w:shd w:val="clear" w:color="auto" w:fill="FFFFFF"/>
          <w:lang w:val="en-US"/>
        </w:rPr>
      </w:pPr>
    </w:p>
    <w:p w:rsidR="003A15CF" w:rsidRPr="002645D0" w:rsidRDefault="003A15CF" w:rsidP="00EA79B5">
      <w:pPr>
        <w:spacing w:after="0" w:line="288" w:lineRule="auto"/>
        <w:jc w:val="both"/>
        <w:rPr>
          <w:rFonts w:ascii="Times New Roman" w:hAnsi="Times New Roman" w:cs="Times New Roman"/>
          <w:b/>
          <w:bCs/>
          <w:i/>
          <w:iCs/>
          <w:shd w:val="clear" w:color="auto" w:fill="FFFFFF"/>
          <w:lang w:val="en-US"/>
        </w:rPr>
      </w:pPr>
    </w:p>
    <w:p w:rsidR="003A15CF" w:rsidRPr="001C28D1" w:rsidRDefault="001C28D1" w:rsidP="00EA79B5">
      <w:pPr>
        <w:spacing w:after="0" w:line="288" w:lineRule="auto"/>
        <w:jc w:val="both"/>
        <w:rPr>
          <w:rFonts w:ascii="Times New Roman" w:hAnsi="Times New Roman" w:cs="Times New Roman"/>
          <w:b/>
          <w:bCs/>
          <w:i/>
          <w:iCs/>
          <w:color w:val="000099"/>
          <w:sz w:val="28"/>
          <w:szCs w:val="28"/>
          <w:shd w:val="clear" w:color="auto" w:fill="FFFFFF"/>
        </w:rPr>
      </w:pPr>
      <w:r>
        <w:rPr>
          <w:rFonts w:ascii="Times New Roman" w:hAnsi="Times New Roman"/>
          <w:b/>
          <w:color w:val="000099"/>
          <w:sz w:val="28"/>
        </w:rPr>
        <w:lastRenderedPageBreak/>
        <w:t>Áttekintés</w:t>
      </w:r>
    </w:p>
    <w:p w:rsidR="003A15CF" w:rsidRDefault="003A15CF" w:rsidP="00EA79B5">
      <w:pPr>
        <w:spacing w:after="0" w:line="288" w:lineRule="auto"/>
        <w:jc w:val="both"/>
        <w:rPr>
          <w:rFonts w:ascii="Times New Roman" w:hAnsi="Times New Roman" w:cs="Times New Roman"/>
          <w:b/>
          <w:bCs/>
          <w:i/>
          <w:iCs/>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9062"/>
      </w:tblGrid>
      <w:tr w:rsidR="001C28D1" w:rsidTr="001C28D1">
        <w:tc>
          <w:tcPr>
            <w:tcW w:w="9062" w:type="dxa"/>
            <w:shd w:val="clear" w:color="auto" w:fill="BDD6EE" w:themeFill="accent1" w:themeFillTint="66"/>
            <w:tcMar>
              <w:top w:w="113" w:type="dxa"/>
              <w:bottom w:w="113" w:type="dxa"/>
            </w:tcMar>
            <w:vAlign w:val="center"/>
          </w:tcPr>
          <w:p w:rsidR="001C28D1" w:rsidRPr="001C28D1" w:rsidRDefault="001C28D1" w:rsidP="001C28D1">
            <w:pPr>
              <w:pStyle w:val="ListParagraph"/>
              <w:numPr>
                <w:ilvl w:val="0"/>
                <w:numId w:val="8"/>
              </w:numPr>
              <w:rPr>
                <w:b/>
                <w:bCs/>
                <w:i/>
                <w:iCs/>
                <w:shd w:val="clear" w:color="auto" w:fill="FFFFFF"/>
              </w:rPr>
            </w:pPr>
            <w:r>
              <w:t xml:space="preserve">Az Európai Gazdasági és Szociális Bizottság (EGSZB) és a nemzeti gazdasági és szociális tanácsok (gszt-k) a világjárványból való kilábalást lehetőségnek tekintik </w:t>
            </w:r>
            <w:r>
              <w:rPr>
                <w:b/>
                <w:bCs/>
              </w:rPr>
              <w:t>az előrelépésre és társadalmaink javítására</w:t>
            </w:r>
            <w:r>
              <w:t xml:space="preserve">, hogy egy olyan, erősebb Európai Uniót hozzunk létre, amely segíti a felfelé irányuló konvergenciát, a jobb kohéziót és szolidaritást, ami az európai polgárok megerősödött identitásának kulcsa. </w:t>
            </w:r>
            <w:r>
              <w:rPr>
                <w:b/>
              </w:rPr>
              <w:t>Ez az európai jövőkép ötvözi a fenntartható jólétet, a társadalmi igazságosságot és befogadást, valamint az igazságos zöld és digitális átállást, miközben előmozdítja az alapvető jogok és a jogállamiság tiszteletben tartását.</w:t>
            </w:r>
          </w:p>
        </w:tc>
      </w:tr>
    </w:tbl>
    <w:p w:rsidR="003A15CF" w:rsidRPr="002645D0" w:rsidRDefault="003A15CF" w:rsidP="00EA79B5">
      <w:pPr>
        <w:spacing w:after="0" w:line="288" w:lineRule="auto"/>
        <w:jc w:val="both"/>
        <w:rPr>
          <w:rFonts w:ascii="Times New Roman" w:hAnsi="Times New Roman" w:cs="Times New Roman"/>
          <w:b/>
          <w:bCs/>
          <w:i/>
          <w:iCs/>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9062"/>
      </w:tblGrid>
      <w:tr w:rsidR="00975673" w:rsidTr="00975673">
        <w:tc>
          <w:tcPr>
            <w:tcW w:w="9062" w:type="dxa"/>
            <w:shd w:val="clear" w:color="auto" w:fill="BDD6EE" w:themeFill="accent1" w:themeFillTint="66"/>
            <w:tcMar>
              <w:top w:w="113" w:type="dxa"/>
              <w:bottom w:w="113" w:type="dxa"/>
            </w:tcMar>
            <w:vAlign w:val="center"/>
          </w:tcPr>
          <w:p w:rsidR="00975673" w:rsidRPr="00975673" w:rsidRDefault="00975673" w:rsidP="00975673">
            <w:pPr>
              <w:pStyle w:val="ListParagraph"/>
              <w:numPr>
                <w:ilvl w:val="0"/>
                <w:numId w:val="8"/>
              </w:numPr>
            </w:pPr>
            <w:r>
              <w:t xml:space="preserve">Ennek megteremtéséhez az Európai Unió olyan </w:t>
            </w:r>
            <w:r>
              <w:rPr>
                <w:b/>
                <w:bCs/>
              </w:rPr>
              <w:t>kulcsfontosságú erősségeire</w:t>
            </w:r>
            <w:r>
              <w:t xml:space="preserve"> támaszkodhat, mint </w:t>
            </w:r>
            <w:r>
              <w:rPr>
                <w:b/>
                <w:bCs/>
              </w:rPr>
              <w:t>kiterjedt belső piaca, szilárd ipari bázisa, a nemzetközi gazdasági életben betöltött szerepe, a virágzó civil társadalom és a példátlan szolidaritás</w:t>
            </w:r>
            <w:r>
              <w:t xml:space="preserve">, amit az új helyreállítási eszköz, a </w:t>
            </w:r>
            <w:r>
              <w:rPr>
                <w:b/>
                <w:bCs/>
              </w:rPr>
              <w:t>NextGenerationEU</w:t>
            </w:r>
            <w:r>
              <w:t xml:space="preserve"> elfogadása is tanúsít. Az EGSZB és a nemzeti gszt-k hangsúlyozzák annak fontosságát, hogy a szervezett civil társadalmat is be kell vonni a nemzeti helyreállítási és rezilienciaépítési tervek végrehajtásába és értékelésébe. Kitartanak amellett, hogy politikáik középpontjába a szociális dimenziót, és különösen az európai egészségügy fejlesztését helyezzék, annak minden területén.</w:t>
            </w:r>
          </w:p>
          <w:p w:rsidR="00975673" w:rsidRPr="00975673" w:rsidRDefault="00975673" w:rsidP="00975673">
            <w:pPr>
              <w:pStyle w:val="ListParagraph"/>
              <w:ind w:left="360"/>
              <w:rPr>
                <w:lang w:val="en-US"/>
              </w:rPr>
            </w:pPr>
          </w:p>
          <w:p w:rsidR="00975673" w:rsidRDefault="00975673" w:rsidP="00975673">
            <w:pPr>
              <w:spacing w:line="288" w:lineRule="auto"/>
              <w:ind w:left="360"/>
              <w:jc w:val="both"/>
            </w:pPr>
            <w:r>
              <w:rPr>
                <w:rFonts w:ascii="Times New Roman" w:hAnsi="Times New Roman"/>
                <w:b/>
                <w:bCs/>
              </w:rPr>
              <w:t>Az európai zöld megállapodás</w:t>
            </w:r>
            <w:r>
              <w:rPr>
                <w:rFonts w:ascii="Times New Roman" w:hAnsi="Times New Roman"/>
              </w:rPr>
              <w:t xml:space="preserve">, a karbonsemlegesség 2050-ig történő elérésének célkitűzésével Európa új növekedési stratégiája, amelynek középpontjában a jólét, a fenntarthatóság és a társadalmi igazságosság áll. A </w:t>
            </w:r>
            <w:r>
              <w:rPr>
                <w:rFonts w:ascii="Times New Roman" w:hAnsi="Times New Roman"/>
                <w:b/>
                <w:bCs/>
              </w:rPr>
              <w:t>digitális átállással</w:t>
            </w:r>
            <w:r>
              <w:rPr>
                <w:rFonts w:ascii="Times New Roman" w:hAnsi="Times New Roman"/>
              </w:rPr>
              <w:t xml:space="preserve"> összefüggésben arról is szól, hogy az embereket és a vállalkozásokat alkalmassá kell tenni arra, hogy magukra vállalják az emberközpontú, fenntartható és élhetőbb digitális jövő megteremtésének feladatát. </w:t>
            </w:r>
            <w:r>
              <w:rPr>
                <w:rFonts w:ascii="Times New Roman" w:hAnsi="Times New Roman"/>
                <w:b/>
              </w:rPr>
              <w:t>A szociális jogok európai pillérének húsz alapelve</w:t>
            </w:r>
            <w:r>
              <w:rPr>
                <w:rFonts w:ascii="Times New Roman" w:hAnsi="Times New Roman"/>
              </w:rPr>
              <w:t xml:space="preserve"> mutatja az utat számunkra egy befogadó és lehetőségekkel teli szociális Európa felé.</w:t>
            </w:r>
          </w:p>
        </w:tc>
      </w:tr>
    </w:tbl>
    <w:p w:rsidR="003A15CF" w:rsidRDefault="003A15CF" w:rsidP="00EA79B5">
      <w:pPr>
        <w:spacing w:after="0" w:line="288" w:lineRule="auto"/>
        <w:jc w:val="both"/>
        <w:rPr>
          <w:rFonts w:ascii="Times New Roman" w:hAnsi="Times New Roman" w:cs="Times New Roman"/>
          <w:b/>
          <w:bCs/>
          <w:i/>
          <w:iCs/>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9062"/>
      </w:tblGrid>
      <w:tr w:rsidR="00975673" w:rsidTr="00975673">
        <w:tc>
          <w:tcPr>
            <w:tcW w:w="9062" w:type="dxa"/>
            <w:shd w:val="clear" w:color="auto" w:fill="BDD6EE" w:themeFill="accent1" w:themeFillTint="66"/>
            <w:tcMar>
              <w:top w:w="113" w:type="dxa"/>
              <w:bottom w:w="113" w:type="dxa"/>
            </w:tcMar>
            <w:vAlign w:val="center"/>
          </w:tcPr>
          <w:p w:rsidR="00975673" w:rsidRPr="00975673" w:rsidRDefault="00975673" w:rsidP="00975673">
            <w:pPr>
              <w:pStyle w:val="ListParagraph"/>
              <w:numPr>
                <w:ilvl w:val="0"/>
                <w:numId w:val="8"/>
              </w:numPr>
              <w:spacing w:line="276" w:lineRule="auto"/>
              <w:rPr>
                <w:b/>
                <w:bCs/>
              </w:rPr>
            </w:pPr>
            <w:r>
              <w:t xml:space="preserve">Egy olyan időszakban, amikor az Európai Uniót újjá kell építeni és fel kell készíteni a jövőre, </w:t>
            </w:r>
            <w:r>
              <w:rPr>
                <w:b/>
                <w:bCs/>
              </w:rPr>
              <w:t>a szociális partnerek és a civil társadalmi szervezetek, valamint az EGSZB és a tagállamok gszt-i kulcsfontosságú szerepet töltenek be</w:t>
            </w:r>
            <w:r>
              <w:t>.</w:t>
            </w:r>
          </w:p>
          <w:p w:rsidR="00975673" w:rsidRPr="00975673" w:rsidRDefault="00975673" w:rsidP="00975673">
            <w:pPr>
              <w:pStyle w:val="ListParagraph"/>
              <w:spacing w:line="276" w:lineRule="auto"/>
              <w:ind w:left="360"/>
              <w:rPr>
                <w:lang w:val="en-US"/>
              </w:rPr>
            </w:pPr>
          </w:p>
          <w:p w:rsidR="00975673" w:rsidRDefault="00975673" w:rsidP="00975673">
            <w:pPr>
              <w:spacing w:line="288" w:lineRule="auto"/>
              <w:ind w:left="360"/>
              <w:jc w:val="both"/>
              <w:rPr>
                <w:rFonts w:ascii="Times New Roman" w:hAnsi="Times New Roman" w:cs="Times New Roman"/>
                <w:b/>
                <w:bCs/>
                <w:i/>
                <w:iCs/>
                <w:shd w:val="clear" w:color="auto" w:fill="FFFFFF"/>
              </w:rPr>
            </w:pPr>
            <w:r>
              <w:rPr>
                <w:rFonts w:ascii="Times New Roman" w:hAnsi="Times New Roman"/>
              </w:rPr>
              <w:t xml:space="preserve">Az EGSZB és az uniós tagállamok gszt-i megerősítik, hogy </w:t>
            </w:r>
            <w:r>
              <w:rPr>
                <w:rFonts w:ascii="Times New Roman" w:hAnsi="Times New Roman"/>
                <w:b/>
              </w:rPr>
              <w:t>készek aktív részt vállalni a jelenlegi reformok tervezésében, kidolgozásában és végrehajtásában</w:t>
            </w:r>
            <w:r>
              <w:rPr>
                <w:rFonts w:ascii="Times New Roman" w:hAnsi="Times New Roman"/>
              </w:rPr>
              <w:t xml:space="preserve">, hogy a politikák teljes mértékben megfeleljenek a polgárok igényeinek és elvárásainak, valamint a közös felelősségvállalás érzésének erősítése érdekében. Kiemelik, hogy a leginkább kiszolgáltatottak érdekében meg kell erősíteni a közpolitikákat, és hogy az ifjúságpolitika terén európai konvergenciára van szükség. Az EGSZB és a nemzeti gszt-k alapos ismeretekkel rendelkeznek ezen a területen, és a civil párbeszéd egyedülálló állandó fórumai, amelyek előnye, hogy a különböző érdekelt felek közötti </w:t>
            </w:r>
            <w:r>
              <w:rPr>
                <w:rFonts w:ascii="Times New Roman" w:hAnsi="Times New Roman"/>
                <w:b/>
                <w:bCs/>
              </w:rPr>
              <w:t>konszenzuson alapuló megoldásokat</w:t>
            </w:r>
            <w:r>
              <w:rPr>
                <w:rFonts w:ascii="Times New Roman" w:hAnsi="Times New Roman"/>
              </w:rPr>
              <w:t xml:space="preserve"> kínálnak.</w:t>
            </w:r>
            <w:r>
              <w:rPr>
                <w:rFonts w:ascii="Times New Roman" w:hAnsi="Times New Roman"/>
                <w:b/>
              </w:rPr>
              <w:t xml:space="preserve">  </w:t>
            </w:r>
          </w:p>
        </w:tc>
      </w:tr>
    </w:tbl>
    <w:p w:rsidR="00975673" w:rsidRPr="002645D0" w:rsidRDefault="00975673" w:rsidP="00EA79B5">
      <w:pPr>
        <w:spacing w:after="0" w:line="288" w:lineRule="auto"/>
        <w:jc w:val="both"/>
        <w:rPr>
          <w:rFonts w:ascii="Times New Roman" w:hAnsi="Times New Roman" w:cs="Times New Roman"/>
          <w:b/>
          <w:bCs/>
          <w:i/>
          <w:iCs/>
          <w:shd w:val="clear" w:color="auto" w:fill="FFFFF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9062"/>
      </w:tblGrid>
      <w:tr w:rsidR="00975673" w:rsidTr="00975673">
        <w:tc>
          <w:tcPr>
            <w:tcW w:w="9062" w:type="dxa"/>
            <w:shd w:val="clear" w:color="auto" w:fill="BDD6EE" w:themeFill="accent1" w:themeFillTint="66"/>
            <w:tcMar>
              <w:top w:w="113" w:type="dxa"/>
              <w:bottom w:w="113" w:type="dxa"/>
            </w:tcMar>
            <w:vAlign w:val="center"/>
          </w:tcPr>
          <w:p w:rsidR="00975673" w:rsidRDefault="00975673" w:rsidP="00975673">
            <w:pPr>
              <w:pStyle w:val="ListParagraph"/>
              <w:numPr>
                <w:ilvl w:val="0"/>
                <w:numId w:val="8"/>
              </w:numPr>
              <w:spacing w:line="276" w:lineRule="auto"/>
            </w:pPr>
            <w:r>
              <w:t>Az EGSZB és a nemzeti gszt-k úgy vélik,</w:t>
            </w:r>
            <w:r>
              <w:rPr>
                <w:b/>
              </w:rPr>
              <w:t xml:space="preserve"> hogy az Európa jövőjéről szóló konferencia történelmi lehetőség </w:t>
            </w:r>
            <w:r>
              <w:t xml:space="preserve">az európai integrációs projekt újraindítására és a részvételi demokrácia fejlesztésére. Úgy gondolják, hogy a konferenciának az európaiakat kell a figyelem </w:t>
            </w:r>
            <w:r>
              <w:lastRenderedPageBreak/>
              <w:t>középpontjába állítania, biztosítania kell, hogy a 27 uniós tagállam polgárai és civil szervezetei részt vegyenek a vitákban, és konkrét, látható és mérhető eredményeket kell elérnie.</w:t>
            </w:r>
          </w:p>
          <w:p w:rsidR="00975673" w:rsidRPr="00983B86" w:rsidRDefault="00975673" w:rsidP="00975673">
            <w:pPr>
              <w:pStyle w:val="ListParagraph"/>
              <w:spacing w:after="240" w:line="360" w:lineRule="auto"/>
              <w:ind w:left="360"/>
              <w:rPr>
                <w:lang w:val="en-US"/>
              </w:rPr>
            </w:pPr>
          </w:p>
          <w:p w:rsidR="00975673" w:rsidRPr="003240E1" w:rsidRDefault="00975673" w:rsidP="00975673">
            <w:pPr>
              <w:pStyle w:val="ListParagraph"/>
              <w:spacing w:line="276" w:lineRule="auto"/>
              <w:ind w:left="360"/>
              <w:rPr>
                <w:spacing w:val="-2"/>
              </w:rPr>
            </w:pPr>
            <w:r>
              <w:t>A konferenciának</w:t>
            </w:r>
            <w:r>
              <w:rPr>
                <w:b/>
                <w:bCs/>
              </w:rPr>
              <w:t xml:space="preserve"> átlátható, alulról építkező folyamatra</w:t>
            </w:r>
            <w:r>
              <w:t xml:space="preserve"> kell épülnie,</w:t>
            </w:r>
            <w:r>
              <w:rPr>
                <w:b/>
              </w:rPr>
              <w:t xml:space="preserve"> és kézzelfogható eredményeket kell</w:t>
            </w:r>
            <w:r>
              <w:t xml:space="preserve"> </w:t>
            </w:r>
            <w:r>
              <w:rPr>
                <w:b/>
                <w:bCs/>
              </w:rPr>
              <w:t>hoznia</w:t>
            </w:r>
            <w:r>
              <w:t xml:space="preserve">. Az átláthatóság és az elszámoltathatóság biztosítása érdekében egy olyan online </w:t>
            </w:r>
            <w:r>
              <w:rPr>
                <w:b/>
              </w:rPr>
              <w:t>felületet</w:t>
            </w:r>
            <w:r>
              <w:t xml:space="preserve"> kell kidolgozni, amely tájékoztatja a polgárokat arról, hogy az uniós intézmények hogyan teljesítik kéréseiket, hogy a reformlépések az Európa jövőjéről szóló konferenciából származnak-e, és hogy milyen ütemezéssel hajtják végre ezeket az intézkedéseket. Ha bizonyos felvetésekkel kapcsolatban nem történik intézkedés, annak okait meg kell magyarázni.</w:t>
            </w:r>
          </w:p>
          <w:p w:rsidR="00975673" w:rsidRPr="0065623F" w:rsidRDefault="00975673" w:rsidP="00975673">
            <w:pPr>
              <w:pStyle w:val="ListParagraph"/>
              <w:spacing w:line="276" w:lineRule="auto"/>
              <w:ind w:left="360"/>
              <w:rPr>
                <w:lang w:val="en-US"/>
              </w:rPr>
            </w:pPr>
          </w:p>
          <w:p w:rsidR="00975673" w:rsidRPr="00975673" w:rsidRDefault="00975673" w:rsidP="00975673">
            <w:pPr>
              <w:spacing w:line="288" w:lineRule="auto"/>
              <w:ind w:left="360"/>
              <w:jc w:val="both"/>
              <w:rPr>
                <w:rFonts w:ascii="Times New Roman" w:hAnsi="Times New Roman" w:cs="Times New Roman"/>
                <w:b/>
                <w:bCs/>
                <w:i/>
                <w:iCs/>
                <w:shd w:val="clear" w:color="auto" w:fill="FFFFFF"/>
              </w:rPr>
            </w:pPr>
            <w:r>
              <w:rPr>
                <w:rFonts w:ascii="Times New Roman" w:hAnsi="Times New Roman"/>
              </w:rPr>
              <w:t xml:space="preserve">Az EGSZB és a nemzeti gszt-k tagjaik és kapcsolataik révén különösen alkalmasak arra, hogy </w:t>
            </w:r>
            <w:r>
              <w:rPr>
                <w:rFonts w:ascii="Times New Roman" w:hAnsi="Times New Roman"/>
                <w:b/>
                <w:bCs/>
              </w:rPr>
              <w:t>kapcsolatot teremtsenek a polgárokkal</w:t>
            </w:r>
            <w:r>
              <w:rPr>
                <w:rFonts w:ascii="Times New Roman" w:hAnsi="Times New Roman"/>
              </w:rPr>
              <w:t>, és javaslataikat a konferencia vezető testületeinek tudomására hozzák. Időszerű, hogy a közös jövőképről áttérjünk az európai szervezett civil társadalom által folytatott tényleges tevékenységre, ami az EU jövőjébe vetett bizalom kulcsa.</w:t>
            </w:r>
          </w:p>
        </w:tc>
      </w:tr>
    </w:tbl>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975673" w:rsidRDefault="00975673" w:rsidP="00EA79B5">
      <w:pPr>
        <w:spacing w:after="0" w:line="288" w:lineRule="auto"/>
        <w:jc w:val="both"/>
        <w:rPr>
          <w:rFonts w:ascii="Times New Roman" w:hAnsi="Times New Roman" w:cs="Times New Roman"/>
          <w:b/>
          <w:bCs/>
          <w:i/>
          <w:iCs/>
          <w:shd w:val="clear" w:color="auto" w:fill="FFFFFF"/>
          <w:lang w:val="en-US"/>
        </w:rPr>
      </w:pPr>
    </w:p>
    <w:p w:rsidR="007366DC" w:rsidRPr="007D0E35" w:rsidRDefault="007366DC" w:rsidP="007366DC">
      <w:pPr>
        <w:pStyle w:val="ListParagraph"/>
        <w:numPr>
          <w:ilvl w:val="0"/>
          <w:numId w:val="1"/>
        </w:numPr>
        <w:spacing w:line="276" w:lineRule="auto"/>
        <w:rPr>
          <w:b/>
          <w:bCs/>
          <w:smallCaps/>
          <w:color w:val="000099"/>
          <w:u w:val="single"/>
        </w:rPr>
      </w:pPr>
      <w:r>
        <w:rPr>
          <w:b/>
          <w:smallCaps/>
          <w:color w:val="000099"/>
          <w:u w:val="single"/>
        </w:rPr>
        <w:t>A holnap Európája: Az EGSZB és a nemzeti gszt-k jövőképe</w:t>
      </w:r>
    </w:p>
    <w:p w:rsidR="007366DC" w:rsidRPr="002645D0" w:rsidRDefault="007366DC" w:rsidP="00EA79B5">
      <w:pPr>
        <w:spacing w:after="0" w:line="276" w:lineRule="auto"/>
        <w:jc w:val="both"/>
        <w:rPr>
          <w:rFonts w:ascii="Times New Roman" w:hAnsi="Times New Roman" w:cs="Times New Roman"/>
          <w:lang w:val="en-US"/>
        </w:rPr>
      </w:pPr>
    </w:p>
    <w:p w:rsidR="00EA79B5" w:rsidRPr="002645D0" w:rsidRDefault="000C2CB8" w:rsidP="00EA79B5">
      <w:pPr>
        <w:spacing w:after="0" w:line="276" w:lineRule="auto"/>
        <w:jc w:val="both"/>
        <w:rPr>
          <w:rFonts w:ascii="Times New Roman" w:hAnsi="Times New Roman" w:cs="Times New Roman"/>
        </w:rPr>
      </w:pPr>
      <w:r>
        <w:rPr>
          <w:rFonts w:ascii="Times New Roman" w:hAnsi="Times New Roman"/>
        </w:rPr>
        <w:t xml:space="preserve">A helyreállításnak kezelnie kell a világjárvány következményeit, valamint az előttünk álló </w:t>
      </w:r>
      <w:r>
        <w:rPr>
          <w:rFonts w:ascii="Times New Roman" w:hAnsi="Times New Roman"/>
          <w:b/>
          <w:bCs/>
        </w:rPr>
        <w:t>kihívásokat és átalakulásokat</w:t>
      </w:r>
      <w:r>
        <w:rPr>
          <w:rFonts w:ascii="Times New Roman" w:hAnsi="Times New Roman"/>
        </w:rPr>
        <w:t xml:space="preserve"> is, mint például a technológiai és a zöld kettős átállás, a demográfiai elöregedés és a globalizáció.</w:t>
      </w:r>
    </w:p>
    <w:p w:rsidR="00EA79B5" w:rsidRPr="002645D0" w:rsidRDefault="00EA79B5" w:rsidP="00EA79B5">
      <w:pPr>
        <w:spacing w:after="0" w:line="276" w:lineRule="auto"/>
        <w:jc w:val="both"/>
        <w:rPr>
          <w:rFonts w:ascii="Times New Roman" w:hAnsi="Times New Roman" w:cs="Times New Roman"/>
          <w:lang w:val="en-US"/>
        </w:rPr>
      </w:pPr>
    </w:p>
    <w:p w:rsidR="000C2CB8" w:rsidRPr="002645D0" w:rsidRDefault="000C2CB8" w:rsidP="00EA79B5">
      <w:pPr>
        <w:spacing w:after="0" w:line="276" w:lineRule="auto"/>
        <w:jc w:val="both"/>
        <w:rPr>
          <w:rFonts w:ascii="Times New Roman" w:hAnsi="Times New Roman" w:cs="Times New Roman"/>
          <w:b/>
          <w:bCs/>
        </w:rPr>
      </w:pPr>
      <w:r>
        <w:rPr>
          <w:rFonts w:ascii="Times New Roman" w:hAnsi="Times New Roman"/>
        </w:rPr>
        <w:t xml:space="preserve">Nem állíthatjuk vissza egyszerűen a válság előtti állapotot: </w:t>
      </w:r>
      <w:r>
        <w:rPr>
          <w:rFonts w:ascii="Times New Roman" w:hAnsi="Times New Roman"/>
          <w:b/>
          <w:bCs/>
        </w:rPr>
        <w:t>tovább kell lépnünk</w:t>
      </w:r>
      <w:r>
        <w:rPr>
          <w:rFonts w:ascii="Times New Roman" w:hAnsi="Times New Roman"/>
        </w:rPr>
        <w:t xml:space="preserve">, át kell alakítanunk és fejlesztenünk kell társadalmainkat. Erőfeszítéseinknek arra kell irányulnia, hogy egy erősebb Európai Uniót hozzunk létre, amely segíti </w:t>
      </w:r>
      <w:r>
        <w:rPr>
          <w:rFonts w:ascii="Times New Roman" w:hAnsi="Times New Roman"/>
          <w:b/>
          <w:bCs/>
        </w:rPr>
        <w:t>a felfelé irányuló konvergenciát, a nagyobb kohéziót és szolidaritást</w:t>
      </w:r>
      <w:r>
        <w:rPr>
          <w:rFonts w:ascii="Times New Roman" w:hAnsi="Times New Roman"/>
        </w:rPr>
        <w:t xml:space="preserve">. Ez az európai jövőkép ötvözi </w:t>
      </w:r>
      <w:r>
        <w:rPr>
          <w:rFonts w:ascii="Times New Roman" w:hAnsi="Times New Roman"/>
          <w:b/>
        </w:rPr>
        <w:t>a fenntartható jólétet, a társadalmi igazságosságot és befogadást, valamint az igazságos zöld és digitális átállást, miközben előmozdítja az alapvető jogok és a jogállamiság tiszteletben tartását.</w:t>
      </w:r>
    </w:p>
    <w:p w:rsidR="00EA79B5" w:rsidRPr="002645D0" w:rsidRDefault="00EA79B5" w:rsidP="00EA79B5">
      <w:pPr>
        <w:spacing w:after="0" w:line="276" w:lineRule="auto"/>
        <w:jc w:val="both"/>
        <w:rPr>
          <w:rFonts w:ascii="Times New Roman" w:hAnsi="Times New Roman" w:cs="Times New Roman"/>
          <w:lang w:val="en-US"/>
        </w:rPr>
      </w:pPr>
    </w:p>
    <w:p w:rsidR="00EA79B5" w:rsidRPr="002645D0" w:rsidRDefault="000C2CB8" w:rsidP="00EA79B5">
      <w:pPr>
        <w:spacing w:after="0" w:line="276" w:lineRule="auto"/>
        <w:jc w:val="both"/>
        <w:rPr>
          <w:rFonts w:ascii="Times New Roman" w:hAnsi="Times New Roman" w:cs="Times New Roman"/>
        </w:rPr>
      </w:pPr>
      <w:r>
        <w:rPr>
          <w:rFonts w:ascii="Times New Roman" w:hAnsi="Times New Roman"/>
        </w:rPr>
        <w:t xml:space="preserve">Ennek érdekében a tagállamoknak támogatniuk kell az európai gazdaság és a különböző méretű és formájú vállalkozások, különösen a kkv-k és a szociális gazdaság </w:t>
      </w:r>
      <w:r>
        <w:rPr>
          <w:rFonts w:ascii="Times New Roman" w:hAnsi="Times New Roman"/>
          <w:b/>
          <w:bCs/>
        </w:rPr>
        <w:t>versenyképességét</w:t>
      </w:r>
      <w:r>
        <w:rPr>
          <w:rFonts w:ascii="Times New Roman" w:hAnsi="Times New Roman"/>
        </w:rPr>
        <w:t xml:space="preserve">, valamint a </w:t>
      </w:r>
      <w:r>
        <w:rPr>
          <w:rFonts w:ascii="Times New Roman" w:hAnsi="Times New Roman"/>
          <w:b/>
          <w:bCs/>
        </w:rPr>
        <w:t>vállalkozói szellemet</w:t>
      </w:r>
      <w:r>
        <w:rPr>
          <w:rFonts w:ascii="Times New Roman" w:hAnsi="Times New Roman"/>
        </w:rPr>
        <w:t>, amely szintén hozzájárul a minőségi munkahelyek létrehozásához.</w:t>
      </w:r>
    </w:p>
    <w:p w:rsidR="00EA79B5" w:rsidRPr="002645D0" w:rsidRDefault="00EA79B5" w:rsidP="00EA79B5">
      <w:pPr>
        <w:spacing w:after="0" w:line="276" w:lineRule="auto"/>
        <w:jc w:val="both"/>
        <w:rPr>
          <w:rFonts w:ascii="Times New Roman" w:hAnsi="Times New Roman" w:cs="Times New Roman"/>
          <w:lang w:val="en-US"/>
        </w:rPr>
      </w:pPr>
    </w:p>
    <w:p w:rsidR="00EA79B5" w:rsidRPr="002645D0" w:rsidRDefault="000C2CB8" w:rsidP="00EA79B5">
      <w:pPr>
        <w:spacing w:after="0" w:line="276" w:lineRule="auto"/>
        <w:jc w:val="both"/>
        <w:rPr>
          <w:rFonts w:ascii="Times New Roman" w:hAnsi="Times New Roman" w:cs="Times New Roman"/>
        </w:rPr>
      </w:pPr>
      <w:r>
        <w:rPr>
          <w:rFonts w:ascii="Times New Roman" w:hAnsi="Times New Roman"/>
        </w:rPr>
        <w:t xml:space="preserve">Ugyanakkor Európának olyan </w:t>
      </w:r>
      <w:r>
        <w:rPr>
          <w:rFonts w:ascii="Times New Roman" w:hAnsi="Times New Roman"/>
          <w:b/>
          <w:bCs/>
        </w:rPr>
        <w:t>szociális megközelítésre</w:t>
      </w:r>
      <w:r>
        <w:rPr>
          <w:rFonts w:ascii="Times New Roman" w:hAnsi="Times New Roman"/>
        </w:rPr>
        <w:t xml:space="preserve"> van szüksége, </w:t>
      </w:r>
      <w:r>
        <w:rPr>
          <w:rFonts w:ascii="Times New Roman" w:hAnsi="Times New Roman"/>
          <w:b/>
          <w:bCs/>
        </w:rPr>
        <w:t>amely senkit sem hagy hátra, és küzd a szegénység ellen</w:t>
      </w:r>
      <w:r>
        <w:rPr>
          <w:rFonts w:ascii="Times New Roman" w:hAnsi="Times New Roman"/>
        </w:rPr>
        <w:t>. Ehhez fokozott infrastrukturális és szociális beruházásokra van szükség, többek között a szociális védelem, az innováció és az időtálló szaktudás támogatása terén.</w:t>
      </w:r>
    </w:p>
    <w:p w:rsidR="00EA79B5" w:rsidRPr="002645D0" w:rsidRDefault="00EA79B5" w:rsidP="00EA79B5">
      <w:pPr>
        <w:spacing w:after="0" w:line="276" w:lineRule="auto"/>
        <w:jc w:val="both"/>
        <w:rPr>
          <w:rFonts w:ascii="Times New Roman" w:hAnsi="Times New Roman" w:cs="Times New Roman"/>
          <w:lang w:val="en-US"/>
        </w:rPr>
      </w:pPr>
    </w:p>
    <w:p w:rsidR="000C2CB8" w:rsidRPr="002645D0" w:rsidRDefault="000C2CB8" w:rsidP="00EA79B5">
      <w:pPr>
        <w:spacing w:after="0" w:line="276" w:lineRule="auto"/>
        <w:jc w:val="both"/>
        <w:rPr>
          <w:rFonts w:ascii="Times New Roman" w:hAnsi="Times New Roman" w:cs="Times New Roman"/>
        </w:rPr>
      </w:pPr>
      <w:r>
        <w:rPr>
          <w:rFonts w:ascii="Times New Roman" w:hAnsi="Times New Roman"/>
        </w:rPr>
        <w:t xml:space="preserve">Különösen </w:t>
      </w:r>
      <w:r>
        <w:rPr>
          <w:rFonts w:ascii="Times New Roman" w:hAnsi="Times New Roman"/>
          <w:b/>
          <w:bCs/>
        </w:rPr>
        <w:t>társadalmunk legkiszolgáltatottabb tagjait kell megvédenünk</w:t>
      </w:r>
      <w:r>
        <w:rPr>
          <w:rFonts w:ascii="Times New Roman" w:hAnsi="Times New Roman"/>
        </w:rPr>
        <w:t>, akiket a koronavírus-válság súlyosan különösen érintett (például a fogyatékkal élők és a migráns vagy etnikai kisebbségi háttérrel rendelkező személyek). A nemzedékek közötti egyenlőség szellemében különös figyelmet kell fordítani a fiatalokra, akik szebb jövőt érdemelnek. Az EGSZB és a nemzeti gszt-k üdvözlik, hogy az Európa jövőjéről szóló konferencia kiemelt figyelmet fordít a fiatalokra, és hogy 2022-t az ifjúság európai évének nyilvánították.</w:t>
      </w:r>
    </w:p>
    <w:p w:rsidR="00EA79B5" w:rsidRPr="002645D0" w:rsidRDefault="00EA79B5" w:rsidP="00EA79B5">
      <w:pPr>
        <w:spacing w:after="0" w:line="276" w:lineRule="auto"/>
        <w:jc w:val="both"/>
        <w:rPr>
          <w:rFonts w:ascii="Times New Roman" w:hAnsi="Times New Roman" w:cs="Times New Roman"/>
          <w:lang w:val="en-US"/>
        </w:rPr>
      </w:pPr>
    </w:p>
    <w:p w:rsidR="00456709" w:rsidRPr="002645D0" w:rsidRDefault="00456709" w:rsidP="00456709">
      <w:pPr>
        <w:spacing w:after="0" w:line="276" w:lineRule="auto"/>
        <w:jc w:val="both"/>
        <w:rPr>
          <w:rFonts w:ascii="Times New Roman" w:hAnsi="Times New Roman" w:cs="Times New Roman"/>
          <w:color w:val="424242"/>
          <w:shd w:val="clear" w:color="auto" w:fill="FFFFFF"/>
        </w:rPr>
      </w:pPr>
      <w:r>
        <w:rPr>
          <w:rFonts w:ascii="Times New Roman" w:hAnsi="Times New Roman"/>
          <w:color w:val="424242"/>
          <w:shd w:val="clear" w:color="auto" w:fill="FFFFFF"/>
        </w:rPr>
        <w:lastRenderedPageBreak/>
        <w:t xml:space="preserve">Elengedhetetlen lesz a tagállamok egészségügyi rendszereinek megerősítése az uniós szintű egészségügyi koordináció további javítása és a határokon átnyúló egészségügyi veszélyek hatékonyabb megelőzése érdekében. Az Uniónak nagyobb ambícióról kell tanúbizonyságot tennie az európai egészségügyi unióval és az Egészségügyi Szükséghelyzet-felkészültségi és -reagálási Hatósággal (HERA) kapcsolatban. </w:t>
      </w:r>
    </w:p>
    <w:p w:rsidR="00456709" w:rsidRPr="001216E0" w:rsidRDefault="00456709" w:rsidP="00456709">
      <w:pPr>
        <w:spacing w:after="0" w:line="276" w:lineRule="auto"/>
        <w:jc w:val="both"/>
        <w:rPr>
          <w:rFonts w:ascii="Times New Roman" w:hAnsi="Times New Roman" w:cs="Times New Roman"/>
        </w:rPr>
      </w:pPr>
    </w:p>
    <w:p w:rsidR="00456709" w:rsidRPr="001216E0" w:rsidRDefault="00456709" w:rsidP="00456709">
      <w:pPr>
        <w:spacing w:after="0" w:line="276" w:lineRule="auto"/>
        <w:jc w:val="both"/>
        <w:rPr>
          <w:rFonts w:ascii="Times New Roman" w:hAnsi="Times New Roman" w:cs="Times New Roman"/>
        </w:rPr>
      </w:pPr>
      <w:r>
        <w:rPr>
          <w:rFonts w:ascii="Times New Roman" w:hAnsi="Times New Roman"/>
        </w:rPr>
        <w:t>Az EGSZB és a nemzeti gszt-k megismétlik továbbá, hogy sürgős cselekvésre van szükség az emberi tevékenység által okozott, és a bolygó minden szegletét, a földet, a levegőt és a tengert is kíméletlenül sújtó éghajlati válsággal szemben, hogy 2050-re elérjük a karbonsemlegességet. A jólléti gazdaságnak védenie kell az ökoszisztémákat, meg kell őriznie a biológiai sokféleséget, Unió-szerte biztosítania kell az igazságos átmenetet a klímasemleges életvitelre, illetve ösztönöznie kell a fenntartható vállalkozást.</w:t>
      </w:r>
    </w:p>
    <w:p w:rsidR="00456709" w:rsidRPr="001216E0" w:rsidRDefault="00456709" w:rsidP="00456709">
      <w:pPr>
        <w:spacing w:after="0" w:line="276" w:lineRule="auto"/>
        <w:jc w:val="both"/>
        <w:rPr>
          <w:rFonts w:ascii="Times New Roman" w:hAnsi="Times New Roman" w:cs="Times New Roman"/>
        </w:rPr>
      </w:pPr>
    </w:p>
    <w:p w:rsidR="00456709" w:rsidRPr="002645D0" w:rsidRDefault="00456709" w:rsidP="00EA79B5">
      <w:pPr>
        <w:spacing w:after="0" w:line="276" w:lineRule="auto"/>
        <w:jc w:val="both"/>
        <w:rPr>
          <w:rFonts w:ascii="Times New Roman" w:hAnsi="Times New Roman" w:cs="Times New Roman"/>
        </w:rPr>
      </w:pPr>
      <w:r>
        <w:rPr>
          <w:rFonts w:ascii="Times New Roman" w:hAnsi="Times New Roman"/>
        </w:rPr>
        <w:t xml:space="preserve">Végül, de nem utolsósorban, az Európai Uniónak meg kell védenie </w:t>
      </w:r>
      <w:r>
        <w:rPr>
          <w:rFonts w:ascii="Times New Roman" w:hAnsi="Times New Roman"/>
          <w:b/>
        </w:rPr>
        <w:t>a nemek közötti egyenlőséget, a sokszínűséget, a békét, az alapvető jogokat, a jogállamiságot, a demokráciát, a társadalmi párbeszédet és a befogadó kormányzást</w:t>
      </w:r>
      <w:r>
        <w:rPr>
          <w:rFonts w:ascii="Times New Roman" w:hAnsi="Times New Roman"/>
        </w:rPr>
        <w:t>.</w:t>
      </w:r>
    </w:p>
    <w:p w:rsidR="007D0E35" w:rsidRPr="002645D0" w:rsidRDefault="007D0E35" w:rsidP="00EA79B5">
      <w:pPr>
        <w:spacing w:after="0" w:line="276" w:lineRule="auto"/>
        <w:rPr>
          <w:rFonts w:ascii="Times New Roman" w:hAnsi="Times New Roman" w:cs="Times New Roman"/>
          <w:lang w:val="en-US"/>
        </w:rPr>
      </w:pPr>
    </w:p>
    <w:p w:rsidR="00EA79B5" w:rsidRPr="007D0E35" w:rsidRDefault="00456709" w:rsidP="00CA21FC">
      <w:pPr>
        <w:pStyle w:val="ListParagraph"/>
        <w:numPr>
          <w:ilvl w:val="0"/>
          <w:numId w:val="1"/>
        </w:numPr>
        <w:spacing w:line="276" w:lineRule="auto"/>
        <w:rPr>
          <w:b/>
          <w:bCs/>
          <w:smallCaps/>
          <w:color w:val="000099"/>
          <w:u w:val="single"/>
        </w:rPr>
      </w:pPr>
      <w:r>
        <w:rPr>
          <w:b/>
          <w:smallCaps/>
          <w:color w:val="000099"/>
          <w:u w:val="single"/>
        </w:rPr>
        <w:t xml:space="preserve">Az erősségeinkre építünk közös jövőképünk megvalósításához </w:t>
      </w:r>
    </w:p>
    <w:p w:rsidR="00456709" w:rsidRPr="002645D0" w:rsidRDefault="00456709" w:rsidP="00456709">
      <w:pPr>
        <w:pStyle w:val="ListParagraph"/>
        <w:spacing w:line="276" w:lineRule="auto"/>
        <w:ind w:left="360"/>
        <w:rPr>
          <w:lang w:val="en-US"/>
        </w:rPr>
      </w:pPr>
    </w:p>
    <w:p w:rsidR="00456709" w:rsidRPr="002645D0" w:rsidRDefault="00456709" w:rsidP="00456709">
      <w:pPr>
        <w:spacing w:after="0" w:line="276" w:lineRule="auto"/>
        <w:jc w:val="both"/>
        <w:rPr>
          <w:rFonts w:ascii="Times New Roman" w:hAnsi="Times New Roman" w:cs="Times New Roman"/>
        </w:rPr>
      </w:pPr>
      <w:r>
        <w:rPr>
          <w:rFonts w:ascii="Times New Roman" w:hAnsi="Times New Roman"/>
        </w:rPr>
        <w:t xml:space="preserve">Az Európai Unió olyan </w:t>
      </w:r>
      <w:r>
        <w:rPr>
          <w:rFonts w:ascii="Times New Roman" w:hAnsi="Times New Roman"/>
          <w:b/>
          <w:bCs/>
        </w:rPr>
        <w:t>kulcsfontosságú erősségeire</w:t>
      </w:r>
      <w:r>
        <w:rPr>
          <w:rFonts w:ascii="Times New Roman" w:hAnsi="Times New Roman"/>
        </w:rPr>
        <w:t xml:space="preserve"> támaszkodhat, mint </w:t>
      </w:r>
      <w:r>
        <w:rPr>
          <w:rFonts w:ascii="Times New Roman" w:hAnsi="Times New Roman"/>
          <w:b/>
          <w:bCs/>
        </w:rPr>
        <w:t>kiterjedt belső piaca, szilárd ipari bázisa és a példátlan szolidaritás</w:t>
      </w:r>
      <w:r>
        <w:rPr>
          <w:rFonts w:ascii="Times New Roman" w:hAnsi="Times New Roman"/>
        </w:rPr>
        <w:t xml:space="preserve">, amit az új helyreállítási eszköz, a NextGenerationEU elfogadása is tanúsít. </w:t>
      </w:r>
    </w:p>
    <w:p w:rsidR="00456709" w:rsidRPr="002645D0" w:rsidRDefault="00456709" w:rsidP="00456709">
      <w:pPr>
        <w:spacing w:after="0" w:line="276" w:lineRule="auto"/>
        <w:jc w:val="both"/>
        <w:rPr>
          <w:rFonts w:ascii="Times New Roman" w:hAnsi="Times New Roman" w:cs="Times New Roman"/>
          <w:lang w:val="en-US"/>
        </w:rPr>
      </w:pPr>
    </w:p>
    <w:p w:rsidR="00456709" w:rsidRPr="002645D0" w:rsidRDefault="00456709" w:rsidP="00456709">
      <w:pPr>
        <w:spacing w:after="0" w:line="276" w:lineRule="auto"/>
        <w:jc w:val="both"/>
        <w:rPr>
          <w:rFonts w:ascii="Times New Roman" w:hAnsi="Times New Roman" w:cs="Times New Roman"/>
        </w:rPr>
      </w:pPr>
      <w:r>
        <w:rPr>
          <w:rFonts w:ascii="Times New Roman" w:hAnsi="Times New Roman"/>
        </w:rPr>
        <w:t xml:space="preserve">Az Európai Uniónak </w:t>
      </w:r>
      <w:r>
        <w:rPr>
          <w:rFonts w:ascii="Times New Roman" w:hAnsi="Times New Roman"/>
          <w:b/>
        </w:rPr>
        <w:t>pozitív szerepet</w:t>
      </w:r>
      <w:r>
        <w:rPr>
          <w:rFonts w:ascii="Times New Roman" w:hAnsi="Times New Roman"/>
        </w:rPr>
        <w:t xml:space="preserve"> kell játszania a</w:t>
      </w:r>
      <w:r>
        <w:rPr>
          <w:rFonts w:ascii="Times New Roman" w:hAnsi="Times New Roman"/>
          <w:b/>
        </w:rPr>
        <w:t xml:space="preserve"> nemzetközi gazdasági színtéren </w:t>
      </w:r>
      <w:r>
        <w:rPr>
          <w:rFonts w:ascii="Times New Roman" w:hAnsi="Times New Roman"/>
        </w:rPr>
        <w:t xml:space="preserve">is, </w:t>
      </w:r>
      <w:r>
        <w:rPr>
          <w:rFonts w:ascii="Times New Roman" w:hAnsi="Times New Roman"/>
          <w:b/>
          <w:bCs/>
        </w:rPr>
        <w:t>értékeinek, az alapvető jogok és a jogállamiság tiszteletben tartásának</w:t>
      </w:r>
      <w:r>
        <w:rPr>
          <w:rFonts w:ascii="Times New Roman" w:hAnsi="Times New Roman"/>
        </w:rPr>
        <w:t>, valamint prioritásainak védelme érdekében. Bizonyos fokú nyílt stratégiai autonómiát kell elérnie, és növelnie kell a válsághelyzetekre való felkészültségét és válságkezelési képességeit.</w:t>
      </w:r>
    </w:p>
    <w:p w:rsidR="002645D0" w:rsidRPr="002645D0" w:rsidRDefault="002645D0" w:rsidP="00456709">
      <w:pPr>
        <w:spacing w:after="0" w:line="276" w:lineRule="auto"/>
        <w:jc w:val="both"/>
        <w:rPr>
          <w:rFonts w:ascii="Times New Roman" w:hAnsi="Times New Roman" w:cs="Times New Roman"/>
          <w:b/>
          <w:bCs/>
          <w:lang w:val="en-US"/>
        </w:rPr>
      </w:pPr>
    </w:p>
    <w:p w:rsidR="00456709" w:rsidRPr="002645D0" w:rsidRDefault="005713DF" w:rsidP="00456709">
      <w:pPr>
        <w:spacing w:after="0" w:line="276" w:lineRule="auto"/>
        <w:jc w:val="both"/>
        <w:rPr>
          <w:rFonts w:ascii="Times New Roman" w:hAnsi="Times New Roman" w:cs="Times New Roman"/>
        </w:rPr>
      </w:pPr>
      <w:r>
        <w:rPr>
          <w:rFonts w:ascii="Times New Roman" w:hAnsi="Times New Roman"/>
          <w:b/>
          <w:bCs/>
        </w:rPr>
        <w:t>Az európai zöld megállapodás</w:t>
      </w:r>
      <w:r>
        <w:rPr>
          <w:rFonts w:ascii="Times New Roman" w:hAnsi="Times New Roman"/>
        </w:rPr>
        <w:t xml:space="preserve"> Európa új növekedési stratégiája, amelynek középpontjában a jólét, a fenntarthatóság és a társadalmi igazságosság áll.  A cél az EU modern, erőforrás-hatékony és versenyképes gazdasággá alakítása, biztosítva a nettó üvegházhatásúgáz-kibocsátás 2050-ig történő megszüntetését, valamint az erőforrás-felhasználástól független gazdasági növekedést, ahol senkit sem hagynak hátra.</w:t>
      </w:r>
    </w:p>
    <w:p w:rsidR="00456709" w:rsidRPr="002645D0" w:rsidRDefault="00456709" w:rsidP="00456709">
      <w:pPr>
        <w:spacing w:after="0" w:line="276" w:lineRule="auto"/>
        <w:jc w:val="both"/>
        <w:rPr>
          <w:rFonts w:ascii="Times New Roman" w:hAnsi="Times New Roman" w:cs="Times New Roman"/>
          <w:lang w:val="en-US"/>
        </w:rPr>
      </w:pPr>
    </w:p>
    <w:p w:rsidR="00456709" w:rsidRDefault="00456709" w:rsidP="00456709">
      <w:pPr>
        <w:spacing w:after="0" w:line="276" w:lineRule="auto"/>
        <w:jc w:val="both"/>
        <w:rPr>
          <w:rFonts w:ascii="Times New Roman" w:hAnsi="Times New Roman" w:cs="Times New Roman"/>
        </w:rPr>
      </w:pPr>
      <w:r>
        <w:rPr>
          <w:rFonts w:ascii="Times New Roman" w:hAnsi="Times New Roman"/>
        </w:rPr>
        <w:t>A klímasemleges életmódra való igazságos átállás, a jó minőségű munkahelyek létrehozása, valamint a fenntartható vállalkozói szellem és az innováció – ezen belül a körforgásos gazdaság és a szociális gazdaság – támogatása elengedhetetlen Európa jóléte számára.</w:t>
      </w:r>
    </w:p>
    <w:p w:rsidR="000F43E2" w:rsidRPr="002645D0" w:rsidRDefault="000F43E2" w:rsidP="005C5031">
      <w:pPr>
        <w:spacing w:after="0" w:line="276" w:lineRule="auto"/>
        <w:jc w:val="both"/>
        <w:rPr>
          <w:rFonts w:ascii="Times New Roman" w:hAnsi="Times New Roman" w:cs="Times New Roman"/>
          <w:lang w:val="en-US"/>
        </w:rPr>
      </w:pPr>
    </w:p>
    <w:p w:rsidR="001E6FD9" w:rsidRPr="002645D0" w:rsidRDefault="001E6FD9" w:rsidP="005C5031">
      <w:pPr>
        <w:spacing w:after="0" w:line="276" w:lineRule="auto"/>
        <w:jc w:val="both"/>
        <w:rPr>
          <w:rFonts w:ascii="Times New Roman" w:hAnsi="Times New Roman" w:cs="Times New Roman"/>
        </w:rPr>
      </w:pPr>
      <w:r>
        <w:rPr>
          <w:rFonts w:ascii="Times New Roman" w:hAnsi="Times New Roman"/>
          <w:b/>
          <w:bCs/>
        </w:rPr>
        <w:t>A digitális átállás</w:t>
      </w:r>
      <w:r>
        <w:rPr>
          <w:rFonts w:ascii="Times New Roman" w:hAnsi="Times New Roman"/>
        </w:rPr>
        <w:t xml:space="preserve"> sikeres befejezése egy másik nagy kihívás. Az embereket és a vállalkozásokat képessé kell tenni arra, hogy megteremthessék az emberközpontú, fenntartható és élhetőbb digitális jövőt. Az európai digitális menetrend célja annak biztosítása, hogy ez az átalakulás mindenki – a polgárok és a vállalkozások – számára előnyös legyen, ugyanakkor segítse az EU-t abban, hogy 2050-re elérje a klímasemlegességre vonatkozó célkitűzését.</w:t>
      </w:r>
    </w:p>
    <w:p w:rsidR="000F43E2" w:rsidRPr="002645D0" w:rsidRDefault="000F43E2" w:rsidP="005C5031">
      <w:pPr>
        <w:spacing w:after="0" w:line="276" w:lineRule="auto"/>
        <w:jc w:val="both"/>
        <w:rPr>
          <w:rFonts w:ascii="Times New Roman" w:hAnsi="Times New Roman" w:cs="Times New Roman"/>
          <w:lang w:val="en-US"/>
        </w:rPr>
      </w:pPr>
    </w:p>
    <w:p w:rsidR="00066B82" w:rsidRPr="002645D0" w:rsidRDefault="00066B82" w:rsidP="00066B82">
      <w:pPr>
        <w:spacing w:after="0" w:line="276" w:lineRule="auto"/>
        <w:jc w:val="both"/>
        <w:rPr>
          <w:rFonts w:ascii="Times New Roman" w:hAnsi="Times New Roman" w:cs="Times New Roman"/>
        </w:rPr>
      </w:pPr>
      <w:r>
        <w:rPr>
          <w:rFonts w:ascii="Times New Roman" w:hAnsi="Times New Roman"/>
        </w:rPr>
        <w:t>Végezetül,</w:t>
      </w:r>
      <w:r>
        <w:rPr>
          <w:rFonts w:ascii="Times New Roman" w:hAnsi="Times New Roman"/>
          <w:b/>
        </w:rPr>
        <w:t xml:space="preserve"> Uniónk legnagyobb vagyona a polgárai és az európai civil társadalom</w:t>
      </w:r>
      <w:r>
        <w:rPr>
          <w:rFonts w:ascii="Times New Roman" w:hAnsi="Times New Roman"/>
        </w:rPr>
        <w:t>.</w:t>
      </w:r>
      <w:r>
        <w:rPr>
          <w:rFonts w:ascii="Times New Roman" w:hAnsi="Times New Roman"/>
          <w:b/>
        </w:rPr>
        <w:t xml:space="preserve"> </w:t>
      </w:r>
      <w:r>
        <w:rPr>
          <w:rFonts w:ascii="Times New Roman" w:hAnsi="Times New Roman"/>
        </w:rPr>
        <w:t xml:space="preserve">A hatékony civil és társadalmi párbeszéd révén a politika középpontjába kell állítani őket, és fel kell készíteni arra, hogy megfeleljenek a kettős átmenet által megkövetelt változásoknak.  Az Európai Szociális Charta húsz alapelve mutatja az utat számunkra egy befogadó és lehetőségekkel teli szociális Európa felé. </w:t>
      </w:r>
    </w:p>
    <w:p w:rsidR="00066B82" w:rsidRPr="002645D0" w:rsidRDefault="00066B82" w:rsidP="00066B82">
      <w:pPr>
        <w:spacing w:after="0" w:line="276" w:lineRule="auto"/>
        <w:jc w:val="both"/>
        <w:rPr>
          <w:rFonts w:ascii="Times New Roman" w:hAnsi="Times New Roman" w:cs="Times New Roman"/>
          <w:lang w:val="en-US"/>
        </w:rPr>
      </w:pPr>
    </w:p>
    <w:p w:rsidR="00066B82" w:rsidRPr="002645D0" w:rsidRDefault="00066B82" w:rsidP="00066B82">
      <w:pPr>
        <w:spacing w:after="0" w:line="276" w:lineRule="auto"/>
        <w:jc w:val="both"/>
        <w:rPr>
          <w:rFonts w:ascii="Times New Roman" w:hAnsi="Times New Roman" w:cs="Times New Roman"/>
        </w:rPr>
      </w:pPr>
      <w:r>
        <w:rPr>
          <w:rFonts w:ascii="Times New Roman" w:hAnsi="Times New Roman"/>
        </w:rPr>
        <w:t xml:space="preserve">Az EGSZB és a nemzeti gszt-k üdvözlik, hogy 2022. az </w:t>
      </w:r>
      <w:r>
        <w:rPr>
          <w:rFonts w:ascii="Times New Roman" w:hAnsi="Times New Roman"/>
          <w:b/>
        </w:rPr>
        <w:t>ifjúság európai éve</w:t>
      </w:r>
      <w:r>
        <w:rPr>
          <w:rFonts w:ascii="Times New Roman" w:hAnsi="Times New Roman"/>
        </w:rPr>
        <w:t xml:space="preserve"> lesz. A fiatalokat érintette leginkább a világjárvány, és körükben emelkedett leginkább a munkanélküliség és az inaktivitás. Az EGSZB és a nemzeti gszt-k olyan intézkedéseket szorgalmaznak, amelyek az aktív munkaerőpiaci politikákra, valamint az oktatásra és a készségekre összpontosítanak. A nemzedékek közötti szolidaritás is létfontosságú, kulcsfontosságú a fiatalok segítése és az idősek értékeinek tiszteletben tartása.</w:t>
      </w:r>
    </w:p>
    <w:p w:rsidR="00066B82" w:rsidRPr="002645D0" w:rsidRDefault="00066B82" w:rsidP="00EA79B5">
      <w:pPr>
        <w:spacing w:after="0" w:line="276" w:lineRule="auto"/>
        <w:jc w:val="both"/>
        <w:rPr>
          <w:rFonts w:ascii="Times New Roman" w:hAnsi="Times New Roman" w:cs="Times New Roman"/>
          <w:b/>
          <w:bCs/>
          <w:lang w:val="en-US"/>
        </w:rPr>
      </w:pPr>
    </w:p>
    <w:p w:rsidR="00EA79B5" w:rsidRPr="008C12CB" w:rsidRDefault="00066B82" w:rsidP="00EA79B5">
      <w:pPr>
        <w:spacing w:after="0" w:line="276" w:lineRule="auto"/>
        <w:jc w:val="both"/>
        <w:rPr>
          <w:rFonts w:ascii="Times New Roman" w:hAnsi="Times New Roman" w:cs="Times New Roman"/>
          <w:b/>
          <w:bCs/>
        </w:rPr>
      </w:pPr>
      <w:r>
        <w:rPr>
          <w:rFonts w:ascii="Times New Roman" w:hAnsi="Times New Roman"/>
          <w:b/>
        </w:rPr>
        <w:t>A NextGenerationEU és a nemzeti helyreállítási és rezilienciaépítési tervek</w:t>
      </w:r>
    </w:p>
    <w:p w:rsidR="00EA79B5" w:rsidRPr="002645D0" w:rsidRDefault="00EA79B5" w:rsidP="00EA79B5">
      <w:pPr>
        <w:spacing w:after="0" w:line="276" w:lineRule="auto"/>
        <w:jc w:val="both"/>
        <w:rPr>
          <w:rFonts w:ascii="Times New Roman" w:hAnsi="Times New Roman" w:cs="Times New Roman"/>
          <w:b/>
          <w:bCs/>
          <w:u w:val="single"/>
          <w:lang w:val="en-US"/>
        </w:rPr>
      </w:pPr>
    </w:p>
    <w:p w:rsidR="00066B82" w:rsidRPr="002645D0" w:rsidRDefault="00066B82" w:rsidP="00EA79B5">
      <w:pPr>
        <w:spacing w:after="0" w:line="276" w:lineRule="auto"/>
        <w:jc w:val="both"/>
        <w:rPr>
          <w:rFonts w:ascii="Times New Roman" w:hAnsi="Times New Roman" w:cs="Times New Roman"/>
        </w:rPr>
      </w:pPr>
      <w:r>
        <w:rPr>
          <w:rFonts w:ascii="Times New Roman" w:hAnsi="Times New Roman"/>
        </w:rPr>
        <w:t>Az EU-nak fenn kell tartania azt a pozitív és történelmi jelentőségű lendületet, amit a NextGenerationEU – a Covid19-világjárvány által okozott gazdasági és társadalmi károk helyreállítását segítő, több mint 800 milliárd eurós ideiglenes helyreállítási eszköz – elfogadása indított el.</w:t>
      </w:r>
    </w:p>
    <w:p w:rsidR="00EA79B5" w:rsidRPr="002645D0" w:rsidRDefault="00EA79B5" w:rsidP="00EA79B5">
      <w:pPr>
        <w:spacing w:after="0" w:line="276" w:lineRule="auto"/>
        <w:jc w:val="both"/>
        <w:rPr>
          <w:rFonts w:ascii="Times New Roman" w:hAnsi="Times New Roman" w:cs="Times New Roman"/>
          <w:lang w:val="en-US"/>
        </w:rPr>
      </w:pPr>
    </w:p>
    <w:p w:rsidR="00066B82" w:rsidRPr="002645D0" w:rsidRDefault="00066B82" w:rsidP="00EA79B5">
      <w:pPr>
        <w:spacing w:after="0" w:line="276" w:lineRule="auto"/>
        <w:jc w:val="both"/>
        <w:rPr>
          <w:rFonts w:ascii="Times New Roman" w:hAnsi="Times New Roman" w:cs="Times New Roman"/>
        </w:rPr>
      </w:pPr>
      <w:r>
        <w:rPr>
          <w:rFonts w:ascii="Times New Roman" w:hAnsi="Times New Roman"/>
        </w:rPr>
        <w:t>A Helyreállítási és Rezilienciaépítési Eszköz, ami a NextGenerationEU központi eleme, támogatja az uniós országok által végrehajtott reformokat és beruházásokat. A cél az, hogy Európa környezetbarátabbá, digitálisabbá és reziliensebbé váljon, és a jobban alkalmazkodjon a jelenlegi és jövőbeli kihívásokhoz.</w:t>
      </w:r>
    </w:p>
    <w:p w:rsidR="00EA79B5" w:rsidRPr="002645D0" w:rsidRDefault="00EA79B5" w:rsidP="00EA79B5">
      <w:pPr>
        <w:spacing w:after="0" w:line="276" w:lineRule="auto"/>
        <w:jc w:val="both"/>
        <w:rPr>
          <w:rFonts w:ascii="Times New Roman" w:hAnsi="Times New Roman" w:cs="Times New Roman"/>
          <w:lang w:val="en-US"/>
        </w:rPr>
      </w:pPr>
    </w:p>
    <w:p w:rsidR="00066B82" w:rsidRPr="002645D0" w:rsidRDefault="00066B82" w:rsidP="00EA79B5">
      <w:pPr>
        <w:spacing w:after="0" w:line="276" w:lineRule="auto"/>
        <w:jc w:val="both"/>
        <w:rPr>
          <w:rFonts w:ascii="Times New Roman" w:hAnsi="Times New Roman" w:cs="Times New Roman"/>
        </w:rPr>
      </w:pPr>
      <w:r>
        <w:rPr>
          <w:rFonts w:ascii="Times New Roman" w:hAnsi="Times New Roman"/>
        </w:rPr>
        <w:t>A Helyreállítási és Rezilienciaépítési Eszközről szóló rendelet hangsúlyozza, hogy a nemzeti gazdaságélénkítési tervek kidolgozása és végrehajtása során mind a civil társadalmi szervezetekkel, mind a szociális partnerekkel konzultációt kell folytatni. Kiderült azonban, hogy ez eddig nem így volt</w:t>
      </w:r>
      <w:r>
        <w:rPr>
          <w:rStyle w:val="FootnoteReference"/>
          <w:rFonts w:ascii="Times New Roman" w:hAnsi="Times New Roman" w:cs="Times New Roman"/>
          <w:lang w:val="fr-BE"/>
        </w:rPr>
        <w:footnoteReference w:id="1"/>
      </w:r>
      <w:r>
        <w:rPr>
          <w:rFonts w:ascii="Times New Roman" w:hAnsi="Times New Roman"/>
        </w:rPr>
        <w:t xml:space="preserve">. Az EGSZB és a nemzeti gszt-k arra a következtetésre jutottak, hogy a legtöbb tagállamban a konzultációk messze nem elégítik ki a szervezett civil társadalom jogos igényeit. Ezért </w:t>
      </w:r>
      <w:r>
        <w:rPr>
          <w:rFonts w:ascii="Times New Roman" w:hAnsi="Times New Roman"/>
          <w:b/>
          <w:bCs/>
        </w:rPr>
        <w:t>a szervezett civil társadalom sokkal kézzelfoghatóbb bevonására</w:t>
      </w:r>
      <w:r>
        <w:rPr>
          <w:rFonts w:ascii="Times New Roman" w:hAnsi="Times New Roman"/>
        </w:rPr>
        <w:t xml:space="preserve"> szólítanak fel a nemzeti tervek végrehajtásának és értékelésének szakaszában, a valódi eszmecserét elősegítő formálisabb eljárásokkal.</w:t>
      </w:r>
    </w:p>
    <w:p w:rsidR="007D0E35" w:rsidRPr="002645D0" w:rsidRDefault="007D0E35" w:rsidP="00EA79B5">
      <w:pPr>
        <w:spacing w:after="0" w:line="276" w:lineRule="auto"/>
        <w:jc w:val="both"/>
        <w:rPr>
          <w:rFonts w:ascii="Times New Roman" w:hAnsi="Times New Roman" w:cs="Times New Roman"/>
          <w:lang w:val="en-US"/>
        </w:rPr>
      </w:pPr>
    </w:p>
    <w:p w:rsidR="00EA79B5" w:rsidRPr="007D0E35" w:rsidRDefault="00911EF8" w:rsidP="00911EF8">
      <w:pPr>
        <w:pStyle w:val="ListParagraph"/>
        <w:numPr>
          <w:ilvl w:val="0"/>
          <w:numId w:val="1"/>
        </w:numPr>
        <w:spacing w:line="276" w:lineRule="auto"/>
        <w:rPr>
          <w:b/>
          <w:bCs/>
          <w:smallCaps/>
          <w:color w:val="000099"/>
          <w:u w:val="single"/>
        </w:rPr>
      </w:pPr>
      <w:r>
        <w:rPr>
          <w:b/>
          <w:smallCaps/>
          <w:color w:val="000099"/>
          <w:u w:val="single"/>
        </w:rPr>
        <w:t>A szervezett civil társadalom hangja: közös jövőnk alakításának alapvető eleme</w:t>
      </w:r>
    </w:p>
    <w:p w:rsidR="00EA79B5" w:rsidRPr="002645D0" w:rsidRDefault="00EA79B5" w:rsidP="00EA79B5">
      <w:pPr>
        <w:spacing w:after="0" w:line="276" w:lineRule="auto"/>
        <w:jc w:val="both"/>
        <w:rPr>
          <w:rFonts w:ascii="Times New Roman" w:hAnsi="Times New Roman" w:cs="Times New Roman"/>
          <w:bCs/>
          <w:lang w:val="en-US"/>
        </w:rPr>
      </w:pPr>
    </w:p>
    <w:p w:rsidR="00911EF8" w:rsidRPr="002645D0" w:rsidRDefault="00911EF8" w:rsidP="00EA79B5">
      <w:pPr>
        <w:spacing w:after="0" w:line="276" w:lineRule="auto"/>
        <w:jc w:val="both"/>
        <w:rPr>
          <w:rFonts w:ascii="Times New Roman" w:hAnsi="Times New Roman" w:cs="Times New Roman"/>
        </w:rPr>
      </w:pPr>
      <w:r>
        <w:rPr>
          <w:rFonts w:ascii="Times New Roman" w:hAnsi="Times New Roman"/>
        </w:rPr>
        <w:t>A Covid19-válság kezdete óta a munkáltatói szervezetek, a szakszervezetek és más civil társadalmi szervezetek jelentős szerepet játszottak a válság hatásainak enyhítésében. Számtalan példa van az európai civil társadalom által végrehajtott intézkedésekre, amelyek struktúráik fontosságáról tanúskodnak. A Covid19-válság csúcsán végzett munkájuk jelentős mértékben hozzájárult társadalmaink kohéziójának és stabilitásának megőrzéséhez.</w:t>
      </w:r>
    </w:p>
    <w:p w:rsidR="00EA79B5" w:rsidRPr="002645D0" w:rsidRDefault="00EA79B5" w:rsidP="00EA79B5">
      <w:pPr>
        <w:spacing w:after="0" w:line="276" w:lineRule="auto"/>
        <w:jc w:val="both"/>
        <w:rPr>
          <w:rFonts w:ascii="Times New Roman" w:hAnsi="Times New Roman" w:cs="Times New Roman"/>
          <w:lang w:val="en-US"/>
        </w:rPr>
      </w:pPr>
    </w:p>
    <w:p w:rsidR="00911EF8" w:rsidRPr="002645D0" w:rsidRDefault="00911EF8" w:rsidP="00911EF8">
      <w:pPr>
        <w:spacing w:after="0" w:line="276" w:lineRule="auto"/>
        <w:jc w:val="both"/>
        <w:rPr>
          <w:rFonts w:ascii="Times New Roman" w:hAnsi="Times New Roman" w:cs="Times New Roman"/>
          <w:b/>
          <w:bCs/>
        </w:rPr>
      </w:pPr>
      <w:r>
        <w:rPr>
          <w:rFonts w:ascii="Times New Roman" w:hAnsi="Times New Roman"/>
        </w:rPr>
        <w:t xml:space="preserve">Egy olyan időszakban, amikor az Európai Uniót újjá kell építeni és fel kell készíteni a jövőre, </w:t>
      </w:r>
      <w:r>
        <w:rPr>
          <w:rFonts w:ascii="Times New Roman" w:hAnsi="Times New Roman"/>
          <w:b/>
          <w:bCs/>
        </w:rPr>
        <w:t>a szociális partnerek és a civil társadalmi szervezetek, valamint az EGSZB és a tagállamok gszt-i kulcsfontosságú szerepet töltenek be</w:t>
      </w:r>
      <w:r>
        <w:rPr>
          <w:rFonts w:ascii="Times New Roman" w:hAnsi="Times New Roman"/>
        </w:rPr>
        <w:t>.</w:t>
      </w:r>
    </w:p>
    <w:p w:rsidR="00911EF8" w:rsidRPr="002645D0" w:rsidRDefault="00911EF8" w:rsidP="00911EF8">
      <w:pPr>
        <w:spacing w:after="0" w:line="276" w:lineRule="auto"/>
        <w:jc w:val="both"/>
        <w:rPr>
          <w:rFonts w:ascii="Times New Roman" w:hAnsi="Times New Roman" w:cs="Times New Roman"/>
          <w:lang w:val="en-US"/>
        </w:rPr>
      </w:pPr>
    </w:p>
    <w:p w:rsidR="00911EF8" w:rsidRPr="002645D0" w:rsidRDefault="00911EF8" w:rsidP="00911EF8">
      <w:pPr>
        <w:spacing w:after="0" w:line="276" w:lineRule="auto"/>
        <w:jc w:val="both"/>
        <w:rPr>
          <w:rFonts w:ascii="Times New Roman" w:hAnsi="Times New Roman" w:cs="Times New Roman"/>
        </w:rPr>
      </w:pPr>
      <w:r>
        <w:rPr>
          <w:rFonts w:ascii="Times New Roman" w:hAnsi="Times New Roman"/>
        </w:rPr>
        <w:t>Európa megújításához és társadalmi-gazdasági újjáépítéséhez a társadalom valamennyi alkotóelemének valódi és kézzelfogható részvételére van szükség, különösen a reformok tervezési, végrehajtási és értékelési folyamataiban.</w:t>
      </w:r>
    </w:p>
    <w:p w:rsidR="00EA79B5" w:rsidRPr="002645D0" w:rsidRDefault="00EA79B5" w:rsidP="00EA79B5">
      <w:pPr>
        <w:spacing w:after="0" w:line="276" w:lineRule="auto"/>
        <w:jc w:val="both"/>
        <w:rPr>
          <w:rFonts w:ascii="Times New Roman" w:hAnsi="Times New Roman" w:cs="Times New Roman"/>
          <w:lang w:val="en-US"/>
        </w:rPr>
      </w:pPr>
    </w:p>
    <w:p w:rsidR="00911EF8" w:rsidRPr="002645D0" w:rsidRDefault="00911EF8" w:rsidP="00911EF8">
      <w:pPr>
        <w:spacing w:after="0" w:line="276" w:lineRule="auto"/>
        <w:rPr>
          <w:rFonts w:ascii="Times New Roman" w:hAnsi="Times New Roman" w:cs="Times New Roman"/>
        </w:rPr>
      </w:pPr>
      <w:r>
        <w:rPr>
          <w:rFonts w:ascii="Times New Roman" w:hAnsi="Times New Roman"/>
        </w:rPr>
        <w:t xml:space="preserve">Az EGSZB és az uniós tagállamok gszt-i alapos ismeretekkel rendelkeznek ezen a területen, és a civil párbeszéd egyedülálló állandó fórumai, amelyek előnye, hogy a különböző érdekelt felek közötti </w:t>
      </w:r>
      <w:r>
        <w:rPr>
          <w:rFonts w:ascii="Times New Roman" w:hAnsi="Times New Roman"/>
          <w:b/>
          <w:bCs/>
        </w:rPr>
        <w:t>konszenzuson alapuló megoldásokat</w:t>
      </w:r>
      <w:r>
        <w:rPr>
          <w:rFonts w:ascii="Times New Roman" w:hAnsi="Times New Roman"/>
        </w:rPr>
        <w:t xml:space="preserve"> kínálnak. Kreativitásuk és előrelátásuk révén képesek a 21. század kihívásainak megfelelő válaszokat kidolgozni, és kulcsszerepet kell játszaniuk az újjáépítési folyamatban. </w:t>
      </w:r>
    </w:p>
    <w:p w:rsidR="00911EF8" w:rsidRPr="002645D0" w:rsidRDefault="00911EF8" w:rsidP="00911EF8">
      <w:pPr>
        <w:spacing w:after="0" w:line="276" w:lineRule="auto"/>
        <w:rPr>
          <w:rFonts w:ascii="Times New Roman" w:hAnsi="Times New Roman" w:cs="Times New Roman"/>
          <w:lang w:val="en-US"/>
        </w:rPr>
      </w:pPr>
    </w:p>
    <w:p w:rsidR="00911EF8" w:rsidRPr="002645D0" w:rsidRDefault="00911EF8" w:rsidP="00911EF8">
      <w:pPr>
        <w:spacing w:after="0" w:line="276" w:lineRule="auto"/>
        <w:rPr>
          <w:rFonts w:ascii="Times New Roman" w:hAnsi="Times New Roman" w:cs="Times New Roman"/>
        </w:rPr>
      </w:pPr>
      <w:r>
        <w:rPr>
          <w:rFonts w:ascii="Times New Roman" w:hAnsi="Times New Roman"/>
        </w:rPr>
        <w:t>Az EGSZB a nemzeti gszt-k hálózatával együttműködve kiváltságos helyzetben van azon a téren, hogy megossza az európai intézményekkel a tagállamok legjobb gyakorlatait és a legjobb reformmegoldásokat.</w:t>
      </w:r>
    </w:p>
    <w:p w:rsidR="000F43E2" w:rsidRPr="002645D0" w:rsidRDefault="000F43E2" w:rsidP="00EA79B5">
      <w:pPr>
        <w:spacing w:after="0" w:line="276" w:lineRule="auto"/>
        <w:rPr>
          <w:rFonts w:ascii="Times New Roman" w:hAnsi="Times New Roman" w:cs="Times New Roman"/>
          <w:lang w:val="en-US"/>
        </w:rPr>
      </w:pPr>
    </w:p>
    <w:p w:rsidR="00911EF8" w:rsidRPr="002645D0" w:rsidRDefault="00911EF8" w:rsidP="00911EF8">
      <w:pPr>
        <w:spacing w:after="0" w:line="276" w:lineRule="auto"/>
        <w:jc w:val="both"/>
        <w:rPr>
          <w:rFonts w:ascii="Times New Roman" w:hAnsi="Times New Roman" w:cs="Times New Roman"/>
        </w:rPr>
      </w:pPr>
      <w:r>
        <w:rPr>
          <w:rFonts w:ascii="Times New Roman" w:hAnsi="Times New Roman"/>
        </w:rPr>
        <w:t xml:space="preserve">Az EGSZB és az uniós tagállamok gszt-i megerősítik, hogy </w:t>
      </w:r>
      <w:r>
        <w:rPr>
          <w:rFonts w:ascii="Times New Roman" w:hAnsi="Times New Roman"/>
          <w:b/>
        </w:rPr>
        <w:t>készek aktív részt vállalni a jelenlegi reformok tervezésében, kidolgozásában és végrehajtásában</w:t>
      </w:r>
      <w:r>
        <w:rPr>
          <w:rFonts w:ascii="Times New Roman" w:hAnsi="Times New Roman"/>
        </w:rPr>
        <w:t>, hogy a politikák teljes mértékben megfeleljenek a polgárok igényeinek és elvárásainak, valamint a közös felelősségvállalás érzésének erősítése érdekében.</w:t>
      </w:r>
    </w:p>
    <w:p w:rsidR="00911EF8" w:rsidRPr="002645D0" w:rsidRDefault="00911EF8" w:rsidP="00911EF8">
      <w:pPr>
        <w:spacing w:after="0" w:line="276" w:lineRule="auto"/>
        <w:jc w:val="both"/>
        <w:rPr>
          <w:rFonts w:ascii="Times New Roman" w:hAnsi="Times New Roman" w:cs="Times New Roman"/>
          <w:lang w:val="en-US"/>
        </w:rPr>
      </w:pPr>
    </w:p>
    <w:p w:rsidR="00911EF8" w:rsidRDefault="00911EF8" w:rsidP="00911EF8">
      <w:pPr>
        <w:spacing w:after="0" w:line="276" w:lineRule="auto"/>
        <w:jc w:val="both"/>
        <w:rPr>
          <w:rFonts w:ascii="Times New Roman" w:hAnsi="Times New Roman" w:cs="Times New Roman"/>
        </w:rPr>
      </w:pPr>
      <w:r>
        <w:rPr>
          <w:rFonts w:ascii="Times New Roman" w:hAnsi="Times New Roman"/>
        </w:rPr>
        <w:t xml:space="preserve">Az EGSZB és a gszt-k emlékeztetnek arra, hogy érvényre kell juttatni </w:t>
      </w:r>
      <w:r>
        <w:rPr>
          <w:rFonts w:ascii="Times New Roman" w:hAnsi="Times New Roman"/>
          <w:b/>
          <w:bCs/>
        </w:rPr>
        <w:t>az EUSZ 11. cikkét</w:t>
      </w:r>
      <w:r>
        <w:rPr>
          <w:rFonts w:ascii="Times New Roman" w:hAnsi="Times New Roman"/>
        </w:rPr>
        <w:t>, amely a demokratikus alapelvekre vonatkozó rendelkezésekkel összefüggésben kimondja: „Az intézmények az érdekképviseleti szervezetekkel és a civil társadalommal nyílt, átlátható és rendszeres párbeszédet tartanak fenn”.</w:t>
      </w:r>
    </w:p>
    <w:p w:rsidR="007366DC" w:rsidRPr="002645D0" w:rsidRDefault="007366DC" w:rsidP="00911EF8">
      <w:pPr>
        <w:spacing w:after="0" w:line="276" w:lineRule="auto"/>
        <w:jc w:val="both"/>
        <w:rPr>
          <w:rFonts w:ascii="Times New Roman" w:hAnsi="Times New Roman" w:cs="Times New Roman"/>
          <w:lang w:val="en-US"/>
        </w:rPr>
      </w:pPr>
    </w:p>
    <w:p w:rsidR="00EA79B5" w:rsidRPr="002645D0" w:rsidRDefault="00911EF8" w:rsidP="00911EF8">
      <w:pPr>
        <w:spacing w:after="0" w:line="276" w:lineRule="auto"/>
        <w:jc w:val="both"/>
        <w:rPr>
          <w:rFonts w:ascii="Times New Roman" w:hAnsi="Times New Roman" w:cs="Times New Roman"/>
        </w:rPr>
      </w:pPr>
      <w:r>
        <w:rPr>
          <w:rFonts w:ascii="Times New Roman" w:hAnsi="Times New Roman"/>
        </w:rPr>
        <w:t>Szándékukban áll továbbra is elköteleződni e fontos kihívás mellett, tudatában annak, hogy a részvételi demokráciának közvetítő testületekre van szüksége ahhoz, hogy a polgárokat bevonja, és arra ösztönözze, hogy minden civil társadalmi térben kifejezzék véleményüket.</w:t>
      </w:r>
    </w:p>
    <w:p w:rsidR="00EA79B5" w:rsidRPr="002645D0" w:rsidRDefault="00EA79B5" w:rsidP="00EA79B5">
      <w:pPr>
        <w:spacing w:after="0" w:line="276" w:lineRule="auto"/>
        <w:jc w:val="both"/>
        <w:rPr>
          <w:rFonts w:ascii="Times New Roman" w:hAnsi="Times New Roman" w:cs="Times New Roman"/>
          <w:lang w:val="en-US"/>
        </w:rPr>
      </w:pPr>
    </w:p>
    <w:p w:rsidR="002854C4" w:rsidRDefault="00911EF8" w:rsidP="00EA79B5">
      <w:pPr>
        <w:spacing w:after="0" w:line="276" w:lineRule="auto"/>
        <w:jc w:val="both"/>
        <w:rPr>
          <w:rFonts w:ascii="Times New Roman" w:hAnsi="Times New Roman" w:cs="Times New Roman"/>
        </w:rPr>
      </w:pPr>
      <w:r>
        <w:rPr>
          <w:rFonts w:ascii="Times New Roman" w:hAnsi="Times New Roman"/>
        </w:rPr>
        <w:t>Elengedhetetlenül fontos, hogy az Európai Unió támogassa a szociális partnerek központi szerepét az európai értékek, a demokrácia, az alapvető jogok és a jogállamiság előmozdításában, valamint a zsugorodó civil társadalmi térrel szembeni védelemben. Ez az európai projekt lényege.</w:t>
      </w:r>
    </w:p>
    <w:p w:rsidR="00C616D4" w:rsidRDefault="00C616D4" w:rsidP="00EA79B5">
      <w:pPr>
        <w:spacing w:after="0" w:line="276" w:lineRule="auto"/>
        <w:jc w:val="both"/>
        <w:rPr>
          <w:rFonts w:ascii="Times New Roman" w:hAnsi="Times New Roman" w:cs="Times New Roman"/>
          <w:lang w:val="fr-BE"/>
        </w:rPr>
      </w:pPr>
    </w:p>
    <w:p w:rsidR="005C5031" w:rsidRPr="007D0E35" w:rsidRDefault="00911EF8" w:rsidP="00911EF8">
      <w:pPr>
        <w:pStyle w:val="ListParagraph"/>
        <w:numPr>
          <w:ilvl w:val="0"/>
          <w:numId w:val="1"/>
        </w:numPr>
        <w:spacing w:line="276" w:lineRule="auto"/>
        <w:rPr>
          <w:b/>
          <w:bCs/>
          <w:smallCaps/>
          <w:color w:val="000099"/>
          <w:u w:val="single"/>
        </w:rPr>
      </w:pPr>
      <w:r>
        <w:rPr>
          <w:b/>
          <w:smallCaps/>
          <w:color w:val="000099"/>
          <w:u w:val="single"/>
        </w:rPr>
        <w:t>Az Európa jövőjéről szóló konferencia: esély egy mindenki számára jobb jövő építésére</w:t>
      </w:r>
    </w:p>
    <w:p w:rsidR="005C5031" w:rsidRPr="002645D0" w:rsidRDefault="005C5031" w:rsidP="00EA79B5">
      <w:pPr>
        <w:spacing w:after="0" w:line="276" w:lineRule="auto"/>
        <w:jc w:val="both"/>
        <w:rPr>
          <w:rFonts w:ascii="Times New Roman" w:hAnsi="Times New Roman" w:cs="Times New Roman"/>
          <w:lang w:val="en-US"/>
        </w:rPr>
      </w:pPr>
    </w:p>
    <w:p w:rsidR="00911EF8" w:rsidRPr="002645D0" w:rsidRDefault="00911EF8" w:rsidP="00911EF8">
      <w:pPr>
        <w:spacing w:after="0" w:line="276" w:lineRule="auto"/>
        <w:jc w:val="both"/>
        <w:rPr>
          <w:rFonts w:ascii="Times New Roman" w:hAnsi="Times New Roman" w:cs="Times New Roman"/>
        </w:rPr>
      </w:pPr>
      <w:r>
        <w:rPr>
          <w:rFonts w:ascii="Times New Roman" w:hAnsi="Times New Roman"/>
        </w:rPr>
        <w:t xml:space="preserve">Az EGSZB és a nemzeti gszt-k úgy vélik, hogy az Európa jövőjéről szóló konferencia </w:t>
      </w:r>
      <w:r>
        <w:rPr>
          <w:rFonts w:ascii="Times New Roman" w:hAnsi="Times New Roman"/>
          <w:b/>
        </w:rPr>
        <w:t xml:space="preserve">történelmi lehetőség </w:t>
      </w:r>
      <w:r>
        <w:rPr>
          <w:rFonts w:ascii="Times New Roman" w:hAnsi="Times New Roman"/>
        </w:rPr>
        <w:t>az európai integrációs projekt újraindítására. A projekt különösen innovatív aspektusa, hogy mind a 27 tagállam polgáraival kapcsolatot kíván teremteni.</w:t>
      </w:r>
    </w:p>
    <w:p w:rsidR="00911EF8" w:rsidRPr="002645D0" w:rsidRDefault="00911EF8" w:rsidP="00911EF8">
      <w:pPr>
        <w:spacing w:after="0" w:line="276" w:lineRule="auto"/>
        <w:jc w:val="both"/>
        <w:rPr>
          <w:rFonts w:ascii="Times New Roman" w:hAnsi="Times New Roman" w:cs="Times New Roman"/>
          <w:lang w:val="en-US"/>
        </w:rPr>
      </w:pPr>
    </w:p>
    <w:p w:rsidR="005C5031" w:rsidRPr="00924DBA" w:rsidRDefault="00911EF8" w:rsidP="00911EF8">
      <w:pPr>
        <w:spacing w:after="0" w:line="276" w:lineRule="auto"/>
        <w:jc w:val="both"/>
        <w:rPr>
          <w:rFonts w:ascii="Times New Roman" w:hAnsi="Times New Roman" w:cs="Times New Roman"/>
        </w:rPr>
      </w:pPr>
      <w:r>
        <w:rPr>
          <w:rFonts w:ascii="Times New Roman" w:hAnsi="Times New Roman"/>
        </w:rPr>
        <w:t xml:space="preserve">Az EGSZB és a nemzeti gszt-k határozottan támogatják a </w:t>
      </w:r>
      <w:r>
        <w:rPr>
          <w:rFonts w:ascii="Times New Roman" w:hAnsi="Times New Roman"/>
          <w:b/>
          <w:bCs/>
        </w:rPr>
        <w:t>részvételi demokrácia</w:t>
      </w:r>
      <w:r>
        <w:rPr>
          <w:rFonts w:ascii="Times New Roman" w:hAnsi="Times New Roman"/>
        </w:rPr>
        <w:t xml:space="preserve"> fejlesztésének folyamatát. Úgy gondolják, hogy a konferenciának az európaiakat kell a figyelem középpontjába állítania, biztosítania kell, hogy Európa polgárai részt vegyenek a vitákban, és konkrét, látható és mérhető eredményeket kell elérnie.</w:t>
      </w:r>
    </w:p>
    <w:p w:rsidR="00D8736E" w:rsidRPr="00924DBA" w:rsidRDefault="00D8736E" w:rsidP="00911EF8">
      <w:pPr>
        <w:spacing w:after="0" w:line="276" w:lineRule="auto"/>
        <w:jc w:val="both"/>
        <w:rPr>
          <w:rFonts w:ascii="Times New Roman" w:hAnsi="Times New Roman" w:cs="Times New Roman"/>
          <w:lang w:val="en-US"/>
        </w:rPr>
      </w:pPr>
    </w:p>
    <w:p w:rsidR="002645D0" w:rsidRDefault="00924DBA" w:rsidP="00911EF8">
      <w:pPr>
        <w:spacing w:after="0" w:line="276" w:lineRule="auto"/>
        <w:jc w:val="both"/>
        <w:rPr>
          <w:bCs/>
          <w:spacing w:val="-2"/>
        </w:rPr>
      </w:pPr>
      <w:r>
        <w:rPr>
          <w:rFonts w:ascii="Times New Roman" w:hAnsi="Times New Roman"/>
        </w:rPr>
        <w:t>A konferenciának</w:t>
      </w:r>
      <w:r>
        <w:rPr>
          <w:rFonts w:ascii="Times New Roman" w:hAnsi="Times New Roman"/>
          <w:b/>
          <w:bCs/>
        </w:rPr>
        <w:t xml:space="preserve"> átlátható, alulról építkező folyamatra</w:t>
      </w:r>
      <w:r>
        <w:rPr>
          <w:rFonts w:ascii="Times New Roman" w:hAnsi="Times New Roman"/>
        </w:rPr>
        <w:t xml:space="preserve"> kell épülnie,</w:t>
      </w:r>
      <w:r>
        <w:rPr>
          <w:rFonts w:ascii="Times New Roman" w:hAnsi="Times New Roman"/>
          <w:b/>
        </w:rPr>
        <w:t xml:space="preserve"> és kézzelfogható eredményeket kell</w:t>
      </w:r>
      <w:r>
        <w:rPr>
          <w:rFonts w:ascii="Times New Roman" w:hAnsi="Times New Roman"/>
        </w:rPr>
        <w:t xml:space="preserve"> </w:t>
      </w:r>
      <w:r>
        <w:rPr>
          <w:rFonts w:ascii="Times New Roman" w:hAnsi="Times New Roman"/>
          <w:b/>
          <w:bCs/>
        </w:rPr>
        <w:t>hoznia</w:t>
      </w:r>
      <w:r>
        <w:rPr>
          <w:rFonts w:ascii="Times New Roman" w:hAnsi="Times New Roman"/>
        </w:rPr>
        <w:t xml:space="preserve">. Az átláthatóság és az elszámoltathatóság biztosítása érdekében egy olyan online </w:t>
      </w:r>
      <w:r>
        <w:rPr>
          <w:rFonts w:ascii="Times New Roman" w:hAnsi="Times New Roman"/>
          <w:b/>
        </w:rPr>
        <w:t>felületet</w:t>
      </w:r>
      <w:r>
        <w:rPr>
          <w:rFonts w:ascii="Times New Roman" w:hAnsi="Times New Roman"/>
        </w:rPr>
        <w:t xml:space="preserve"> kell kidolgozni, amely tájékoztatja a polgárokat arról, hogy az uniós intézmények hogyan teljesítik kéréseiket, hogy a reformlépések az Európa jövőjéről szóló konferenciából származnak-e, és hogy milyen ütemezéssel hajtják végre ezeket az intézkedéseket. Ha bizonyos felvetésekkel kapcsolatban nem történik intézkedés, annak okait meg kell magyarázni.</w:t>
      </w:r>
    </w:p>
    <w:p w:rsidR="00924DBA" w:rsidRPr="002645D0" w:rsidRDefault="00924DBA" w:rsidP="00911EF8">
      <w:pPr>
        <w:spacing w:after="0" w:line="276" w:lineRule="auto"/>
        <w:jc w:val="both"/>
        <w:rPr>
          <w:rFonts w:ascii="Times New Roman" w:hAnsi="Times New Roman" w:cs="Times New Roman"/>
          <w:lang w:val="en-US"/>
        </w:rPr>
      </w:pPr>
    </w:p>
    <w:p w:rsidR="00EA79B5" w:rsidRPr="002645D0" w:rsidRDefault="002645D0" w:rsidP="00EA79B5">
      <w:pPr>
        <w:spacing w:after="0" w:line="276" w:lineRule="auto"/>
        <w:jc w:val="both"/>
        <w:rPr>
          <w:rFonts w:ascii="Times New Roman" w:hAnsi="Times New Roman" w:cs="Times New Roman"/>
        </w:rPr>
      </w:pPr>
      <w:r>
        <w:rPr>
          <w:rFonts w:ascii="Times New Roman" w:hAnsi="Times New Roman"/>
        </w:rPr>
        <w:lastRenderedPageBreak/>
        <w:t>Az EGSZB és a nemzeti gszt-k tagjaik és kapcsolataik révén különösen alkalmasak arra, hogy kapcsolatot teremtsenek a polgárokkal, és javaslataikat a konferencia vezető testületei elé terjesszék. Ennek érdekében az EGSZB üdvözli, hogy részt vehet a konferencia testületeiben.</w:t>
      </w:r>
    </w:p>
    <w:p w:rsidR="003234EF" w:rsidRPr="00EB31FE" w:rsidRDefault="00B960EE" w:rsidP="00EB31FE">
      <w:pPr>
        <w:overflowPunct w:val="0"/>
        <w:autoSpaceDE w:val="0"/>
        <w:autoSpaceDN w:val="0"/>
        <w:adjustRightInd w:val="0"/>
        <w:spacing w:line="288" w:lineRule="auto"/>
        <w:jc w:val="center"/>
        <w:textAlignment w:val="baseline"/>
      </w:pPr>
    </w:p>
    <w:sectPr w:rsidR="003234EF" w:rsidRPr="00EB31FE" w:rsidSect="00EB31F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52DC3" w16cex:dateUtc="2021-10-28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664001" w16cid:durableId="25252D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F7" w:rsidRDefault="00F241F7" w:rsidP="00EA79B5">
      <w:pPr>
        <w:spacing w:after="0" w:line="240" w:lineRule="auto"/>
      </w:pPr>
      <w:r>
        <w:separator/>
      </w:r>
    </w:p>
  </w:endnote>
  <w:endnote w:type="continuationSeparator" w:id="0">
    <w:p w:rsidR="00F241F7" w:rsidRDefault="00F241F7" w:rsidP="00EA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FE" w:rsidRDefault="00EB31FE" w:rsidP="00EB3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0C7" w:rsidRPr="00EB31FE" w:rsidRDefault="00B960EE" w:rsidP="00EB3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FE" w:rsidRDefault="00EB31FE" w:rsidP="00EB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F7" w:rsidRDefault="00F241F7" w:rsidP="00EA79B5">
      <w:pPr>
        <w:spacing w:after="0" w:line="240" w:lineRule="auto"/>
      </w:pPr>
      <w:r>
        <w:separator/>
      </w:r>
    </w:p>
  </w:footnote>
  <w:footnote w:type="continuationSeparator" w:id="0">
    <w:p w:rsidR="00F241F7" w:rsidRDefault="00F241F7" w:rsidP="00EA79B5">
      <w:pPr>
        <w:spacing w:after="0" w:line="240" w:lineRule="auto"/>
      </w:pPr>
      <w:r>
        <w:continuationSeparator/>
      </w:r>
    </w:p>
  </w:footnote>
  <w:footnote w:id="1">
    <w:p w:rsidR="00066B82" w:rsidRPr="002645D0" w:rsidRDefault="00066B82" w:rsidP="00066B82">
      <w:pPr>
        <w:pStyle w:val="FootnoteText"/>
      </w:pPr>
      <w:r>
        <w:rPr>
          <w:rStyle w:val="FootnoteReference"/>
        </w:rPr>
        <w:footnoteRef/>
      </w:r>
      <w:r>
        <w:t xml:space="preserve"> </w:t>
      </w:r>
      <w:r>
        <w:tab/>
        <w:t xml:space="preserve">Az EGSZB </w:t>
      </w:r>
      <w:hyperlink r:id="rId1" w:history="1">
        <w:r>
          <w:rPr>
            <w:rStyle w:val="Hyperlink"/>
          </w:rPr>
          <w:t>A szervezett civil társadalom bevonása a nemzeti helyreállítási és rezilienciaépítési tervekbe – Mi működik és mi nem?</w:t>
        </w:r>
      </w:hyperlink>
      <w:r>
        <w:t xml:space="preserve"> című állásfoglalása (2021. február).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FE" w:rsidRDefault="00EB3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FE" w:rsidRDefault="00EB31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FE" w:rsidRDefault="00EB3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810596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91644E"/>
    <w:multiLevelType w:val="hybridMultilevel"/>
    <w:tmpl w:val="591AB3BA"/>
    <w:lvl w:ilvl="0" w:tplc="8FBED718">
      <w:start w:val="1"/>
      <w:numFmt w:val="decimal"/>
      <w:lvlText w:val="%1."/>
      <w:lvlJc w:val="left"/>
      <w:pPr>
        <w:ind w:left="360" w:hanging="360"/>
      </w:pPr>
      <w:rPr>
        <w:b/>
        <w:bCs/>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4924376B"/>
    <w:multiLevelType w:val="hybridMultilevel"/>
    <w:tmpl w:val="740A47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DFE5822"/>
    <w:multiLevelType w:val="hybridMultilevel"/>
    <w:tmpl w:val="8402BFD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55E4495D"/>
    <w:multiLevelType w:val="hybridMultilevel"/>
    <w:tmpl w:val="23DE5E40"/>
    <w:lvl w:ilvl="0" w:tplc="6888849A">
      <w:start w:val="1"/>
      <w:numFmt w:val="decimal"/>
      <w:lvlText w:val="%1."/>
      <w:lvlJc w:val="left"/>
      <w:pPr>
        <w:ind w:left="360" w:hanging="360"/>
      </w:pPr>
      <w:rPr>
        <w:b w:val="0"/>
        <w:bCs w:val="0"/>
        <w:i w:val="0"/>
        <w:i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723C2D41"/>
    <w:multiLevelType w:val="hybridMultilevel"/>
    <w:tmpl w:val="2F00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379465B"/>
    <w:multiLevelType w:val="hybridMultilevel"/>
    <w:tmpl w:val="AEC0AF5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7F275FB0"/>
    <w:multiLevelType w:val="hybridMultilevel"/>
    <w:tmpl w:val="C492CFA0"/>
    <w:lvl w:ilvl="0" w:tplc="F816062A">
      <w:start w:val="1"/>
      <w:numFmt w:val="decimal"/>
      <w:lvlText w:val="%1."/>
      <w:lvlJc w:val="left"/>
      <w:pPr>
        <w:ind w:left="360" w:hanging="360"/>
      </w:pPr>
      <w:rPr>
        <w:b w:val="0"/>
        <w:b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7"/>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9B5"/>
    <w:rsid w:val="00026200"/>
    <w:rsid w:val="00066B82"/>
    <w:rsid w:val="000A4C4C"/>
    <w:rsid w:val="000C2CB8"/>
    <w:rsid w:val="000F43E2"/>
    <w:rsid w:val="001216E0"/>
    <w:rsid w:val="00190269"/>
    <w:rsid w:val="001C28D1"/>
    <w:rsid w:val="001E6FD9"/>
    <w:rsid w:val="00212624"/>
    <w:rsid w:val="00236C7F"/>
    <w:rsid w:val="00244FBC"/>
    <w:rsid w:val="002645D0"/>
    <w:rsid w:val="002854C4"/>
    <w:rsid w:val="00297477"/>
    <w:rsid w:val="002B4374"/>
    <w:rsid w:val="002C70DA"/>
    <w:rsid w:val="003240E1"/>
    <w:rsid w:val="00394B8F"/>
    <w:rsid w:val="003A15CF"/>
    <w:rsid w:val="003C229B"/>
    <w:rsid w:val="00414102"/>
    <w:rsid w:val="004259AE"/>
    <w:rsid w:val="004535F8"/>
    <w:rsid w:val="00456709"/>
    <w:rsid w:val="00471B87"/>
    <w:rsid w:val="00524BD5"/>
    <w:rsid w:val="005713DF"/>
    <w:rsid w:val="005C5031"/>
    <w:rsid w:val="005E23F9"/>
    <w:rsid w:val="005E56AB"/>
    <w:rsid w:val="00611BFD"/>
    <w:rsid w:val="0065623F"/>
    <w:rsid w:val="006C3A97"/>
    <w:rsid w:val="007366DC"/>
    <w:rsid w:val="00752257"/>
    <w:rsid w:val="007545CF"/>
    <w:rsid w:val="00760300"/>
    <w:rsid w:val="00775940"/>
    <w:rsid w:val="00792ED5"/>
    <w:rsid w:val="007940C0"/>
    <w:rsid w:val="007A0D82"/>
    <w:rsid w:val="007A0F24"/>
    <w:rsid w:val="007D0E35"/>
    <w:rsid w:val="007D22B3"/>
    <w:rsid w:val="007E000B"/>
    <w:rsid w:val="00824453"/>
    <w:rsid w:val="00830090"/>
    <w:rsid w:val="00867716"/>
    <w:rsid w:val="00876BC3"/>
    <w:rsid w:val="008C12CB"/>
    <w:rsid w:val="008C656E"/>
    <w:rsid w:val="008D56CD"/>
    <w:rsid w:val="00911C39"/>
    <w:rsid w:val="00911EF8"/>
    <w:rsid w:val="00912C1B"/>
    <w:rsid w:val="00924DBA"/>
    <w:rsid w:val="0093207B"/>
    <w:rsid w:val="00950AEB"/>
    <w:rsid w:val="00975673"/>
    <w:rsid w:val="00983B86"/>
    <w:rsid w:val="00A0355D"/>
    <w:rsid w:val="00A230E9"/>
    <w:rsid w:val="00AB4FF8"/>
    <w:rsid w:val="00AC5848"/>
    <w:rsid w:val="00AF251E"/>
    <w:rsid w:val="00B85F3F"/>
    <w:rsid w:val="00B960EE"/>
    <w:rsid w:val="00BB44E6"/>
    <w:rsid w:val="00BB768E"/>
    <w:rsid w:val="00BE6294"/>
    <w:rsid w:val="00C403D4"/>
    <w:rsid w:val="00C616D4"/>
    <w:rsid w:val="00C87CE3"/>
    <w:rsid w:val="00CA04AE"/>
    <w:rsid w:val="00CE090B"/>
    <w:rsid w:val="00D27742"/>
    <w:rsid w:val="00D77F2A"/>
    <w:rsid w:val="00D8736E"/>
    <w:rsid w:val="00DA58E7"/>
    <w:rsid w:val="00E40CFB"/>
    <w:rsid w:val="00E532C6"/>
    <w:rsid w:val="00E61211"/>
    <w:rsid w:val="00EA79B5"/>
    <w:rsid w:val="00EB31FE"/>
    <w:rsid w:val="00F241F7"/>
    <w:rsid w:val="00F3009F"/>
    <w:rsid w:val="00F37F3C"/>
    <w:rsid w:val="00F6297D"/>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48C35-B3ED-4808-97E2-5AEB98F5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hu-HU"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B5"/>
    <w:rPr>
      <w:szCs w:val="22"/>
      <w:lang w:bidi="ar-SA"/>
    </w:rPr>
  </w:style>
  <w:style w:type="paragraph" w:styleId="Heading1">
    <w:name w:val="heading 1"/>
    <w:basedOn w:val="Normal"/>
    <w:next w:val="Normal"/>
    <w:link w:val="Heading1Char"/>
    <w:qFormat/>
    <w:rsid w:val="00830090"/>
    <w:pPr>
      <w:numPr>
        <w:numId w:val="7"/>
      </w:numPr>
      <w:spacing w:after="0" w:line="288" w:lineRule="auto"/>
      <w:ind w:left="567" w:hanging="567"/>
      <w:jc w:val="both"/>
      <w:outlineLvl w:val="0"/>
    </w:pPr>
    <w:rPr>
      <w:rFonts w:ascii="Times New Roman" w:eastAsia="Times New Roman" w:hAnsi="Times New Roman" w:cs="Times New Roman"/>
      <w:kern w:val="28"/>
    </w:rPr>
  </w:style>
  <w:style w:type="paragraph" w:styleId="Heading2">
    <w:name w:val="heading 2"/>
    <w:basedOn w:val="Normal"/>
    <w:next w:val="Normal"/>
    <w:link w:val="Heading2Char"/>
    <w:qFormat/>
    <w:rsid w:val="00830090"/>
    <w:pPr>
      <w:numPr>
        <w:ilvl w:val="1"/>
        <w:numId w:val="7"/>
      </w:numPr>
      <w:spacing w:after="0" w:line="288" w:lineRule="auto"/>
      <w:ind w:left="567" w:hanging="567"/>
      <w:jc w:val="both"/>
      <w:outlineLvl w:val="1"/>
    </w:pPr>
    <w:rPr>
      <w:rFonts w:ascii="Times New Roman" w:eastAsia="Times New Roman" w:hAnsi="Times New Roman" w:cs="Times New Roman"/>
    </w:rPr>
  </w:style>
  <w:style w:type="paragraph" w:styleId="Heading3">
    <w:name w:val="heading 3"/>
    <w:basedOn w:val="Normal"/>
    <w:next w:val="Normal"/>
    <w:link w:val="Heading3Char"/>
    <w:qFormat/>
    <w:rsid w:val="00830090"/>
    <w:pPr>
      <w:numPr>
        <w:ilvl w:val="2"/>
        <w:numId w:val="7"/>
      </w:numPr>
      <w:spacing w:after="0" w:line="288" w:lineRule="auto"/>
      <w:ind w:left="567" w:hanging="567"/>
      <w:jc w:val="both"/>
      <w:outlineLvl w:val="2"/>
    </w:pPr>
    <w:rPr>
      <w:rFonts w:ascii="Times New Roman" w:eastAsia="Times New Roman" w:hAnsi="Times New Roman" w:cs="Times New Roman"/>
    </w:rPr>
  </w:style>
  <w:style w:type="paragraph" w:styleId="Heading4">
    <w:name w:val="heading 4"/>
    <w:basedOn w:val="Normal"/>
    <w:next w:val="Normal"/>
    <w:link w:val="Heading4Char"/>
    <w:qFormat/>
    <w:rsid w:val="00830090"/>
    <w:pPr>
      <w:numPr>
        <w:ilvl w:val="3"/>
        <w:numId w:val="7"/>
      </w:numPr>
      <w:spacing w:after="0" w:line="288" w:lineRule="auto"/>
      <w:ind w:left="567" w:hanging="567"/>
      <w:jc w:val="both"/>
      <w:outlineLvl w:val="3"/>
    </w:pPr>
    <w:rPr>
      <w:rFonts w:ascii="Times New Roman" w:eastAsia="Times New Roman" w:hAnsi="Times New Roman" w:cs="Times New Roman"/>
    </w:rPr>
  </w:style>
  <w:style w:type="paragraph" w:styleId="Heading5">
    <w:name w:val="heading 5"/>
    <w:basedOn w:val="Normal"/>
    <w:next w:val="Normal"/>
    <w:link w:val="Heading5Char"/>
    <w:qFormat/>
    <w:rsid w:val="00830090"/>
    <w:pPr>
      <w:numPr>
        <w:ilvl w:val="4"/>
        <w:numId w:val="7"/>
      </w:numPr>
      <w:spacing w:after="0" w:line="288" w:lineRule="auto"/>
      <w:ind w:left="567" w:hanging="567"/>
      <w:jc w:val="both"/>
      <w:outlineLvl w:val="4"/>
    </w:pPr>
    <w:rPr>
      <w:rFonts w:ascii="Times New Roman" w:eastAsia="Times New Roman" w:hAnsi="Times New Roman" w:cs="Times New Roman"/>
    </w:rPr>
  </w:style>
  <w:style w:type="paragraph" w:styleId="Heading6">
    <w:name w:val="heading 6"/>
    <w:basedOn w:val="Normal"/>
    <w:next w:val="Normal"/>
    <w:link w:val="Heading6Char"/>
    <w:qFormat/>
    <w:rsid w:val="00830090"/>
    <w:pPr>
      <w:numPr>
        <w:ilvl w:val="5"/>
        <w:numId w:val="7"/>
      </w:numPr>
      <w:spacing w:after="0" w:line="288" w:lineRule="auto"/>
      <w:ind w:left="567" w:hanging="567"/>
      <w:jc w:val="both"/>
      <w:outlineLvl w:val="5"/>
    </w:pPr>
    <w:rPr>
      <w:rFonts w:ascii="Times New Roman" w:eastAsia="Times New Roman" w:hAnsi="Times New Roman" w:cs="Times New Roman"/>
    </w:rPr>
  </w:style>
  <w:style w:type="paragraph" w:styleId="Heading7">
    <w:name w:val="heading 7"/>
    <w:basedOn w:val="Normal"/>
    <w:next w:val="Normal"/>
    <w:link w:val="Heading7Char"/>
    <w:qFormat/>
    <w:rsid w:val="00830090"/>
    <w:pPr>
      <w:numPr>
        <w:ilvl w:val="6"/>
        <w:numId w:val="7"/>
      </w:numPr>
      <w:spacing w:after="0" w:line="288" w:lineRule="auto"/>
      <w:ind w:left="567" w:hanging="567"/>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830090"/>
    <w:pPr>
      <w:numPr>
        <w:ilvl w:val="7"/>
        <w:numId w:val="7"/>
      </w:numPr>
      <w:spacing w:after="0" w:line="288" w:lineRule="auto"/>
      <w:ind w:left="567" w:hanging="567"/>
      <w:jc w:val="both"/>
      <w:outlineLvl w:val="7"/>
    </w:pPr>
    <w:rPr>
      <w:rFonts w:ascii="Times New Roman" w:eastAsia="Times New Roman" w:hAnsi="Times New Roman" w:cs="Times New Roman"/>
    </w:rPr>
  </w:style>
  <w:style w:type="paragraph" w:styleId="Heading9">
    <w:name w:val="heading 9"/>
    <w:basedOn w:val="Normal"/>
    <w:next w:val="Normal"/>
    <w:link w:val="Heading9Char"/>
    <w:qFormat/>
    <w:rsid w:val="00830090"/>
    <w:pPr>
      <w:numPr>
        <w:ilvl w:val="8"/>
        <w:numId w:val="7"/>
      </w:numPr>
      <w:spacing w:after="0" w:line="288" w:lineRule="auto"/>
      <w:ind w:left="567" w:hanging="567"/>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79B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A79B5"/>
    <w:rPr>
      <w:rFonts w:ascii="Times New Roman" w:hAnsi="Times New Roman" w:cs="Times New Roman"/>
      <w:szCs w:val="22"/>
      <w:lang w:val="hu-HU" w:bidi="ar-SA"/>
    </w:rPr>
  </w:style>
  <w:style w:type="paragraph" w:styleId="ListParagraph">
    <w:name w:val="List Paragraph"/>
    <w:aliases w:val="List Paragraph (numbered (a)),List Paragraph Char Char Char,Use Case List Paragraph,List Paragraph2,Bullet List,FooterText,List Paragraph1,Colorful List Accent 1,numbered,Paragraphe de liste1,列出段落,列出段落1,Bulletr List Paragraph,リスト段落1,body"/>
    <w:basedOn w:val="Normal"/>
    <w:link w:val="ListParagraphChar"/>
    <w:uiPriority w:val="34"/>
    <w:qFormat/>
    <w:rsid w:val="00EA79B5"/>
    <w:pPr>
      <w:spacing w:after="0" w:line="288" w:lineRule="auto"/>
      <w:ind w:left="720"/>
      <w:contextualSpacing/>
      <w:jc w:val="both"/>
    </w:pPr>
    <w:rPr>
      <w:rFonts w:ascii="Times New Roman" w:eastAsia="Times New Roman" w:hAnsi="Times New Roman" w:cs="Times New Roman"/>
    </w:rPr>
  </w:style>
  <w:style w:type="paragraph" w:styleId="FootnoteText">
    <w:name w:val="footnote text"/>
    <w:basedOn w:val="Normal"/>
    <w:link w:val="FootnoteTextChar"/>
    <w:qFormat/>
    <w:rsid w:val="00EA79B5"/>
    <w:pPr>
      <w:keepLines/>
      <w:spacing w:after="60" w:line="240" w:lineRule="auto"/>
      <w:ind w:left="567" w:hanging="567"/>
      <w:jc w:val="both"/>
    </w:pPr>
    <w:rPr>
      <w:rFonts w:ascii="Times New Roman" w:eastAsia="Times New Roman" w:hAnsi="Times New Roman" w:cs="Times New Roman"/>
      <w:sz w:val="16"/>
    </w:rPr>
  </w:style>
  <w:style w:type="character" w:customStyle="1" w:styleId="FootnoteTextChar">
    <w:name w:val="Footnote Text Char"/>
    <w:basedOn w:val="DefaultParagraphFont"/>
    <w:link w:val="FootnoteText"/>
    <w:rsid w:val="00EA79B5"/>
    <w:rPr>
      <w:rFonts w:ascii="Times New Roman" w:eastAsia="Times New Roman" w:hAnsi="Times New Roman" w:cs="Times New Roman"/>
      <w:sz w:val="16"/>
      <w:szCs w:val="22"/>
      <w:lang w:val="hu-HU" w:bidi="ar-SA"/>
    </w:rPr>
  </w:style>
  <w:style w:type="character" w:styleId="FootnoteReference">
    <w:name w:val="footnote reference"/>
    <w:basedOn w:val="DefaultParagraphFont"/>
    <w:unhideWhenUsed/>
    <w:qFormat/>
    <w:rsid w:val="00EA79B5"/>
    <w:rPr>
      <w:sz w:val="24"/>
      <w:vertAlign w:val="superscript"/>
    </w:rPr>
  </w:style>
  <w:style w:type="character" w:styleId="Hyperlink">
    <w:name w:val="Hyperlink"/>
    <w:basedOn w:val="DefaultParagraphFont"/>
    <w:uiPriority w:val="99"/>
    <w:rsid w:val="00EA79B5"/>
    <w:rPr>
      <w:color w:val="0000FF"/>
      <w:u w:val="single"/>
    </w:rPr>
  </w:style>
  <w:style w:type="character" w:styleId="CommentReference">
    <w:name w:val="annotation reference"/>
    <w:basedOn w:val="DefaultParagraphFont"/>
    <w:uiPriority w:val="99"/>
    <w:semiHidden/>
    <w:unhideWhenUsed/>
    <w:rsid w:val="002C70DA"/>
    <w:rPr>
      <w:sz w:val="16"/>
      <w:szCs w:val="16"/>
    </w:rPr>
  </w:style>
  <w:style w:type="paragraph" w:styleId="CommentText">
    <w:name w:val="annotation text"/>
    <w:basedOn w:val="Normal"/>
    <w:link w:val="CommentTextChar"/>
    <w:uiPriority w:val="99"/>
    <w:semiHidden/>
    <w:unhideWhenUsed/>
    <w:rsid w:val="002C70DA"/>
    <w:pPr>
      <w:spacing w:line="240" w:lineRule="auto"/>
    </w:pPr>
    <w:rPr>
      <w:sz w:val="20"/>
      <w:szCs w:val="20"/>
    </w:rPr>
  </w:style>
  <w:style w:type="character" w:customStyle="1" w:styleId="CommentTextChar">
    <w:name w:val="Comment Text Char"/>
    <w:basedOn w:val="DefaultParagraphFont"/>
    <w:link w:val="CommentText"/>
    <w:uiPriority w:val="99"/>
    <w:semiHidden/>
    <w:rsid w:val="002C70DA"/>
    <w:rPr>
      <w:sz w:val="20"/>
      <w:lang w:val="hu-HU" w:bidi="ar-SA"/>
    </w:rPr>
  </w:style>
  <w:style w:type="paragraph" w:styleId="CommentSubject">
    <w:name w:val="annotation subject"/>
    <w:basedOn w:val="CommentText"/>
    <w:next w:val="CommentText"/>
    <w:link w:val="CommentSubjectChar"/>
    <w:uiPriority w:val="99"/>
    <w:semiHidden/>
    <w:unhideWhenUsed/>
    <w:rsid w:val="002C70DA"/>
    <w:rPr>
      <w:b/>
      <w:bCs/>
    </w:rPr>
  </w:style>
  <w:style w:type="character" w:customStyle="1" w:styleId="CommentSubjectChar">
    <w:name w:val="Comment Subject Char"/>
    <w:basedOn w:val="CommentTextChar"/>
    <w:link w:val="CommentSubject"/>
    <w:uiPriority w:val="99"/>
    <w:semiHidden/>
    <w:rsid w:val="002C70DA"/>
    <w:rPr>
      <w:b/>
      <w:bCs/>
      <w:sz w:val="20"/>
      <w:lang w:val="hu-HU" w:bidi="ar-SA"/>
    </w:rPr>
  </w:style>
  <w:style w:type="paragraph" w:styleId="BalloonText">
    <w:name w:val="Balloon Text"/>
    <w:basedOn w:val="Normal"/>
    <w:link w:val="BalloonTextChar"/>
    <w:uiPriority w:val="99"/>
    <w:semiHidden/>
    <w:unhideWhenUsed/>
    <w:rsid w:val="005C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031"/>
    <w:rPr>
      <w:rFonts w:ascii="Segoe UI" w:hAnsi="Segoe UI" w:cs="Segoe UI"/>
      <w:sz w:val="18"/>
      <w:szCs w:val="18"/>
      <w:lang w:val="hu-HU" w:bidi="ar-SA"/>
    </w:rPr>
  </w:style>
  <w:style w:type="table" w:styleId="TableGrid">
    <w:name w:val="Table Grid"/>
    <w:basedOn w:val="TableNormal"/>
    <w:uiPriority w:val="59"/>
    <w:rsid w:val="007A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5CF"/>
    <w:rPr>
      <w:szCs w:val="22"/>
      <w:lang w:val="hu-HU" w:bidi="ar-SA"/>
    </w:rPr>
  </w:style>
  <w:style w:type="character" w:styleId="FollowedHyperlink">
    <w:name w:val="FollowedHyperlink"/>
    <w:basedOn w:val="DefaultParagraphFont"/>
    <w:uiPriority w:val="99"/>
    <w:semiHidden/>
    <w:unhideWhenUsed/>
    <w:rsid w:val="00066B82"/>
    <w:rPr>
      <w:color w:val="954F72" w:themeColor="followedHyperlink"/>
      <w:u w:val="single"/>
    </w:rPr>
  </w:style>
  <w:style w:type="character" w:customStyle="1" w:styleId="ListParagraphChar">
    <w:name w:val="List Paragraph Char"/>
    <w:aliases w:val="List Paragraph (numbered (a)) Char,List Paragraph Char Char Char Char,Use Case List Paragraph Char,List Paragraph2 Char,Bullet List Char,FooterText Char,List Paragraph1 Char,Colorful List Accent 1 Char,numbered Char,列出段落 Char"/>
    <w:basedOn w:val="DefaultParagraphFont"/>
    <w:link w:val="ListParagraph"/>
    <w:uiPriority w:val="34"/>
    <w:locked/>
    <w:rsid w:val="0065623F"/>
    <w:rPr>
      <w:rFonts w:ascii="Times New Roman" w:eastAsia="Times New Roman" w:hAnsi="Times New Roman" w:cs="Times New Roman"/>
      <w:szCs w:val="22"/>
      <w:lang w:val="hu-HU" w:bidi="ar-SA"/>
    </w:rPr>
  </w:style>
  <w:style w:type="character" w:customStyle="1" w:styleId="Heading1Char">
    <w:name w:val="Heading 1 Char"/>
    <w:basedOn w:val="DefaultParagraphFont"/>
    <w:link w:val="Heading1"/>
    <w:rsid w:val="00830090"/>
    <w:rPr>
      <w:rFonts w:ascii="Times New Roman" w:eastAsia="Times New Roman" w:hAnsi="Times New Roman" w:cs="Times New Roman"/>
      <w:kern w:val="28"/>
      <w:szCs w:val="22"/>
      <w:lang w:val="hu-HU" w:bidi="ar-SA"/>
    </w:rPr>
  </w:style>
  <w:style w:type="character" w:customStyle="1" w:styleId="Heading2Char">
    <w:name w:val="Heading 2 Char"/>
    <w:basedOn w:val="DefaultParagraphFont"/>
    <w:link w:val="Heading2"/>
    <w:rsid w:val="00830090"/>
    <w:rPr>
      <w:rFonts w:ascii="Times New Roman" w:eastAsia="Times New Roman" w:hAnsi="Times New Roman" w:cs="Times New Roman"/>
      <w:szCs w:val="22"/>
      <w:lang w:val="hu-HU" w:bidi="ar-SA"/>
    </w:rPr>
  </w:style>
  <w:style w:type="character" w:customStyle="1" w:styleId="Heading3Char">
    <w:name w:val="Heading 3 Char"/>
    <w:basedOn w:val="DefaultParagraphFont"/>
    <w:link w:val="Heading3"/>
    <w:rsid w:val="00830090"/>
    <w:rPr>
      <w:rFonts w:ascii="Times New Roman" w:eastAsia="Times New Roman" w:hAnsi="Times New Roman" w:cs="Times New Roman"/>
      <w:szCs w:val="22"/>
      <w:lang w:val="hu-HU" w:bidi="ar-SA"/>
    </w:rPr>
  </w:style>
  <w:style w:type="character" w:customStyle="1" w:styleId="Heading4Char">
    <w:name w:val="Heading 4 Char"/>
    <w:basedOn w:val="DefaultParagraphFont"/>
    <w:link w:val="Heading4"/>
    <w:rsid w:val="00830090"/>
    <w:rPr>
      <w:rFonts w:ascii="Times New Roman" w:eastAsia="Times New Roman" w:hAnsi="Times New Roman" w:cs="Times New Roman"/>
      <w:szCs w:val="22"/>
      <w:lang w:val="hu-HU" w:bidi="ar-SA"/>
    </w:rPr>
  </w:style>
  <w:style w:type="character" w:customStyle="1" w:styleId="Heading5Char">
    <w:name w:val="Heading 5 Char"/>
    <w:basedOn w:val="DefaultParagraphFont"/>
    <w:link w:val="Heading5"/>
    <w:rsid w:val="00830090"/>
    <w:rPr>
      <w:rFonts w:ascii="Times New Roman" w:eastAsia="Times New Roman" w:hAnsi="Times New Roman" w:cs="Times New Roman"/>
      <w:szCs w:val="22"/>
      <w:lang w:val="hu-HU" w:bidi="ar-SA"/>
    </w:rPr>
  </w:style>
  <w:style w:type="character" w:customStyle="1" w:styleId="Heading6Char">
    <w:name w:val="Heading 6 Char"/>
    <w:basedOn w:val="DefaultParagraphFont"/>
    <w:link w:val="Heading6"/>
    <w:rsid w:val="00830090"/>
    <w:rPr>
      <w:rFonts w:ascii="Times New Roman" w:eastAsia="Times New Roman" w:hAnsi="Times New Roman" w:cs="Times New Roman"/>
      <w:szCs w:val="22"/>
      <w:lang w:val="hu-HU" w:bidi="ar-SA"/>
    </w:rPr>
  </w:style>
  <w:style w:type="character" w:customStyle="1" w:styleId="Heading7Char">
    <w:name w:val="Heading 7 Char"/>
    <w:basedOn w:val="DefaultParagraphFont"/>
    <w:link w:val="Heading7"/>
    <w:rsid w:val="00830090"/>
    <w:rPr>
      <w:rFonts w:ascii="Times New Roman" w:eastAsia="Times New Roman" w:hAnsi="Times New Roman" w:cs="Times New Roman"/>
      <w:szCs w:val="22"/>
      <w:lang w:val="hu-HU" w:bidi="ar-SA"/>
    </w:rPr>
  </w:style>
  <w:style w:type="character" w:customStyle="1" w:styleId="Heading8Char">
    <w:name w:val="Heading 8 Char"/>
    <w:basedOn w:val="DefaultParagraphFont"/>
    <w:link w:val="Heading8"/>
    <w:rsid w:val="00830090"/>
    <w:rPr>
      <w:rFonts w:ascii="Times New Roman" w:eastAsia="Times New Roman" w:hAnsi="Times New Roman" w:cs="Times New Roman"/>
      <w:szCs w:val="22"/>
      <w:lang w:val="hu-HU" w:bidi="ar-SA"/>
    </w:rPr>
  </w:style>
  <w:style w:type="character" w:customStyle="1" w:styleId="Heading9Char">
    <w:name w:val="Heading 9 Char"/>
    <w:basedOn w:val="DefaultParagraphFont"/>
    <w:link w:val="Heading9"/>
    <w:rsid w:val="00830090"/>
    <w:rPr>
      <w:rFonts w:ascii="Times New Roman" w:eastAsia="Times New Roman" w:hAnsi="Times New Roman" w:cs="Times New Roman"/>
      <w:szCs w:val="22"/>
      <w:lang w:val="hu-H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hu/documents/resolution/involvement-organised-civil-society-national-recovery-and-resilience-plans-what-works-and-what-does-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V63NAVDT5PV3-1648642317-5019</_dlc_DocId>
    <_dlc_DocIdUrl xmlns="01cfe264-354f-4f3f-acd0-cf26eb309336">
      <Url>http://dm2016/eesc/2021/_layouts/15/DocIdRedir.aspx?ID=V63NAVDT5PV3-1648642317-5019</Url>
      <Description>V63NAVDT5PV3-1648642317-5019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2021-12-10T12:00:00+00:00</ProductionDate>
    <DocumentNumber xmlns="d442a82d-24cc-4721-bd32-c982b501ac21">5465</DocumentNumber>
    <FicheYear xmlns="01cfe264-354f-4f3f-acd0-cf26eb309336" xsi:nil="true"/>
    <DocumentVersion xmlns="01cfe264-354f-4f3f-acd0-cf26eb309336">0</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01cfe264-354f-4f3f-acd0-cf26eb309336" xsi:nil="true"/>
    <TaxCatchAll xmlns="01cfe264-354f-4f3f-acd0-cf26eb309336">
      <Value>165</Value>
      <Value>58</Value>
      <Value>45</Value>
      <Value>42</Value>
      <Value>41</Value>
      <Value>40</Value>
      <Value>37</Value>
      <Value>35</Value>
      <Value>28</Value>
      <Value>25</Value>
      <Value>21</Value>
      <Value>19</Value>
      <Value>18</Value>
      <Value>17</Value>
      <Value>16</Value>
      <Value>15</Value>
      <Value>14</Value>
      <Value>13</Value>
      <Value>12</Value>
      <Value>11</Value>
      <Value>9</Value>
      <Value>7</Value>
      <Value>6</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14428</FicheNumber>
    <OriginalSender xmlns="01cfe264-354f-4f3f-acd0-cf26eb309336">
      <UserInfo>
        <DisplayName>Maszlag Andrea</DisplayName>
        <AccountId>1824</AccountId>
        <AccountType/>
      </UserInfo>
    </OriginalSender>
    <DocumentPart xmlns="01cfe264-354f-4f3f-acd0-cf26eb309336">1</DocumentPart>
    <AdoptionDate xmlns="01cfe264-354f-4f3f-acd0-cf26eb309336" xsi:nil="true"/>
    <RequestingService xmlns="01cfe264-354f-4f3f-acd0-cf26eb309336">Cabinet du Président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442a82d-24cc-4721-bd32-c982b501ac21" xsi:nil="true"/>
    <DossierName_0 xmlns="http://schemas.microsoft.com/sharepoint/v3/fields">
      <Terms xmlns="http://schemas.microsoft.com/office/infopath/2007/PartnerControl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B06FA2060D04E4BBAF9E05CA34417ED" ma:contentTypeVersion="6" ma:contentTypeDescription="Defines the documents for Document Manager V2" ma:contentTypeScope="" ma:versionID="a10b108954e80ad2123c2f63b9b6b87a">
  <xsd:schema xmlns:xsd="http://www.w3.org/2001/XMLSchema" xmlns:xs="http://www.w3.org/2001/XMLSchema" xmlns:p="http://schemas.microsoft.com/office/2006/metadata/properties" xmlns:ns2="01cfe264-354f-4f3f-acd0-cf26eb309336" xmlns:ns3="http://schemas.microsoft.com/sharepoint/v3/fields" xmlns:ns4="d442a82d-24cc-4721-bd32-c982b501ac21" targetNamespace="http://schemas.microsoft.com/office/2006/metadata/properties" ma:root="true" ma:fieldsID="14fb0dbe52704fa166d8d689c48a6fb2" ns2:_="" ns3:_="" ns4:_="">
    <xsd:import namespace="01cfe264-354f-4f3f-acd0-cf26eb309336"/>
    <xsd:import namespace="http://schemas.microsoft.com/sharepoint/v3/fields"/>
    <xsd:import namespace="d442a82d-24cc-4721-bd32-c982b501ac2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2a82d-24cc-4721-bd32-c982b501ac21"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A064E-037A-49F2-BB2A-60F5E447430D}">
  <ds:schemaRefs>
    <ds:schemaRef ds:uri="http://schemas.microsoft.com/sharepoint/events"/>
  </ds:schemaRefs>
</ds:datastoreItem>
</file>

<file path=customXml/itemProps2.xml><?xml version="1.0" encoding="utf-8"?>
<ds:datastoreItem xmlns:ds="http://schemas.openxmlformats.org/officeDocument/2006/customXml" ds:itemID="{0DDE756D-99CE-4F38-B830-E13DF1583784}">
  <ds:schemaRefs>
    <ds:schemaRef ds:uri="http://schemas.microsoft.com/sharepoint/v3/contenttype/forms"/>
  </ds:schemaRefs>
</ds:datastoreItem>
</file>

<file path=customXml/itemProps3.xml><?xml version="1.0" encoding="utf-8"?>
<ds:datastoreItem xmlns:ds="http://schemas.openxmlformats.org/officeDocument/2006/customXml" ds:itemID="{8122C53D-CD93-43C7-BD78-DB7B86FF4FC1}">
  <ds:schemaRefs>
    <ds:schemaRef ds:uri="http://schemas.microsoft.com/office/2006/documentManagement/types"/>
    <ds:schemaRef ds:uri="d442a82d-24cc-4721-bd32-c982b501ac2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fields"/>
    <ds:schemaRef ds:uri="01cfe264-354f-4f3f-acd0-cf26eb309336"/>
    <ds:schemaRef ds:uri="http://www.w3.org/XML/1998/namespace"/>
    <ds:schemaRef ds:uri="http://purl.org/dc/dcmitype/"/>
  </ds:schemaRefs>
</ds:datastoreItem>
</file>

<file path=customXml/itemProps4.xml><?xml version="1.0" encoding="utf-8"?>
<ds:datastoreItem xmlns:ds="http://schemas.openxmlformats.org/officeDocument/2006/customXml" ds:itemID="{2608E7AA-9D6C-4AF8-87DE-89EA07A2C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e264-354f-4f3f-acd0-cf26eb309336"/>
    <ds:schemaRef ds:uri="http://schemas.microsoft.com/sharepoint/v3/fields"/>
    <ds:schemaRef ds:uri="d442a82d-24cc-4721-bd32-c982b501a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2549</Words>
  <Characters>14022</Characters>
  <Application>Microsoft Office Word</Application>
  <DocSecurity>4</DocSecurity>
  <Lines>116</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 nemzeti gszt-k részvételével tartott éves ülés következtetései</vt:lpstr>
      <vt:lpstr/>
    </vt:vector>
  </TitlesOfParts>
  <Company>EESC-ECOR</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nemzeti gszt-k részvételével tartott éves ülés következtetései</dc:title>
  <dc:subject>INFO</dc:subject>
  <dc:creator>Ana Dumitrache</dc:creator>
  <cp:keywords>EESC-2021-05465-01-00-INFO-TRA-EN</cp:keywords>
  <dc:description>Rapporteur:  - Original language: EN - Date of document: 10/12/2021 - Date of meeting:  - External documents:  - Administrator: MME DUMITRACHE Ana</dc:description>
  <cp:lastModifiedBy>Sonia Calvy</cp:lastModifiedBy>
  <cp:revision>2</cp:revision>
  <dcterms:created xsi:type="dcterms:W3CDTF">2021-12-14T08:46:00Z</dcterms:created>
  <dcterms:modified xsi:type="dcterms:W3CDTF">2021-12-14T08:46:00Z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26/11/2021</vt:lpwstr>
  </property>
  <property fmtid="{D5CDD505-2E9C-101B-9397-08002B2CF9AE}" pid="4" name="Pref_Time">
    <vt:lpwstr>13:18:27</vt:lpwstr>
  </property>
  <property fmtid="{D5CDD505-2E9C-101B-9397-08002B2CF9AE}" pid="5" name="Pref_User">
    <vt:lpwstr>amett</vt:lpwstr>
  </property>
  <property fmtid="{D5CDD505-2E9C-101B-9397-08002B2CF9AE}" pid="6" name="Pref_FileName">
    <vt:lpwstr>EESC-2021-05465-01-00-INFO-ORI.docx</vt:lpwstr>
  </property>
  <property fmtid="{D5CDD505-2E9C-101B-9397-08002B2CF9AE}" pid="7" name="ContentTypeId">
    <vt:lpwstr>0x010100EA97B91038054C99906057A708A1480A004B06FA2060D04E4BBAF9E05CA34417ED</vt:lpwstr>
  </property>
  <property fmtid="{D5CDD505-2E9C-101B-9397-08002B2CF9AE}" pid="8" name="_dlc_DocIdItemGuid">
    <vt:lpwstr>ffe47334-42a7-4925-a415-734c092828f9</vt:lpwstr>
  </property>
  <property fmtid="{D5CDD505-2E9C-101B-9397-08002B2CF9AE}" pid="9" name="AvailableTranslations">
    <vt:lpwstr>42;#FI|87606a43-d45f-42d6-b8c9-e1a3457db5b7;#58;#MT|7df99101-6854-4a26-b53a-b88c0da02c26;#17;#NL|55c6556c-b4f4-441d-9acf-c498d4f838bd;#13;#PT|50ccc04a-eadd-42ae-a0cb-acaf45f812ba;#35;#PL|1e03da61-4678-4e07-b136-b5024ca9197b;#15;#LT|a7ff5ce7-6123-4f68-865a</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5465</vt:i4>
  </property>
  <property fmtid="{D5CDD505-2E9C-101B-9397-08002B2CF9AE}" pid="14" name="DocumentYear">
    <vt:i4>2021</vt:i4>
  </property>
  <property fmtid="{D5CDD505-2E9C-101B-9397-08002B2CF9AE}" pid="15" name="DocumentVersion">
    <vt:i4>0</vt:i4>
  </property>
  <property fmtid="{D5CDD505-2E9C-101B-9397-08002B2CF9AE}" pid="16" name="FicheNumber">
    <vt:i4>14428</vt:i4>
  </property>
  <property fmtid="{D5CDD505-2E9C-101B-9397-08002B2CF9AE}" pid="17" name="DocumentStatus">
    <vt:lpwstr>7;#TRA|150d2a88-1431-44e6-a8ca-0bb753ab8672</vt:lpwstr>
  </property>
  <property fmtid="{D5CDD505-2E9C-101B-9397-08002B2CF9AE}" pid="18" name="DocumentPart">
    <vt:i4>1</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DocumentType">
    <vt:lpwstr>3;#INFO|d9136e7c-93a9-4c42-9d28-92b61e85f80c</vt:lpwstr>
  </property>
  <property fmtid="{D5CDD505-2E9C-101B-9397-08002B2CF9AE}" pid="22" name="RequestingService">
    <vt:lpwstr>Cabinet du Président</vt:lpwstr>
  </property>
  <property fmtid="{D5CDD505-2E9C-101B-9397-08002B2CF9AE}" pid="23" name="Confidentiality">
    <vt:lpwstr>165;#Internal|2451815e-8241-4bbf-a22e-1ab710712bf2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MT|7df99101-6854-4a26-b53a-b88c0da02c26;PT|50ccc04a-eadd-42ae-a0cb-acaf45f812ba;PL|1e03da61-4678-4e07-b136-b5024ca9197b;SV|c2ed69e7-a339-43d7-8f22-d93680a92aa0;CS|72f9705b-0217-4fd3-bea2-cbc7ed80e26e;RO|feb747a2-64cd-4299-af12-4833ddc30497;EN|f2175f21-25d</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35;#PL|1e03da61-4678-4e07-b136-b5024ca9197b;#28;#ES|e7a6b05b-ae16-40c8-add9-68b64b03aeba;#12;#DA|5d49c027-8956-412b-aa16-e85a0f96ad0e;#25;#CS|72f9705b-0217-4fd3-bea2-cbc7ed80e26e;#58;#MT|7df99101-6854-4a26-b53a-b88c0da02c26;#18;#LV|46f7e311-5d9f-4663-b433</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Language">
    <vt:lpwstr>21;#HU|6b229040-c589-4408-b4c1-4285663d20a8</vt:lpwstr>
  </property>
</Properties>
</file>