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E0903" w14:textId="539CABC8" w:rsidR="00A04760" w:rsidRDefault="00A04760" w:rsidP="00B721F9"/>
    <w:p w14:paraId="3A6BE330" w14:textId="77777777" w:rsidR="00A04760" w:rsidRPr="003047E8" w:rsidRDefault="00A04760">
      <w:pPr>
        <w:jc w:val="center"/>
        <w:rPr>
          <w:b/>
          <w:noProof/>
        </w:rPr>
      </w:pPr>
      <w:r w:rsidRPr="003047E8">
        <w:rPr>
          <w:b/>
          <w:noProof/>
        </w:rPr>
        <w:t>EU-GEORGIA CIVIL SOCIETY PLATFORM</w:t>
      </w:r>
    </w:p>
    <w:p w14:paraId="57F78187" w14:textId="77777777" w:rsidR="00A04760" w:rsidRPr="003047E8" w:rsidRDefault="00A04760">
      <w:pPr>
        <w:jc w:val="center"/>
        <w:rPr>
          <w:b/>
          <w:noProof/>
        </w:rPr>
      </w:pPr>
    </w:p>
    <w:p w14:paraId="53575286" w14:textId="04E73A1A" w:rsidR="00457F46" w:rsidRDefault="00457F46" w:rsidP="00457F46">
      <w:pPr>
        <w:jc w:val="center"/>
        <w:rPr>
          <w:b/>
          <w:sz w:val="28"/>
          <w:szCs w:val="28"/>
        </w:rPr>
      </w:pPr>
      <w:r w:rsidRPr="00457F46">
        <w:rPr>
          <w:b/>
          <w:sz w:val="28"/>
          <w:lang w:val="en-US"/>
        </w:rPr>
        <w:t>Occupational Safety and Health - Review of Recent Trends</w:t>
      </w:r>
    </w:p>
    <w:p w14:paraId="5805B6CB" w14:textId="77777777" w:rsidR="00457F46" w:rsidRDefault="00457F46" w:rsidP="00457F46">
      <w:pPr>
        <w:jc w:val="center"/>
        <w:rPr>
          <w:b/>
          <w:i/>
        </w:rPr>
      </w:pPr>
    </w:p>
    <w:p w14:paraId="2B8F9A85" w14:textId="77777777" w:rsidR="00457F46" w:rsidRDefault="00457F46" w:rsidP="00457F46">
      <w:pPr>
        <w:jc w:val="center"/>
        <w:rPr>
          <w:b/>
          <w:i/>
        </w:rPr>
      </w:pPr>
      <w:r>
        <w:rPr>
          <w:b/>
          <w:i/>
        </w:rPr>
        <w:t>Tbilisi, 13 September 2019</w:t>
      </w:r>
    </w:p>
    <w:p w14:paraId="65C97366" w14:textId="77777777" w:rsidR="00457F46" w:rsidRDefault="00457F46" w:rsidP="00457F46">
      <w:pPr>
        <w:jc w:val="center"/>
        <w:rPr>
          <w:b/>
          <w:i/>
        </w:rPr>
      </w:pPr>
    </w:p>
    <w:p w14:paraId="4D30F0C2" w14:textId="30D9E1BC" w:rsidR="00A04760" w:rsidRPr="003047E8" w:rsidRDefault="00457F46" w:rsidP="00457F46">
      <w:pPr>
        <w:jc w:val="center"/>
        <w:rPr>
          <w:noProof/>
        </w:rPr>
      </w:pPr>
      <w:r w:rsidRPr="001B0FB9">
        <w:rPr>
          <w:b/>
          <w:i/>
          <w:sz w:val="24"/>
          <w:szCs w:val="24"/>
        </w:rPr>
        <w:t xml:space="preserve">Drafted by: </w:t>
      </w:r>
      <w:r>
        <w:rPr>
          <w:b/>
          <w:i/>
          <w:sz w:val="24"/>
          <w:szCs w:val="24"/>
        </w:rPr>
        <w:t xml:space="preserve">Ms Raisa </w:t>
      </w:r>
      <w:r w:rsidRPr="00457F46">
        <w:rPr>
          <w:b/>
          <w:i/>
          <w:sz w:val="24"/>
          <w:szCs w:val="24"/>
        </w:rPr>
        <w:t>Liparteliani</w:t>
      </w:r>
      <w:r>
        <w:rPr>
          <w:b/>
          <w:i/>
          <w:sz w:val="24"/>
          <w:szCs w:val="24"/>
        </w:rPr>
        <w:t>, Georgian Trade Union Confederation</w:t>
      </w:r>
      <w:r w:rsidDel="00457F46">
        <w:rPr>
          <w:b/>
          <w:noProof/>
        </w:rPr>
        <w:t xml:space="preserve"> </w:t>
      </w:r>
    </w:p>
    <w:p w14:paraId="3D63A78B" w14:textId="77777777" w:rsidR="00A04760" w:rsidRDefault="00A04760"/>
    <w:p w14:paraId="6F68BF24" w14:textId="77777777" w:rsidR="00962886" w:rsidRPr="003B4F70" w:rsidRDefault="00962886">
      <w:pPr>
        <w:jc w:val="center"/>
        <w:rPr>
          <w:lang w:val="en-US"/>
        </w:rPr>
      </w:pPr>
    </w:p>
    <w:p w14:paraId="2079A7EA" w14:textId="20E881AD" w:rsidR="00962886" w:rsidRDefault="00962886">
      <w:pPr>
        <w:rPr>
          <w:lang w:val="en-US"/>
        </w:rPr>
      </w:pPr>
      <w:r w:rsidRPr="003B4F70">
        <w:rPr>
          <w:lang w:val="en-US"/>
        </w:rPr>
        <w:t>One of the most acute challenges in Georgia today is ensuring safe working conditions in the workplace. The number of deaths and injuries from industrial accidents is increasing every year. In 2011-2018, 376 died and 1081 were injured in the workplace. This year alone, 20 died and 24 were injured. Construction and mining sectors are still leading in this regard.</w:t>
      </w:r>
    </w:p>
    <w:p w14:paraId="12C38CC3" w14:textId="77777777" w:rsidR="00457F46" w:rsidRPr="003B4F70" w:rsidRDefault="00457F46">
      <w:pPr>
        <w:rPr>
          <w:lang w:val="en-US"/>
        </w:rPr>
      </w:pPr>
    </w:p>
    <w:p w14:paraId="762B7BC5" w14:textId="77777777" w:rsidR="00962886" w:rsidRPr="003B4F70" w:rsidRDefault="00962886">
      <w:pPr>
        <w:rPr>
          <w:lang w:val="en-US"/>
        </w:rPr>
      </w:pPr>
      <w:r w:rsidRPr="003B4F70">
        <w:rPr>
          <w:lang w:val="en-US"/>
        </w:rPr>
        <w:t>However, it should be noted that the state does not even provide comprehensive account of accidents in this respect, as the above statistics are based on the data of the Ministry of Internal Affairs and, therefore, only covers the cases on which the investigation were initiated. Hence, it does not include many industrial cases that were not reported and were not heard outside the workplace due to certain agreements between the employer and the employee or various other reasons (intimidation, blackmail), that prompted employees to remain silent.  In addition, the statistics do not include those injured and deceased as a result of occupational diseases and those whose deaths did not occur immediately after the industrial injury (s) but occurred later.</w:t>
      </w:r>
    </w:p>
    <w:p w14:paraId="7D382482" w14:textId="4E38CFC6" w:rsidR="00962886" w:rsidRDefault="00962886">
      <w:pPr>
        <w:rPr>
          <w:lang w:val="en-US"/>
        </w:rPr>
      </w:pPr>
      <w:r w:rsidRPr="003B4F70">
        <w:rPr>
          <w:lang w:val="en-US"/>
        </w:rPr>
        <w:t>Since 2006, as a result of neoliberal policies, the labour legislation has effectively been abolished and important labour market regulating institutions, including the labour inspection, were dismantled in the country. One of the reasons cited for the abolition of the labour inspection was its corrupt nature, though, for years, the state has not provided for its reform or other, more effective, alternative mechanism.</w:t>
      </w:r>
    </w:p>
    <w:p w14:paraId="7487CC52" w14:textId="77777777" w:rsidR="00457F46" w:rsidRPr="003B4F70" w:rsidRDefault="00457F46">
      <w:pPr>
        <w:rPr>
          <w:lang w:val="en-US"/>
        </w:rPr>
      </w:pPr>
    </w:p>
    <w:p w14:paraId="6DDD7773" w14:textId="4EA33761" w:rsidR="00962886" w:rsidRDefault="00962886">
      <w:pPr>
        <w:rPr>
          <w:lang w:val="en-US"/>
        </w:rPr>
      </w:pPr>
      <w:r w:rsidRPr="003B4F70">
        <w:rPr>
          <w:lang w:val="en-US"/>
        </w:rPr>
        <w:t>This attitude has been the subject of criticism from many local and international organizations (ILO, European Commission, US State Department, etc). However, the changes and amendments to the Labour Code in 2013 have not addressed labour safety issues either.</w:t>
      </w:r>
    </w:p>
    <w:p w14:paraId="66906AE3" w14:textId="77777777" w:rsidR="00457F46" w:rsidRPr="003B4F70" w:rsidRDefault="00457F46">
      <w:pPr>
        <w:rPr>
          <w:lang w:val="en-US"/>
        </w:rPr>
      </w:pPr>
    </w:p>
    <w:p w14:paraId="643C6A17" w14:textId="77777777" w:rsidR="00962886" w:rsidRPr="003B4F70" w:rsidRDefault="00962886">
      <w:pPr>
        <w:rPr>
          <w:lang w:val="en-US"/>
        </w:rPr>
      </w:pPr>
      <w:r w:rsidRPr="003B4F70">
        <w:rPr>
          <w:lang w:val="en-US"/>
        </w:rPr>
        <w:t xml:space="preserve">In 2014, given the </w:t>
      </w:r>
      <w:r w:rsidRPr="003B4F70">
        <w:rPr>
          <w:shd w:val="clear" w:color="auto" w:fill="FFFFFF"/>
          <w:lang w:val="en-US"/>
        </w:rPr>
        <w:t>Association Agreement </w:t>
      </w:r>
      <w:r w:rsidRPr="003B4F70">
        <w:rPr>
          <w:rStyle w:val="Emphasis"/>
          <w:bCs/>
          <w:shd w:val="clear" w:color="auto" w:fill="FFFFFF"/>
        </w:rPr>
        <w:t>between</w:t>
      </w:r>
      <w:r w:rsidRPr="003B4F70">
        <w:rPr>
          <w:shd w:val="clear" w:color="auto" w:fill="FFFFFF"/>
          <w:lang w:val="en-US"/>
        </w:rPr>
        <w:t> the </w:t>
      </w:r>
      <w:r w:rsidRPr="003B4F70">
        <w:rPr>
          <w:rStyle w:val="Emphasis"/>
          <w:bCs/>
          <w:shd w:val="clear" w:color="auto" w:fill="FFFFFF"/>
        </w:rPr>
        <w:t>European Union</w:t>
      </w:r>
      <w:r w:rsidRPr="003B4F70">
        <w:rPr>
          <w:shd w:val="clear" w:color="auto" w:fill="FFFFFF"/>
          <w:lang w:val="en-US"/>
        </w:rPr>
        <w:t> and the </w:t>
      </w:r>
      <w:r w:rsidRPr="003B4F70">
        <w:rPr>
          <w:rStyle w:val="Emphasis"/>
          <w:bCs/>
          <w:shd w:val="clear" w:color="auto" w:fill="FFFFFF"/>
        </w:rPr>
        <w:t>European Atomic Energy Community</w:t>
      </w:r>
      <w:r w:rsidRPr="003B4F70">
        <w:rPr>
          <w:shd w:val="clear" w:color="auto" w:fill="FFFFFF"/>
          <w:lang w:val="en-US"/>
        </w:rPr>
        <w:t> and </w:t>
      </w:r>
      <w:r w:rsidRPr="003B4F70">
        <w:rPr>
          <w:rStyle w:val="Emphasis"/>
          <w:bCs/>
          <w:shd w:val="clear" w:color="auto" w:fill="FFFFFF"/>
        </w:rPr>
        <w:t>their Member States</w:t>
      </w:r>
      <w:r w:rsidRPr="003B4F70">
        <w:rPr>
          <w:shd w:val="clear" w:color="auto" w:fill="FFFFFF"/>
          <w:lang w:val="en-US"/>
        </w:rPr>
        <w:t>, of the </w:t>
      </w:r>
      <w:r w:rsidRPr="003B4F70">
        <w:rPr>
          <w:rStyle w:val="Emphasis"/>
          <w:bCs/>
          <w:shd w:val="clear" w:color="auto" w:fill="FFFFFF"/>
        </w:rPr>
        <w:t>one part</w:t>
      </w:r>
      <w:r w:rsidRPr="003B4F70">
        <w:rPr>
          <w:shd w:val="clear" w:color="auto" w:fill="FFFFFF"/>
          <w:lang w:val="en-US"/>
        </w:rPr>
        <w:t>, and </w:t>
      </w:r>
      <w:r w:rsidRPr="003B4F70">
        <w:rPr>
          <w:rStyle w:val="Emphasis"/>
          <w:bCs/>
          <w:shd w:val="clear" w:color="auto" w:fill="FFFFFF"/>
        </w:rPr>
        <w:t>Georgia</w:t>
      </w:r>
      <w:r w:rsidRPr="003B4F70">
        <w:rPr>
          <w:shd w:val="clear" w:color="auto" w:fill="FFFFFF"/>
          <w:lang w:val="en-US"/>
        </w:rPr>
        <w:t>, of the </w:t>
      </w:r>
      <w:r w:rsidRPr="003B4F70">
        <w:rPr>
          <w:rStyle w:val="Emphasis"/>
          <w:bCs/>
          <w:shd w:val="clear" w:color="auto" w:fill="FFFFFF"/>
        </w:rPr>
        <w:t>other part</w:t>
      </w:r>
      <w:r w:rsidRPr="003B4F70">
        <w:rPr>
          <w:lang w:val="en-US"/>
        </w:rPr>
        <w:t xml:space="preserve"> and its agenda 2014-2016, the issue of the establishment of the labour inspection has become a pressing issue since the aforementioned documents establish Georgia's unequivocal and unconditional commitment to create effective inspection mechanisms of working conditions in full compliance with the ILO standards. This implies unconditional access of the labour inspection to any workplace and ensuring compliance with the labour law. Annex 30 of the Association Agreement provides for 40 European directives with which we have to approximate our legislation, including the key part (26 directives) on occupational health and safety.</w:t>
      </w:r>
    </w:p>
    <w:p w14:paraId="7CBEE32C" w14:textId="5AEBE620" w:rsidR="00962886" w:rsidRDefault="00962886">
      <w:pPr>
        <w:rPr>
          <w:lang w:val="en-US"/>
        </w:rPr>
      </w:pPr>
      <w:r w:rsidRPr="003B4F70">
        <w:rPr>
          <w:lang w:val="en-US"/>
        </w:rPr>
        <w:t>Given the above, the state has undertaken  some steps to ensure occupational safety, in particular; On March 2, 2015,  the Labour Conditions Inspection Department was established as part of the  Ministry of I</w:t>
      </w:r>
      <w:r w:rsidRPr="003B4F70">
        <w:rPr>
          <w:rStyle w:val="Emphasis"/>
          <w:bCs/>
          <w:shd w:val="clear" w:color="auto" w:fill="FFFFFF"/>
        </w:rPr>
        <w:t xml:space="preserve">nternally Displaced Persons </w:t>
      </w:r>
      <w:r w:rsidRPr="003B4F70">
        <w:rPr>
          <w:shd w:val="clear" w:color="auto" w:fill="FFFFFF"/>
          <w:lang w:val="en-US"/>
        </w:rPr>
        <w:t> from the </w:t>
      </w:r>
      <w:r w:rsidRPr="003B4F70">
        <w:rPr>
          <w:rStyle w:val="Emphasis"/>
          <w:bCs/>
          <w:shd w:val="clear" w:color="auto" w:fill="FFFFFF"/>
        </w:rPr>
        <w:t>Occupied Territories</w:t>
      </w:r>
      <w:r w:rsidRPr="003B4F70">
        <w:rPr>
          <w:shd w:val="clear" w:color="auto" w:fill="FFFFFF"/>
          <w:lang w:val="en-US"/>
        </w:rPr>
        <w:t>, </w:t>
      </w:r>
      <w:r w:rsidRPr="003B4F70">
        <w:rPr>
          <w:rStyle w:val="Emphasis"/>
          <w:bCs/>
          <w:shd w:val="clear" w:color="auto" w:fill="FFFFFF"/>
        </w:rPr>
        <w:t>Labour</w:t>
      </w:r>
      <w:r w:rsidRPr="003B4F70">
        <w:rPr>
          <w:shd w:val="clear" w:color="auto" w:fill="FFFFFF"/>
          <w:lang w:val="en-US"/>
        </w:rPr>
        <w:t>, </w:t>
      </w:r>
      <w:r w:rsidRPr="003B4F70">
        <w:rPr>
          <w:rStyle w:val="Emphasis"/>
          <w:bCs/>
          <w:shd w:val="clear" w:color="auto" w:fill="FFFFFF"/>
        </w:rPr>
        <w:t>Health</w:t>
      </w:r>
      <w:r w:rsidRPr="003B4F70">
        <w:rPr>
          <w:shd w:val="clear" w:color="auto" w:fill="FFFFFF"/>
          <w:lang w:val="en-US"/>
        </w:rPr>
        <w:t> and </w:t>
      </w:r>
      <w:r w:rsidRPr="003B4F70">
        <w:rPr>
          <w:rStyle w:val="Emphasis"/>
          <w:bCs/>
          <w:shd w:val="clear" w:color="auto" w:fill="FFFFFF"/>
        </w:rPr>
        <w:t>Social Affairs</w:t>
      </w:r>
      <w:r w:rsidRPr="003B4F70">
        <w:rPr>
          <w:shd w:val="clear" w:color="auto" w:fill="FFFFFF"/>
          <w:lang w:val="en-US"/>
        </w:rPr>
        <w:t> of </w:t>
      </w:r>
      <w:r w:rsidRPr="003B4F70">
        <w:rPr>
          <w:rStyle w:val="Emphasis"/>
          <w:bCs/>
          <w:shd w:val="clear" w:color="auto" w:fill="FFFFFF"/>
        </w:rPr>
        <w:t>Georgia</w:t>
      </w:r>
      <w:r w:rsidRPr="003B4F70">
        <w:rPr>
          <w:lang w:val="en-US"/>
        </w:rPr>
        <w:t xml:space="preserve">, which </w:t>
      </w:r>
      <w:r w:rsidRPr="003B4F70">
        <w:rPr>
          <w:lang w:val="en-US"/>
        </w:rPr>
        <w:lastRenderedPageBreak/>
        <w:t>operated in accordance with the government-approved “State  program for the monitoring of working conditions”, which, respectively, was not binding and did not include the sanction mechanism.</w:t>
      </w:r>
    </w:p>
    <w:p w14:paraId="26E84958" w14:textId="77777777" w:rsidR="00457F46" w:rsidRPr="003B4F70" w:rsidRDefault="00457F46">
      <w:pPr>
        <w:rPr>
          <w:lang w:val="en-US"/>
        </w:rPr>
      </w:pPr>
    </w:p>
    <w:p w14:paraId="421E01A0" w14:textId="7BCE7E2D" w:rsidR="00962886" w:rsidRDefault="00962886">
      <w:pPr>
        <w:rPr>
          <w:lang w:val="en-US"/>
        </w:rPr>
      </w:pPr>
      <w:r w:rsidRPr="003B4F70">
        <w:rPr>
          <w:lang w:val="en-US"/>
        </w:rPr>
        <w:t>After lengthy discussions, on March 7, 2018, the Law “On occupational safety” was adopted, which became the Organic Law on February 19, 2019.</w:t>
      </w:r>
    </w:p>
    <w:p w14:paraId="3BCB6EE5" w14:textId="77777777" w:rsidR="00457F46" w:rsidRPr="003B4F70" w:rsidRDefault="00457F46">
      <w:pPr>
        <w:rPr>
          <w:lang w:val="en-US"/>
        </w:rPr>
      </w:pPr>
    </w:p>
    <w:p w14:paraId="14312DAC" w14:textId="5235FEE3" w:rsidR="00962886" w:rsidRDefault="00962886">
      <w:pPr>
        <w:rPr>
          <w:lang w:val="en-US"/>
        </w:rPr>
      </w:pPr>
      <w:r w:rsidRPr="003B4F70">
        <w:rPr>
          <w:lang w:val="en-US"/>
        </w:rPr>
        <w:t>The purpose of this law is to determine the basic requirements and general principles of preventive measures with regards to occupational safety and health, existing and future hazards, prevention of accidents and occupational diseases, training of workers, provision of information and counseling to workers.</w:t>
      </w:r>
    </w:p>
    <w:p w14:paraId="7C8032E9" w14:textId="77777777" w:rsidR="00457F46" w:rsidRPr="003B4F70" w:rsidRDefault="00457F46">
      <w:pPr>
        <w:rPr>
          <w:lang w:val="en-US"/>
        </w:rPr>
      </w:pPr>
    </w:p>
    <w:p w14:paraId="3DB1CB18" w14:textId="5E296EFD" w:rsidR="00962886" w:rsidRDefault="00962886">
      <w:pPr>
        <w:rPr>
          <w:lang w:val="en-US"/>
        </w:rPr>
      </w:pPr>
      <w:r w:rsidRPr="003B4F70">
        <w:rPr>
          <w:lang w:val="en-US"/>
        </w:rPr>
        <w:t>The current law was limited in scope and only covered hazardous, strenuous, injurious and dangerous jobs, the list of which is determined by the Government of Georgia</w:t>
      </w:r>
      <w:r w:rsidRPr="003B4F70">
        <w:rPr>
          <w:rStyle w:val="FootnoteReference"/>
          <w:sz w:val="22"/>
        </w:rPr>
        <w:footnoteReference w:id="1"/>
      </w:r>
      <w:r w:rsidRPr="003B4F70">
        <w:rPr>
          <w:lang w:val="en-US"/>
        </w:rPr>
        <w:t>.</w:t>
      </w:r>
    </w:p>
    <w:p w14:paraId="7693C7AF" w14:textId="77777777" w:rsidR="00457F46" w:rsidRPr="003B4F70" w:rsidRDefault="00457F46">
      <w:pPr>
        <w:rPr>
          <w:lang w:val="en-US"/>
        </w:rPr>
      </w:pPr>
    </w:p>
    <w:p w14:paraId="68C9269E" w14:textId="3F213A1B" w:rsidR="00962886" w:rsidRDefault="00962886">
      <w:pPr>
        <w:rPr>
          <w:lang w:val="en-US"/>
        </w:rPr>
      </w:pPr>
      <w:r w:rsidRPr="003B4F70">
        <w:rPr>
          <w:lang w:val="en-US"/>
        </w:rPr>
        <w:t>Starting from September 1, 2019, the law will apply to all areas of economic activity in the field of occupational safety and health.</w:t>
      </w:r>
    </w:p>
    <w:p w14:paraId="78BEF878" w14:textId="77777777" w:rsidR="00457F46" w:rsidRPr="003B4F70" w:rsidRDefault="00457F46">
      <w:pPr>
        <w:rPr>
          <w:lang w:val="en-US"/>
        </w:rPr>
      </w:pPr>
    </w:p>
    <w:p w14:paraId="07DB5F82" w14:textId="41363646" w:rsidR="00962886" w:rsidRDefault="00962886">
      <w:pPr>
        <w:rPr>
          <w:lang w:val="en-US"/>
        </w:rPr>
      </w:pPr>
      <w:r w:rsidRPr="003B4F70">
        <w:rPr>
          <w:lang w:val="en-US"/>
        </w:rPr>
        <w:t>According to the law, the employer is obliged to register activities of hazardous, strenuous, injurious and dangerous activities; otherwise it will be subject to financial sanctions in the amount of 1000 GEL, and in case of recurrence - to 2000 GEL.</w:t>
      </w:r>
    </w:p>
    <w:p w14:paraId="57CCEFCC" w14:textId="77777777" w:rsidR="00457F46" w:rsidRPr="003B4F70" w:rsidRDefault="00457F46">
      <w:pPr>
        <w:rPr>
          <w:lang w:val="en-US"/>
        </w:rPr>
      </w:pPr>
    </w:p>
    <w:p w14:paraId="05EBA51E" w14:textId="69CAC72F" w:rsidR="00962886" w:rsidRDefault="00962886">
      <w:pPr>
        <w:rPr>
          <w:lang w:val="en-US"/>
        </w:rPr>
      </w:pPr>
      <w:r w:rsidRPr="003B4F70">
        <w:rPr>
          <w:lang w:val="en-US"/>
        </w:rPr>
        <w:t>According to the same law, the employer is obliged to ensure safety in the workplace. With this in mind, it should take preventive measures, carry out arrangement and management of occupational safety, ensure workers’ involvement in occupational safety-related issues, and provide first aid medical assistance, fire safety and evacuation, if needed, in the workplace.  In addition, the employer is obliged to:</w:t>
      </w:r>
    </w:p>
    <w:p w14:paraId="23483E87" w14:textId="77777777" w:rsidR="00457F46" w:rsidRPr="003B4F70" w:rsidRDefault="00457F46">
      <w:pPr>
        <w:rPr>
          <w:lang w:val="en-US"/>
        </w:rPr>
      </w:pPr>
    </w:p>
    <w:p w14:paraId="3C2A2DCA" w14:textId="77777777" w:rsidR="00962886" w:rsidRPr="003B4F70" w:rsidRDefault="00962886" w:rsidP="003B4F70">
      <w:pPr>
        <w:pStyle w:val="ListParagraph"/>
        <w:numPr>
          <w:ilvl w:val="0"/>
          <w:numId w:val="57"/>
        </w:numPr>
        <w:spacing w:after="200"/>
        <w:rPr>
          <w:lang w:val="en-US"/>
        </w:rPr>
      </w:pPr>
      <w:r w:rsidRPr="003B4F70">
        <w:rPr>
          <w:lang w:val="en-US"/>
        </w:rPr>
        <w:t>Ensure registration, investigation and relevant reporting of accidents and occupational diseases in the workplace;</w:t>
      </w:r>
    </w:p>
    <w:p w14:paraId="392B7992" w14:textId="77777777" w:rsidR="00962886" w:rsidRPr="003B4F70" w:rsidRDefault="00962886" w:rsidP="003B4F70">
      <w:pPr>
        <w:pStyle w:val="ListParagraph"/>
        <w:numPr>
          <w:ilvl w:val="0"/>
          <w:numId w:val="57"/>
        </w:numPr>
        <w:spacing w:after="200"/>
        <w:rPr>
          <w:lang w:val="en-US"/>
        </w:rPr>
      </w:pPr>
      <w:r w:rsidRPr="003B4F70">
        <w:rPr>
          <w:lang w:val="en-US"/>
        </w:rPr>
        <w:t>Provide insurance for accidents at its own expense for workers employed at hazardous, strenuous, injurious and dangerous workplaces;</w:t>
      </w:r>
    </w:p>
    <w:p w14:paraId="53E3B20D" w14:textId="77777777" w:rsidR="00962886" w:rsidRPr="003B4F70" w:rsidRDefault="00962886" w:rsidP="003B4F70">
      <w:pPr>
        <w:pStyle w:val="ListParagraph"/>
        <w:numPr>
          <w:ilvl w:val="0"/>
          <w:numId w:val="57"/>
        </w:numPr>
        <w:spacing w:after="200"/>
        <w:rPr>
          <w:lang w:val="en-US"/>
        </w:rPr>
      </w:pPr>
      <w:r w:rsidRPr="003B4F70">
        <w:rPr>
          <w:lang w:val="en-US"/>
        </w:rPr>
        <w:t>Regularly inspect the safety of technical equipment;</w:t>
      </w:r>
    </w:p>
    <w:p w14:paraId="613278A8" w14:textId="77777777" w:rsidR="00962886" w:rsidRPr="003B4F70" w:rsidRDefault="00962886" w:rsidP="003B4F70">
      <w:pPr>
        <w:pStyle w:val="ListParagraph"/>
        <w:numPr>
          <w:ilvl w:val="0"/>
          <w:numId w:val="57"/>
        </w:numPr>
        <w:spacing w:after="200"/>
        <w:rPr>
          <w:lang w:val="en-US"/>
        </w:rPr>
      </w:pPr>
      <w:r w:rsidRPr="003B4F70">
        <w:rPr>
          <w:lang w:val="en-US"/>
        </w:rPr>
        <w:t>Provide workers with free training / instruction about occupational safety in a language they understand, during working hours while maintaining a pay schedule;</w:t>
      </w:r>
    </w:p>
    <w:p w14:paraId="684BC05C" w14:textId="77777777" w:rsidR="00962886" w:rsidRPr="003B4F70" w:rsidRDefault="00962886" w:rsidP="003B4F70">
      <w:pPr>
        <w:pStyle w:val="ListParagraph"/>
        <w:numPr>
          <w:ilvl w:val="0"/>
          <w:numId w:val="57"/>
        </w:numPr>
        <w:spacing w:after="200"/>
        <w:rPr>
          <w:lang w:val="en-US"/>
        </w:rPr>
      </w:pPr>
      <w:r w:rsidRPr="003B4F70">
        <w:rPr>
          <w:lang w:val="en-US"/>
        </w:rPr>
        <w:t>Appoint one or more workers as an occupational safety specialist(s) or to set up an occupational safety unit for the above purpose, etc;</w:t>
      </w:r>
    </w:p>
    <w:p w14:paraId="3D1F88E0" w14:textId="77777777" w:rsidR="00962886" w:rsidRPr="003B4F70" w:rsidRDefault="00962886">
      <w:pPr>
        <w:rPr>
          <w:lang w:val="en-US"/>
        </w:rPr>
      </w:pPr>
      <w:r w:rsidRPr="003B4F70">
        <w:rPr>
          <w:lang w:val="en-US"/>
        </w:rPr>
        <w:t>The law also gives the worker a number of rights, such as:</w:t>
      </w:r>
    </w:p>
    <w:p w14:paraId="7DD2D216" w14:textId="77777777" w:rsidR="00962886" w:rsidRPr="003B4F70" w:rsidRDefault="00962886" w:rsidP="003B4F70">
      <w:pPr>
        <w:pStyle w:val="ListParagraph"/>
        <w:numPr>
          <w:ilvl w:val="0"/>
          <w:numId w:val="58"/>
        </w:numPr>
        <w:spacing w:after="200"/>
        <w:rPr>
          <w:lang w:val="en-US"/>
        </w:rPr>
      </w:pPr>
      <w:r w:rsidRPr="003B4F70">
        <w:rPr>
          <w:lang w:val="en-US"/>
        </w:rPr>
        <w:t>Refuse to perform any work, assignment or instruction that is contrary to the law or due to its non-compliance with the occupation safety and health norms  creates the apparent and substantial threat to the safety, health or property of the worker or that of the third party, or the safety of the natural environment;</w:t>
      </w:r>
    </w:p>
    <w:p w14:paraId="1BD29898" w14:textId="77777777" w:rsidR="00962886" w:rsidRPr="003B4F70" w:rsidRDefault="00962886" w:rsidP="003B4F70">
      <w:pPr>
        <w:pStyle w:val="ListParagraph"/>
        <w:numPr>
          <w:ilvl w:val="0"/>
          <w:numId w:val="58"/>
        </w:numPr>
        <w:spacing w:after="200"/>
        <w:rPr>
          <w:lang w:val="en-US"/>
        </w:rPr>
      </w:pPr>
      <w:r w:rsidRPr="003B4F70">
        <w:rPr>
          <w:lang w:val="en-US"/>
        </w:rPr>
        <w:t>On the basis of a medical certificate, request the employer to relocate the worker to another permanent or temporary job or to alleviate working conditions, or to change to day shifts if the night shift is detrimental to the health of the worker while the employer has a suitable job vacancy  and the worker meets the requirements of this job;</w:t>
      </w:r>
    </w:p>
    <w:p w14:paraId="7934C9C5" w14:textId="77777777" w:rsidR="00962886" w:rsidRPr="003B4F70" w:rsidRDefault="00962886" w:rsidP="003B4F70">
      <w:pPr>
        <w:pStyle w:val="ListParagraph"/>
        <w:numPr>
          <w:ilvl w:val="0"/>
          <w:numId w:val="58"/>
        </w:numPr>
        <w:spacing w:after="200"/>
        <w:rPr>
          <w:lang w:val="en-US"/>
        </w:rPr>
      </w:pPr>
      <w:r w:rsidRPr="003B4F70">
        <w:rPr>
          <w:lang w:val="en-US"/>
        </w:rPr>
        <w:lastRenderedPageBreak/>
        <w:t>Receive compensation in accordance with the Georgian legislation for damages caused in the workplace;</w:t>
      </w:r>
    </w:p>
    <w:p w14:paraId="792D8080" w14:textId="48FACB69" w:rsidR="00962886" w:rsidRDefault="00962886">
      <w:pPr>
        <w:rPr>
          <w:lang w:val="en-US"/>
        </w:rPr>
      </w:pPr>
      <w:r w:rsidRPr="003B4F70">
        <w:rPr>
          <w:lang w:val="en-US"/>
        </w:rPr>
        <w:t>According to the law, accidents in the workplace are classified in accordance with its effects and the number of people injured at one time, as follows:</w:t>
      </w:r>
    </w:p>
    <w:p w14:paraId="585A458C" w14:textId="77777777" w:rsidR="00457F46" w:rsidRPr="003B4F70" w:rsidRDefault="00457F46">
      <w:pPr>
        <w:rPr>
          <w:lang w:val="en-US"/>
        </w:rPr>
      </w:pPr>
    </w:p>
    <w:p w14:paraId="61A7AB1B" w14:textId="77777777" w:rsidR="00962886" w:rsidRPr="003B4F70" w:rsidRDefault="00962886">
      <w:pPr>
        <w:rPr>
          <w:lang w:val="en-US"/>
        </w:rPr>
      </w:pPr>
      <w:r w:rsidRPr="003B4F70">
        <w:rPr>
          <w:lang w:val="en-US"/>
        </w:rPr>
        <w:t>a) Mild severity accident - mild injury due to accident without loss of ability to work or loss of ability to work for no more than 3 days;</w:t>
      </w:r>
    </w:p>
    <w:p w14:paraId="785C0758" w14:textId="77777777" w:rsidR="00962886" w:rsidRPr="003B4F70" w:rsidRDefault="00962886">
      <w:pPr>
        <w:rPr>
          <w:lang w:val="en-US"/>
        </w:rPr>
      </w:pPr>
      <w:r w:rsidRPr="003B4F70">
        <w:rPr>
          <w:lang w:val="en-US"/>
        </w:rPr>
        <w:t>b) Moderate severity accident - damage due to accident with loss of ability to work from 3 days to 40 days;</w:t>
      </w:r>
    </w:p>
    <w:p w14:paraId="7D92A151" w14:textId="77777777" w:rsidR="00962886" w:rsidRPr="003B4F70" w:rsidRDefault="00962886">
      <w:pPr>
        <w:rPr>
          <w:lang w:val="en-US"/>
        </w:rPr>
      </w:pPr>
      <w:r w:rsidRPr="003B4F70">
        <w:rPr>
          <w:lang w:val="en-US"/>
        </w:rPr>
        <w:t>c) Severe accident - development of permanent disability or severe health injury and / or temporary disability development for more than 40 calendar days due to an accident;</w:t>
      </w:r>
    </w:p>
    <w:p w14:paraId="7D43A56C" w14:textId="77777777" w:rsidR="00962886" w:rsidRPr="003B4F70" w:rsidRDefault="00962886">
      <w:pPr>
        <w:rPr>
          <w:lang w:val="en-US"/>
        </w:rPr>
      </w:pPr>
      <w:r w:rsidRPr="003B4F70">
        <w:rPr>
          <w:lang w:val="en-US"/>
        </w:rPr>
        <w:t>d) Fatal accident - death of a person (employee or other person) in the workplace due to an accident or within one year of an accident;</w:t>
      </w:r>
    </w:p>
    <w:p w14:paraId="272E09F6" w14:textId="6DCF3F25" w:rsidR="00962886" w:rsidRDefault="00962886">
      <w:pPr>
        <w:rPr>
          <w:lang w:val="en-US"/>
        </w:rPr>
      </w:pPr>
      <w:r w:rsidRPr="003B4F70">
        <w:rPr>
          <w:lang w:val="en-US"/>
        </w:rPr>
        <w:t>e) Mass Accident - the injury of 3 or more people due to an accident, including 1 severe accident or 1 fatal accident.</w:t>
      </w:r>
    </w:p>
    <w:p w14:paraId="42B66D98" w14:textId="77777777" w:rsidR="00457F46" w:rsidRPr="003B4F70" w:rsidRDefault="00457F46">
      <w:pPr>
        <w:rPr>
          <w:lang w:val="en-US"/>
        </w:rPr>
      </w:pPr>
    </w:p>
    <w:p w14:paraId="2C40E13C" w14:textId="77777777" w:rsidR="00962886" w:rsidRPr="003B4F70" w:rsidRDefault="00962886">
      <w:pPr>
        <w:rPr>
          <w:lang w:val="en-US"/>
        </w:rPr>
      </w:pPr>
      <w:r w:rsidRPr="003B4F70">
        <w:rPr>
          <w:lang w:val="en-US"/>
        </w:rPr>
        <w:t>In connection with the above, the employer is obliged to notify the supervisory body within 24 hours of the occurrence of the moderate severity accident, severe, fatal and mass accidents and keep relevant evidence.</w:t>
      </w:r>
    </w:p>
    <w:p w14:paraId="500D7D7B" w14:textId="15678D9C" w:rsidR="00962886" w:rsidRDefault="00962886">
      <w:pPr>
        <w:rPr>
          <w:rStyle w:val="Emphasis"/>
          <w:bCs/>
          <w:shd w:val="clear" w:color="auto" w:fill="FFFFFF"/>
        </w:rPr>
      </w:pPr>
      <w:r w:rsidRPr="003B4F70">
        <w:rPr>
          <w:lang w:val="en-US"/>
        </w:rPr>
        <w:t xml:space="preserve">The supervisory body designated by the law is the Labour Conditions Inspection Department of the Ministry of </w:t>
      </w:r>
      <w:r w:rsidRPr="003B4F70">
        <w:rPr>
          <w:i/>
          <w:lang w:val="en-US"/>
        </w:rPr>
        <w:t>I</w:t>
      </w:r>
      <w:r w:rsidRPr="003B4F70">
        <w:rPr>
          <w:rStyle w:val="Emphasis"/>
          <w:bCs/>
          <w:shd w:val="clear" w:color="auto" w:fill="FFFFFF"/>
        </w:rPr>
        <w:t>nternally Displaced Persons</w:t>
      </w:r>
      <w:r w:rsidRPr="003B4F70">
        <w:rPr>
          <w:shd w:val="clear" w:color="auto" w:fill="FFFFFF"/>
          <w:lang w:val="en-US"/>
        </w:rPr>
        <w:t> from the </w:t>
      </w:r>
      <w:r w:rsidRPr="003B4F70">
        <w:rPr>
          <w:rStyle w:val="Emphasis"/>
          <w:bCs/>
          <w:shd w:val="clear" w:color="auto" w:fill="FFFFFF"/>
        </w:rPr>
        <w:t>Occupied Territories</w:t>
      </w:r>
      <w:r w:rsidRPr="003B4F70">
        <w:rPr>
          <w:shd w:val="clear" w:color="auto" w:fill="FFFFFF"/>
          <w:lang w:val="en-US"/>
        </w:rPr>
        <w:t>, </w:t>
      </w:r>
      <w:r w:rsidRPr="003B4F70">
        <w:rPr>
          <w:rStyle w:val="Emphasis"/>
          <w:bCs/>
          <w:shd w:val="clear" w:color="auto" w:fill="FFFFFF"/>
        </w:rPr>
        <w:t>Labour</w:t>
      </w:r>
      <w:r w:rsidRPr="003B4F70">
        <w:rPr>
          <w:shd w:val="clear" w:color="auto" w:fill="FFFFFF"/>
          <w:lang w:val="en-US"/>
        </w:rPr>
        <w:t>, </w:t>
      </w:r>
      <w:r w:rsidRPr="003B4F70">
        <w:rPr>
          <w:rStyle w:val="Emphasis"/>
          <w:bCs/>
          <w:shd w:val="clear" w:color="auto" w:fill="FFFFFF"/>
        </w:rPr>
        <w:t>Health</w:t>
      </w:r>
      <w:r w:rsidRPr="003B4F70">
        <w:rPr>
          <w:shd w:val="clear" w:color="auto" w:fill="FFFFFF"/>
          <w:lang w:val="en-US"/>
        </w:rPr>
        <w:t> and </w:t>
      </w:r>
      <w:r w:rsidRPr="003B4F70">
        <w:rPr>
          <w:rStyle w:val="Emphasis"/>
          <w:bCs/>
          <w:shd w:val="clear" w:color="auto" w:fill="FFFFFF"/>
        </w:rPr>
        <w:t>Social Affairs</w:t>
      </w:r>
      <w:r w:rsidRPr="003B4F70">
        <w:rPr>
          <w:shd w:val="clear" w:color="auto" w:fill="FFFFFF"/>
          <w:lang w:val="en-US"/>
        </w:rPr>
        <w:t> of </w:t>
      </w:r>
      <w:r w:rsidRPr="003B4F70">
        <w:rPr>
          <w:rStyle w:val="Emphasis"/>
          <w:bCs/>
          <w:shd w:val="clear" w:color="auto" w:fill="FFFFFF"/>
        </w:rPr>
        <w:t xml:space="preserve">Georgia. </w:t>
      </w:r>
    </w:p>
    <w:p w14:paraId="40B04402" w14:textId="77777777" w:rsidR="00457F46" w:rsidRPr="003B4F70" w:rsidRDefault="00457F46">
      <w:pPr>
        <w:rPr>
          <w:lang w:val="en-US"/>
        </w:rPr>
      </w:pPr>
    </w:p>
    <w:p w14:paraId="3093CADA" w14:textId="62B6C6C7" w:rsidR="00962886" w:rsidRDefault="00962886">
      <w:pPr>
        <w:rPr>
          <w:lang w:val="en-US"/>
        </w:rPr>
      </w:pPr>
      <w:r w:rsidRPr="003B4F70">
        <w:rPr>
          <w:lang w:val="en-US"/>
        </w:rPr>
        <w:t>Starting from September 2019, the above-mentioned department is authorized to inspect any workplace subject to inspection without advance notice, to conduct inspection, search and check of the workplace, at any time of day, necessary to ensure effective enforcement and use of occupational safety standards.</w:t>
      </w:r>
    </w:p>
    <w:p w14:paraId="18F4BB2E" w14:textId="77777777" w:rsidR="00457F46" w:rsidRPr="003B4F70" w:rsidRDefault="00457F46">
      <w:pPr>
        <w:rPr>
          <w:lang w:val="en-US"/>
        </w:rPr>
      </w:pPr>
    </w:p>
    <w:p w14:paraId="30D9C7A4" w14:textId="77777777" w:rsidR="00962886" w:rsidRPr="003B4F70" w:rsidRDefault="00962886">
      <w:pPr>
        <w:rPr>
          <w:lang w:val="en-US"/>
        </w:rPr>
      </w:pPr>
      <w:r w:rsidRPr="003B4F70">
        <w:rPr>
          <w:lang w:val="en-US"/>
        </w:rPr>
        <w:t>Although, prior to September 1, 2019, the Labour Conditions Inspection Department required advance court permits for inspectors of hazardous, strenuous, injurious and dangerous work, with the following exceptions:</w:t>
      </w:r>
    </w:p>
    <w:p w14:paraId="2DCCAC21" w14:textId="77777777" w:rsidR="00962886" w:rsidRPr="003B4F70" w:rsidRDefault="00962886" w:rsidP="003B4F70">
      <w:pPr>
        <w:pStyle w:val="ListParagraph"/>
        <w:numPr>
          <w:ilvl w:val="0"/>
          <w:numId w:val="59"/>
        </w:numPr>
        <w:spacing w:after="200"/>
        <w:rPr>
          <w:lang w:val="en-US"/>
        </w:rPr>
      </w:pPr>
      <w:r w:rsidRPr="003B4F70">
        <w:rPr>
          <w:lang w:val="en-US"/>
        </w:rPr>
        <w:t>Selective control once a calendar year;</w:t>
      </w:r>
    </w:p>
    <w:p w14:paraId="1FF447C1" w14:textId="77777777" w:rsidR="00962886" w:rsidRPr="003B4F70" w:rsidRDefault="00962886" w:rsidP="003B4F70">
      <w:pPr>
        <w:pStyle w:val="ListParagraph"/>
        <w:numPr>
          <w:ilvl w:val="0"/>
          <w:numId w:val="59"/>
        </w:numPr>
        <w:spacing w:after="200"/>
        <w:rPr>
          <w:lang w:val="en-US"/>
        </w:rPr>
      </w:pPr>
      <w:r w:rsidRPr="003B4F70">
        <w:rPr>
          <w:lang w:val="en-US"/>
        </w:rPr>
        <w:t>For repeated inspection within a reasonable time;</w:t>
      </w:r>
    </w:p>
    <w:p w14:paraId="797181D0" w14:textId="77777777" w:rsidR="00962886" w:rsidRPr="003B4F70" w:rsidRDefault="00962886" w:rsidP="003B4F70">
      <w:pPr>
        <w:pStyle w:val="ListParagraph"/>
        <w:numPr>
          <w:ilvl w:val="0"/>
          <w:numId w:val="59"/>
        </w:numPr>
        <w:spacing w:after="200"/>
        <w:rPr>
          <w:lang w:val="en-US"/>
        </w:rPr>
      </w:pPr>
      <w:r w:rsidRPr="003B4F70">
        <w:rPr>
          <w:lang w:val="en-US"/>
        </w:rPr>
        <w:t>Workplace accidents;</w:t>
      </w:r>
    </w:p>
    <w:p w14:paraId="128E0C70" w14:textId="4DAC1189" w:rsidR="00962886" w:rsidRDefault="00962886">
      <w:pPr>
        <w:rPr>
          <w:lang w:val="en-US"/>
        </w:rPr>
      </w:pPr>
      <w:r w:rsidRPr="003B4F70">
        <w:rPr>
          <w:lang w:val="en-US"/>
        </w:rPr>
        <w:t>The above-mentioned department began applying sanctions for violations on August 1, 2018.</w:t>
      </w:r>
    </w:p>
    <w:p w14:paraId="5D29A54F" w14:textId="77777777" w:rsidR="00457F46" w:rsidRPr="003B4F70" w:rsidRDefault="00457F46">
      <w:pPr>
        <w:rPr>
          <w:lang w:val="en-US"/>
        </w:rPr>
      </w:pPr>
    </w:p>
    <w:p w14:paraId="6E7FF289" w14:textId="2C7B3A57" w:rsidR="00962886" w:rsidRDefault="00962886">
      <w:pPr>
        <w:rPr>
          <w:lang w:val="en-US"/>
        </w:rPr>
      </w:pPr>
      <w:r w:rsidRPr="003B4F70">
        <w:rPr>
          <w:lang w:val="en-US"/>
        </w:rPr>
        <w:t>The following are administrative violations of the law: performing hazardous, strenuous, injurious and dangerous activities without registering such activities; obstruction of the work of the supervisory body; violation of the occupational safety norms defined by the technical regulation (regulations) approved by the Government of Georgia and violation of the requirements of this law.</w:t>
      </w:r>
    </w:p>
    <w:p w14:paraId="0E79F2E6" w14:textId="77777777" w:rsidR="00457F46" w:rsidRPr="003B4F70" w:rsidRDefault="00457F46">
      <w:pPr>
        <w:rPr>
          <w:lang w:val="en-US"/>
        </w:rPr>
      </w:pPr>
    </w:p>
    <w:p w14:paraId="3D886768" w14:textId="1BA564F4" w:rsidR="00962886" w:rsidRDefault="00962886">
      <w:pPr>
        <w:rPr>
          <w:lang w:val="en-US"/>
        </w:rPr>
      </w:pPr>
      <w:r w:rsidRPr="003B4F70">
        <w:rPr>
          <w:lang w:val="en-US"/>
        </w:rPr>
        <w:t>The following administrative penalties apply for the offense: warning, fine and suspension of work. The amount of the fine depends on the severity of the violation and the total amount of VAT taxable operations carried out during the previous 12 consecutive months and ranges from 100 GEL to 50,000 GEL.</w:t>
      </w:r>
    </w:p>
    <w:p w14:paraId="331E9BA4" w14:textId="77777777" w:rsidR="00457F46" w:rsidRPr="003B4F70" w:rsidRDefault="00457F46">
      <w:pPr>
        <w:rPr>
          <w:lang w:val="en-US"/>
        </w:rPr>
      </w:pPr>
    </w:p>
    <w:p w14:paraId="34F3E184" w14:textId="77777777" w:rsidR="00962886" w:rsidRPr="003B4F70" w:rsidRDefault="00962886">
      <w:pPr>
        <w:rPr>
          <w:lang w:val="en-US"/>
        </w:rPr>
      </w:pPr>
      <w:r w:rsidRPr="003B4F70">
        <w:rPr>
          <w:lang w:val="en-US"/>
        </w:rPr>
        <w:t>In view of the above, from September 2019, the law “On occupational safety” comes in line with the ILO standards (Conventions 81, 155, 176). These conventions have not yet been ratified by Georgia, and their ratification has been requested by the Georgian Trade Unions Confederation for years and is also reflected in the Action Plan of the Tripartite Social Partnership Commission of Georgia. However, due to the inaction of the Commission and the fact that there is no social dialogue in the country, this has not yet been discussed.</w:t>
      </w:r>
    </w:p>
    <w:p w14:paraId="0B1F4B8A" w14:textId="55F35CD4" w:rsidR="00962886" w:rsidRDefault="00962886">
      <w:pPr>
        <w:rPr>
          <w:lang w:val="en-US"/>
        </w:rPr>
      </w:pPr>
      <w:r w:rsidRPr="003B4F70">
        <w:rPr>
          <w:lang w:val="en-US"/>
        </w:rPr>
        <w:t>It is important that in September 2018, the aforementioned commission, at the initiative of the Georgian Trade Unions Confederation, discussed the situation in the Tkibuli mine, where again, at the initiative of the trade unions, it was decided to invite experts from the International Labor Organization and study the existing occupational safety standards. However, the findings of these experts have not been made public to this date and, therefore, its contents are not known.</w:t>
      </w:r>
    </w:p>
    <w:p w14:paraId="743D10FF" w14:textId="77777777" w:rsidR="00457F46" w:rsidRPr="003B4F70" w:rsidRDefault="00457F46">
      <w:pPr>
        <w:rPr>
          <w:lang w:val="en-US"/>
        </w:rPr>
      </w:pPr>
    </w:p>
    <w:p w14:paraId="4AA1A4A8" w14:textId="1EA2141A" w:rsidR="00962886" w:rsidRDefault="00962886">
      <w:pPr>
        <w:rPr>
          <w:lang w:val="en-US"/>
        </w:rPr>
      </w:pPr>
      <w:r w:rsidRPr="003B4F70">
        <w:rPr>
          <w:lang w:val="en-US"/>
        </w:rPr>
        <w:t>Despite some of the above-mentioned progress, limiting the mandate of the Labour Conditions Inspection Department to occupational safety alone still remains a problem. It does not apply to labour rights at all, while the distinction between these two categories does not actually exist. Most of the industrial cases are results of physical exhaustion of employees due to the neglect of such labour rights as: holiday leave, overtime, sick leave, etc.</w:t>
      </w:r>
    </w:p>
    <w:p w14:paraId="4AE9F2E0" w14:textId="77777777" w:rsidR="00457F46" w:rsidRPr="003B4F70" w:rsidRDefault="00457F46">
      <w:pPr>
        <w:rPr>
          <w:lang w:val="en-US"/>
        </w:rPr>
      </w:pPr>
    </w:p>
    <w:p w14:paraId="36368B5C" w14:textId="77777777" w:rsidR="00962886" w:rsidRPr="003B4F70" w:rsidRDefault="00962886">
      <w:pPr>
        <w:rPr>
          <w:lang w:val="en-US"/>
        </w:rPr>
      </w:pPr>
      <w:r w:rsidRPr="003B4F70">
        <w:rPr>
          <w:lang w:val="en-US"/>
        </w:rPr>
        <w:t>In addition to the above, there are problems related to policy of the criminal law and investigation of cases with respect to the industrial accidents.  This investigation, as a rule, is delayed in time and is ineffective as it often results in criminal responsibility of not high-level but middle-level management of the company.</w:t>
      </w:r>
    </w:p>
    <w:p w14:paraId="658D2974" w14:textId="77777777" w:rsidR="00962886" w:rsidRPr="003B4F70" w:rsidRDefault="00962886">
      <w:pPr>
        <w:rPr>
          <w:lang w:val="en-US"/>
        </w:rPr>
      </w:pPr>
      <w:r w:rsidRPr="003B4F70">
        <w:rPr>
          <w:lang w:val="en-US"/>
        </w:rPr>
        <w:t>Therefore, further changes are needed for the labour legislation enforcement mechanism to be effective and for reduction of the alarming statistics of those deceased and injured in the workplace.</w:t>
      </w:r>
    </w:p>
    <w:tbl>
      <w:tblPr>
        <w:tblW w:w="0" w:type="auto"/>
        <w:jc w:val="center"/>
        <w:tblCellMar>
          <w:left w:w="0" w:type="dxa"/>
          <w:right w:w="0" w:type="dxa"/>
        </w:tblCellMar>
        <w:tblLook w:val="04A0" w:firstRow="1" w:lastRow="0" w:firstColumn="1" w:lastColumn="0" w:noHBand="0" w:noVBand="1"/>
      </w:tblPr>
      <w:tblGrid>
        <w:gridCol w:w="4899"/>
      </w:tblGrid>
      <w:tr w:rsidR="00962886" w:rsidRPr="00457F46" w14:paraId="62E315FF" w14:textId="77777777" w:rsidTr="00B832EF">
        <w:trPr>
          <w:jc w:val="center"/>
        </w:trPr>
        <w:tc>
          <w:tcPr>
            <w:tcW w:w="4899" w:type="dxa"/>
            <w:tcMar>
              <w:top w:w="0" w:type="dxa"/>
              <w:left w:w="108" w:type="dxa"/>
              <w:bottom w:w="0" w:type="dxa"/>
              <w:right w:w="108" w:type="dxa"/>
            </w:tcMar>
            <w:hideMark/>
          </w:tcPr>
          <w:p w14:paraId="58253DD7" w14:textId="77777777" w:rsidR="00962886" w:rsidRPr="00457F46" w:rsidRDefault="00962886" w:rsidP="003B4F70">
            <w:pPr>
              <w:spacing w:after="200"/>
              <w:jc w:val="left"/>
            </w:pPr>
          </w:p>
        </w:tc>
      </w:tr>
    </w:tbl>
    <w:p w14:paraId="2A33C847" w14:textId="77777777" w:rsidR="00D97FB2" w:rsidRPr="003B4F70" w:rsidRDefault="00D97FB2" w:rsidP="003B4F70">
      <w:pPr>
        <w:shd w:val="clear" w:color="auto" w:fill="FFFFFF"/>
        <w:textAlignment w:val="baseline"/>
      </w:pPr>
    </w:p>
    <w:sectPr w:rsidR="00D97FB2" w:rsidRPr="003B4F70" w:rsidSect="003B4F70">
      <w:footerReference w:type="default" r:id="rId8"/>
      <w:headerReference w:type="first" r:id="rId9"/>
      <w:footerReference w:type="first" r:id="rId10"/>
      <w:pgSz w:w="11900" w:h="16840" w:code="9"/>
      <w:pgMar w:top="1134" w:right="1100" w:bottom="1588"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9E6C" w14:textId="77777777" w:rsidR="00792884" w:rsidRDefault="00792884" w:rsidP="00C22914">
      <w:pPr>
        <w:spacing w:line="240" w:lineRule="auto"/>
      </w:pPr>
      <w:r>
        <w:separator/>
      </w:r>
    </w:p>
  </w:endnote>
  <w:endnote w:type="continuationSeparator" w:id="0">
    <w:p w14:paraId="5E4502EF" w14:textId="77777777" w:rsidR="00792884" w:rsidRDefault="00792884" w:rsidP="00C22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814124"/>
      <w:docPartObj>
        <w:docPartGallery w:val="Page Numbers (Bottom of Page)"/>
        <w:docPartUnique/>
      </w:docPartObj>
    </w:sdtPr>
    <w:sdtEndPr>
      <w:rPr>
        <w:noProof/>
      </w:rPr>
    </w:sdtEndPr>
    <w:sdtContent>
      <w:p w14:paraId="24449BF8" w14:textId="1C59F24F" w:rsidR="00852B25" w:rsidRDefault="00852B25">
        <w:pPr>
          <w:pStyle w:val="Footer"/>
          <w:jc w:val="center"/>
        </w:pPr>
        <w:r>
          <w:fldChar w:fldCharType="begin"/>
        </w:r>
        <w:r>
          <w:instrText xml:space="preserve"> PAGE   \* MERGEFORMAT </w:instrText>
        </w:r>
        <w:r>
          <w:fldChar w:fldCharType="separate"/>
        </w:r>
        <w:r w:rsidR="003B4F70">
          <w:rPr>
            <w:noProof/>
          </w:rPr>
          <w:t>4</w:t>
        </w:r>
        <w:r>
          <w:rPr>
            <w:noProof/>
          </w:rPr>
          <w:fldChar w:fldCharType="end"/>
        </w:r>
      </w:p>
    </w:sdtContent>
  </w:sdt>
  <w:p w14:paraId="75C867D7" w14:textId="77777777" w:rsidR="00852B25" w:rsidRDefault="00852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167060"/>
      <w:docPartObj>
        <w:docPartGallery w:val="Page Numbers (Bottom of Page)"/>
        <w:docPartUnique/>
      </w:docPartObj>
    </w:sdtPr>
    <w:sdtEndPr>
      <w:rPr>
        <w:noProof/>
      </w:rPr>
    </w:sdtEndPr>
    <w:sdtContent>
      <w:p w14:paraId="67132550" w14:textId="1B6A09D2" w:rsidR="00B721F9" w:rsidRDefault="00B721F9">
        <w:pPr>
          <w:pStyle w:val="Footer"/>
          <w:jc w:val="center"/>
        </w:pPr>
        <w:r>
          <w:fldChar w:fldCharType="begin"/>
        </w:r>
        <w:r>
          <w:instrText xml:space="preserve"> PAGE   \* MERGEFORMAT </w:instrText>
        </w:r>
        <w:r>
          <w:fldChar w:fldCharType="separate"/>
        </w:r>
        <w:r w:rsidR="003B4F70">
          <w:rPr>
            <w:noProof/>
          </w:rPr>
          <w:t>1</w:t>
        </w:r>
        <w:r>
          <w:rPr>
            <w:noProof/>
          </w:rPr>
          <w:fldChar w:fldCharType="end"/>
        </w:r>
      </w:p>
    </w:sdtContent>
  </w:sdt>
  <w:p w14:paraId="0BA57F59" w14:textId="77777777" w:rsidR="00B721F9" w:rsidRDefault="00B7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5451" w14:textId="77777777" w:rsidR="00792884" w:rsidRDefault="00792884" w:rsidP="00C22914">
      <w:pPr>
        <w:spacing w:line="240" w:lineRule="auto"/>
      </w:pPr>
      <w:r>
        <w:separator/>
      </w:r>
    </w:p>
  </w:footnote>
  <w:footnote w:type="continuationSeparator" w:id="0">
    <w:p w14:paraId="2AA4E172" w14:textId="77777777" w:rsidR="00792884" w:rsidRDefault="00792884" w:rsidP="00C22914">
      <w:pPr>
        <w:spacing w:line="240" w:lineRule="auto"/>
      </w:pPr>
      <w:r>
        <w:continuationSeparator/>
      </w:r>
    </w:p>
  </w:footnote>
  <w:footnote w:id="1">
    <w:p w14:paraId="737C2998" w14:textId="594BB924" w:rsidR="00962886" w:rsidRPr="003B4F70" w:rsidRDefault="00962886" w:rsidP="00962886">
      <w:pPr>
        <w:pStyle w:val="FootnoteText"/>
        <w:rPr>
          <w:szCs w:val="16"/>
          <w:lang w:val="en-US"/>
        </w:rPr>
      </w:pPr>
      <w:r w:rsidRPr="003B4F70">
        <w:rPr>
          <w:rStyle w:val="FootnoteReference"/>
          <w:sz w:val="16"/>
          <w:szCs w:val="16"/>
        </w:rPr>
        <w:footnoteRef/>
      </w:r>
      <w:r w:rsidRPr="003B4F70">
        <w:rPr>
          <w:szCs w:val="16"/>
          <w:lang w:val="en-US"/>
        </w:rPr>
        <w:t xml:space="preserve"> </w:t>
      </w:r>
      <w:r w:rsidR="003B4F70">
        <w:rPr>
          <w:szCs w:val="16"/>
          <w:lang w:val="en-US"/>
        </w:rPr>
        <w:tab/>
      </w:r>
      <w:r w:rsidRPr="003B4F70">
        <w:rPr>
          <w:szCs w:val="16"/>
          <w:lang w:val="en-US"/>
        </w:rPr>
        <w:t>Resolution of the Government of Georgia No. 381 dated 27 July 2018 “On approval of the list of hazardous, strenuous, injurious and dangerous jobs”.</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E4EB" w14:textId="77777777" w:rsidR="003F139D" w:rsidRDefault="003F139D" w:rsidP="003F139D">
    <w:pPr>
      <w:pStyle w:val="Header"/>
      <w:jc w:val="center"/>
    </w:pPr>
    <w:r w:rsidRPr="003047E8">
      <w:rPr>
        <w:noProof/>
        <w:lang w:eastAsia="en-GB"/>
      </w:rPr>
      <w:drawing>
        <wp:inline distT="0" distB="0" distL="0" distR="0" wp14:anchorId="20215A35" wp14:editId="3A8E7214">
          <wp:extent cx="2496709" cy="994679"/>
          <wp:effectExtent l="0" t="0" r="0" b="0"/>
          <wp:docPr id="14" name="Picture 14" descr="C:\Users\fron\AppData\Local\Microsoft\Windows\Temporary Internet Files\Content.Word\logo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AppData\Local\Microsoft\Windows\Temporary Internet Files\Content.Word\logoflag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6709" cy="994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08CE736"/>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F96F2B"/>
    <w:multiLevelType w:val="multilevel"/>
    <w:tmpl w:val="21D07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05727E"/>
    <w:multiLevelType w:val="hybridMultilevel"/>
    <w:tmpl w:val="F04E86A6"/>
    <w:lvl w:ilvl="0" w:tplc="548E560E">
      <w:start w:val="1"/>
      <w:numFmt w:val="decimal"/>
      <w:lvlText w:val="%1."/>
      <w:lvlJc w:val="left"/>
      <w:pPr>
        <w:ind w:left="389" w:hanging="360"/>
      </w:pPr>
      <w:rPr>
        <w:rFonts w:hint="default"/>
        <w:color w:val="000000"/>
      </w:rPr>
    </w:lvl>
    <w:lvl w:ilvl="1" w:tplc="04090001">
      <w:start w:val="1"/>
      <w:numFmt w:val="bullet"/>
      <w:lvlText w:val=""/>
      <w:lvlJc w:val="left"/>
      <w:pPr>
        <w:ind w:left="1109" w:hanging="360"/>
      </w:pPr>
      <w:rPr>
        <w:rFonts w:ascii="Symbol" w:hAnsi="Symbol" w:hint="default"/>
      </w:rPr>
    </w:lvl>
    <w:lvl w:ilvl="2" w:tplc="33800A70">
      <w:start w:val="1"/>
      <w:numFmt w:val="bullet"/>
      <w:lvlText w:val=""/>
      <w:lvlJc w:val="left"/>
      <w:pPr>
        <w:ind w:left="1829" w:hanging="180"/>
      </w:pPr>
      <w:rPr>
        <w:rFonts w:ascii="Symbol" w:hAnsi="Symbol" w:hint="default"/>
      </w:r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0FDD3DAC"/>
    <w:multiLevelType w:val="hybridMultilevel"/>
    <w:tmpl w:val="CD3E7BEA"/>
    <w:lvl w:ilvl="0" w:tplc="548E560E">
      <w:start w:val="1"/>
      <w:numFmt w:val="decimal"/>
      <w:lvlText w:val="%1."/>
      <w:lvlJc w:val="left"/>
      <w:pPr>
        <w:ind w:left="389" w:hanging="360"/>
      </w:pPr>
      <w:rPr>
        <w:rFonts w:hint="default"/>
        <w:color w:val="000000"/>
      </w:rPr>
    </w:lvl>
    <w:lvl w:ilvl="1" w:tplc="04090001">
      <w:start w:val="1"/>
      <w:numFmt w:val="bullet"/>
      <w:lvlText w:val=""/>
      <w:lvlJc w:val="left"/>
      <w:pPr>
        <w:ind w:left="1109" w:hanging="360"/>
      </w:pPr>
      <w:rPr>
        <w:rFonts w:ascii="Symbol" w:hAnsi="Symbol"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14996626"/>
    <w:multiLevelType w:val="hybridMultilevel"/>
    <w:tmpl w:val="DF7A0424"/>
    <w:lvl w:ilvl="0" w:tplc="1F961EDC">
      <w:start w:val="1"/>
      <w:numFmt w:val="bullet"/>
      <w:pStyle w:val="Briefinglist1"/>
      <w:lvlText w:val=""/>
      <w:lvlJc w:val="left"/>
      <w:pPr>
        <w:tabs>
          <w:tab w:val="num" w:pos="644"/>
        </w:tabs>
        <w:ind w:left="644" w:hanging="284"/>
      </w:pPr>
      <w:rPr>
        <w:rFonts w:ascii="Symbol" w:hAnsi="Symbol" w:hint="default"/>
        <w:b w:val="0"/>
        <w:i w:val="0"/>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717C99"/>
    <w:multiLevelType w:val="multilevel"/>
    <w:tmpl w:val="BFAA68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9767274"/>
    <w:multiLevelType w:val="hybridMultilevel"/>
    <w:tmpl w:val="43C43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70C5C"/>
    <w:multiLevelType w:val="hybridMultilevel"/>
    <w:tmpl w:val="CD3E7BEA"/>
    <w:lvl w:ilvl="0" w:tplc="548E560E">
      <w:start w:val="1"/>
      <w:numFmt w:val="decimal"/>
      <w:lvlText w:val="%1."/>
      <w:lvlJc w:val="left"/>
      <w:pPr>
        <w:ind w:left="389" w:hanging="360"/>
      </w:pPr>
      <w:rPr>
        <w:rFonts w:hint="default"/>
        <w:color w:val="000000"/>
      </w:rPr>
    </w:lvl>
    <w:lvl w:ilvl="1" w:tplc="04090001">
      <w:start w:val="1"/>
      <w:numFmt w:val="bullet"/>
      <w:lvlText w:val=""/>
      <w:lvlJc w:val="left"/>
      <w:pPr>
        <w:ind w:left="1109" w:hanging="360"/>
      </w:pPr>
      <w:rPr>
        <w:rFonts w:ascii="Symbol" w:hAnsi="Symbol"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27D607B9"/>
    <w:multiLevelType w:val="hybridMultilevel"/>
    <w:tmpl w:val="0B341B84"/>
    <w:lvl w:ilvl="0" w:tplc="4BEAE0F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9170C"/>
    <w:multiLevelType w:val="hybridMultilevel"/>
    <w:tmpl w:val="BA08380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DE139AE"/>
    <w:multiLevelType w:val="hybridMultilevel"/>
    <w:tmpl w:val="4C6A1778"/>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172E8E"/>
    <w:multiLevelType w:val="hybridMultilevel"/>
    <w:tmpl w:val="764CE7DE"/>
    <w:lvl w:ilvl="0" w:tplc="33800A7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367869B1"/>
    <w:multiLevelType w:val="hybridMultilevel"/>
    <w:tmpl w:val="E99242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90111CB"/>
    <w:multiLevelType w:val="hybridMultilevel"/>
    <w:tmpl w:val="7E947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15339"/>
    <w:multiLevelType w:val="hybridMultilevel"/>
    <w:tmpl w:val="9602456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A511C"/>
    <w:multiLevelType w:val="hybridMultilevel"/>
    <w:tmpl w:val="2010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20C01"/>
    <w:multiLevelType w:val="hybridMultilevel"/>
    <w:tmpl w:val="7756AE62"/>
    <w:lvl w:ilvl="0" w:tplc="33800A7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52E44EB5"/>
    <w:multiLevelType w:val="hybridMultilevel"/>
    <w:tmpl w:val="893082C6"/>
    <w:lvl w:ilvl="0" w:tplc="33800A7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6A4144B"/>
    <w:multiLevelType w:val="hybridMultilevel"/>
    <w:tmpl w:val="50B83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90716"/>
    <w:multiLevelType w:val="hybridMultilevel"/>
    <w:tmpl w:val="232CCBF2"/>
    <w:lvl w:ilvl="0" w:tplc="548E560E">
      <w:start w:val="1"/>
      <w:numFmt w:val="decimal"/>
      <w:lvlText w:val="%1."/>
      <w:lvlJc w:val="left"/>
      <w:pPr>
        <w:ind w:left="389" w:hanging="360"/>
      </w:pPr>
      <w:rPr>
        <w:rFonts w:hint="default"/>
        <w:color w:val="000000"/>
      </w:rPr>
    </w:lvl>
    <w:lvl w:ilvl="1" w:tplc="33800A70">
      <w:start w:val="1"/>
      <w:numFmt w:val="bullet"/>
      <w:lvlText w:val=""/>
      <w:lvlJc w:val="left"/>
      <w:pPr>
        <w:ind w:left="1109" w:hanging="360"/>
      </w:pPr>
      <w:rPr>
        <w:rFonts w:ascii="Symbol" w:hAnsi="Symbol"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0" w15:restartNumberingAfterBreak="0">
    <w:nsid w:val="6DEA68E7"/>
    <w:multiLevelType w:val="hybridMultilevel"/>
    <w:tmpl w:val="9D44C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5F72A5"/>
    <w:multiLevelType w:val="hybridMultilevel"/>
    <w:tmpl w:val="068C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344D6B"/>
    <w:multiLevelType w:val="hybridMultilevel"/>
    <w:tmpl w:val="766EC8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C9416DE"/>
    <w:multiLevelType w:val="hybridMultilevel"/>
    <w:tmpl w:val="980A2256"/>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15:restartNumberingAfterBreak="0">
    <w:nsid w:val="7E7A5A46"/>
    <w:multiLevelType w:val="hybridMultilevel"/>
    <w:tmpl w:val="67FA5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4"/>
  </w:num>
  <w:num w:numId="3">
    <w:abstractNumId w:val="15"/>
  </w:num>
  <w:num w:numId="4">
    <w:abstractNumId w:val="22"/>
  </w:num>
  <w:num w:numId="5">
    <w:abstractNumId w:val="2"/>
  </w:num>
  <w:num w:numId="6">
    <w:abstractNumId w:val="3"/>
  </w:num>
  <w:num w:numId="7">
    <w:abstractNumId w:val="0"/>
  </w:num>
  <w:num w:numId="8">
    <w:abstractNumId w:val="0"/>
  </w:num>
  <w:num w:numId="9">
    <w:abstractNumId w:val="0"/>
  </w:num>
  <w:num w:numId="10">
    <w:abstractNumId w:val="0"/>
  </w:num>
  <w:num w:numId="11">
    <w:abstractNumId w:val="0"/>
  </w:num>
  <w:num w:numId="12">
    <w:abstractNumId w:val="7"/>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4"/>
  </w:num>
  <w:num w:numId="30">
    <w:abstractNumId w:val="0"/>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7"/>
  </w:num>
  <w:num w:numId="36">
    <w:abstractNumId w:val="16"/>
  </w:num>
  <w:num w:numId="37">
    <w:abstractNumId w:val="11"/>
  </w:num>
  <w:num w:numId="38">
    <w:abstractNumId w:val="8"/>
  </w:num>
  <w:num w:numId="39">
    <w:abstractNumId w:val="12"/>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1"/>
  </w:num>
  <w:num w:numId="53">
    <w:abstractNumId w:val="5"/>
  </w:num>
  <w:num w:numId="54">
    <w:abstractNumId w:val="6"/>
  </w:num>
  <w:num w:numId="55">
    <w:abstractNumId w:val="21"/>
  </w:num>
  <w:num w:numId="56">
    <w:abstractNumId w:val="18"/>
  </w:num>
  <w:num w:numId="57">
    <w:abstractNumId w:val="13"/>
  </w:num>
  <w:num w:numId="58">
    <w:abstractNumId w:val="9"/>
  </w:num>
  <w:num w:numId="5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E"/>
    <w:rsid w:val="000007B9"/>
    <w:rsid w:val="00004537"/>
    <w:rsid w:val="000070D2"/>
    <w:rsid w:val="00012305"/>
    <w:rsid w:val="00012C8E"/>
    <w:rsid w:val="00013D95"/>
    <w:rsid w:val="00014277"/>
    <w:rsid w:val="00023937"/>
    <w:rsid w:val="00035503"/>
    <w:rsid w:val="00037EEA"/>
    <w:rsid w:val="00040258"/>
    <w:rsid w:val="00041CB9"/>
    <w:rsid w:val="00042A1D"/>
    <w:rsid w:val="0005048C"/>
    <w:rsid w:val="000527C2"/>
    <w:rsid w:val="000632FF"/>
    <w:rsid w:val="00064CDC"/>
    <w:rsid w:val="00065B29"/>
    <w:rsid w:val="00077170"/>
    <w:rsid w:val="00095CDA"/>
    <w:rsid w:val="000B3162"/>
    <w:rsid w:val="000D10FC"/>
    <w:rsid w:val="000D26D3"/>
    <w:rsid w:val="000D3FA4"/>
    <w:rsid w:val="000E0A1B"/>
    <w:rsid w:val="000E2B2B"/>
    <w:rsid w:val="000E38C0"/>
    <w:rsid w:val="000F1B1A"/>
    <w:rsid w:val="000F6D96"/>
    <w:rsid w:val="00101B80"/>
    <w:rsid w:val="00106A9F"/>
    <w:rsid w:val="00111336"/>
    <w:rsid w:val="00114DF8"/>
    <w:rsid w:val="00120D86"/>
    <w:rsid w:val="001215BE"/>
    <w:rsid w:val="001259C2"/>
    <w:rsid w:val="00131F30"/>
    <w:rsid w:val="00140B61"/>
    <w:rsid w:val="00141950"/>
    <w:rsid w:val="001475D5"/>
    <w:rsid w:val="00150375"/>
    <w:rsid w:val="001540B9"/>
    <w:rsid w:val="0015663D"/>
    <w:rsid w:val="00157B79"/>
    <w:rsid w:val="00167F22"/>
    <w:rsid w:val="00170732"/>
    <w:rsid w:val="00175BE6"/>
    <w:rsid w:val="001769AE"/>
    <w:rsid w:val="00181EBD"/>
    <w:rsid w:val="00183868"/>
    <w:rsid w:val="0018507C"/>
    <w:rsid w:val="001A218C"/>
    <w:rsid w:val="001B1108"/>
    <w:rsid w:val="001B18C7"/>
    <w:rsid w:val="001B67B1"/>
    <w:rsid w:val="001B7E96"/>
    <w:rsid w:val="001D4AAF"/>
    <w:rsid w:val="001E7A69"/>
    <w:rsid w:val="001F4625"/>
    <w:rsid w:val="001F516A"/>
    <w:rsid w:val="002245C0"/>
    <w:rsid w:val="00225205"/>
    <w:rsid w:val="00235522"/>
    <w:rsid w:val="00237661"/>
    <w:rsid w:val="002476A1"/>
    <w:rsid w:val="002503BC"/>
    <w:rsid w:val="00262E84"/>
    <w:rsid w:val="0026417B"/>
    <w:rsid w:val="00264588"/>
    <w:rsid w:val="00265A17"/>
    <w:rsid w:val="00271269"/>
    <w:rsid w:val="00271DDE"/>
    <w:rsid w:val="00274AEE"/>
    <w:rsid w:val="00277030"/>
    <w:rsid w:val="002827F6"/>
    <w:rsid w:val="002837B2"/>
    <w:rsid w:val="00291493"/>
    <w:rsid w:val="00293308"/>
    <w:rsid w:val="00297EC2"/>
    <w:rsid w:val="002C230E"/>
    <w:rsid w:val="002C3669"/>
    <w:rsid w:val="002D13B5"/>
    <w:rsid w:val="002E2E21"/>
    <w:rsid w:val="002E3124"/>
    <w:rsid w:val="002E5AEF"/>
    <w:rsid w:val="003047E8"/>
    <w:rsid w:val="003135CF"/>
    <w:rsid w:val="00316DF5"/>
    <w:rsid w:val="00323AC9"/>
    <w:rsid w:val="0033061A"/>
    <w:rsid w:val="00331DC9"/>
    <w:rsid w:val="00343CC2"/>
    <w:rsid w:val="00344F9C"/>
    <w:rsid w:val="003706B7"/>
    <w:rsid w:val="00371AA5"/>
    <w:rsid w:val="0039166A"/>
    <w:rsid w:val="003A073C"/>
    <w:rsid w:val="003A1B6F"/>
    <w:rsid w:val="003A314E"/>
    <w:rsid w:val="003A559C"/>
    <w:rsid w:val="003A77C6"/>
    <w:rsid w:val="003B3B97"/>
    <w:rsid w:val="003B4F70"/>
    <w:rsid w:val="003B578C"/>
    <w:rsid w:val="003C2FEF"/>
    <w:rsid w:val="003C5029"/>
    <w:rsid w:val="003D7590"/>
    <w:rsid w:val="003E31F7"/>
    <w:rsid w:val="003E5056"/>
    <w:rsid w:val="003E614E"/>
    <w:rsid w:val="003E6FA1"/>
    <w:rsid w:val="003F139D"/>
    <w:rsid w:val="003F5277"/>
    <w:rsid w:val="00404899"/>
    <w:rsid w:val="00410CF3"/>
    <w:rsid w:val="0041415E"/>
    <w:rsid w:val="00422F76"/>
    <w:rsid w:val="0043218F"/>
    <w:rsid w:val="00444780"/>
    <w:rsid w:val="00450660"/>
    <w:rsid w:val="0045386F"/>
    <w:rsid w:val="00453D7E"/>
    <w:rsid w:val="00454A0B"/>
    <w:rsid w:val="00457F46"/>
    <w:rsid w:val="00463690"/>
    <w:rsid w:val="004711E2"/>
    <w:rsid w:val="00483453"/>
    <w:rsid w:val="00483854"/>
    <w:rsid w:val="00492617"/>
    <w:rsid w:val="00494B07"/>
    <w:rsid w:val="004A24BE"/>
    <w:rsid w:val="004A7D4A"/>
    <w:rsid w:val="004B548F"/>
    <w:rsid w:val="004B74E2"/>
    <w:rsid w:val="004C03A8"/>
    <w:rsid w:val="004C3B83"/>
    <w:rsid w:val="004F0358"/>
    <w:rsid w:val="004F2F86"/>
    <w:rsid w:val="004F3EF8"/>
    <w:rsid w:val="00502CF9"/>
    <w:rsid w:val="00507D52"/>
    <w:rsid w:val="0051553A"/>
    <w:rsid w:val="005168BE"/>
    <w:rsid w:val="005313FE"/>
    <w:rsid w:val="00542375"/>
    <w:rsid w:val="00544D2A"/>
    <w:rsid w:val="005455D8"/>
    <w:rsid w:val="0054634F"/>
    <w:rsid w:val="00546BC8"/>
    <w:rsid w:val="00553215"/>
    <w:rsid w:val="00563442"/>
    <w:rsid w:val="00572E35"/>
    <w:rsid w:val="00577F30"/>
    <w:rsid w:val="00596E6B"/>
    <w:rsid w:val="005A1187"/>
    <w:rsid w:val="005A1E6D"/>
    <w:rsid w:val="005B5C01"/>
    <w:rsid w:val="005C0865"/>
    <w:rsid w:val="005C26D0"/>
    <w:rsid w:val="005F437F"/>
    <w:rsid w:val="00606435"/>
    <w:rsid w:val="00607768"/>
    <w:rsid w:val="006162B6"/>
    <w:rsid w:val="0062564A"/>
    <w:rsid w:val="00625D6F"/>
    <w:rsid w:val="00627D18"/>
    <w:rsid w:val="006301ED"/>
    <w:rsid w:val="0063110E"/>
    <w:rsid w:val="00632503"/>
    <w:rsid w:val="00634DEB"/>
    <w:rsid w:val="006410A1"/>
    <w:rsid w:val="00644EC5"/>
    <w:rsid w:val="0064548F"/>
    <w:rsid w:val="00650A89"/>
    <w:rsid w:val="00653DE6"/>
    <w:rsid w:val="00661C14"/>
    <w:rsid w:val="00661C9B"/>
    <w:rsid w:val="00665B85"/>
    <w:rsid w:val="006704BE"/>
    <w:rsid w:val="00673D2B"/>
    <w:rsid w:val="00674D4A"/>
    <w:rsid w:val="00680E98"/>
    <w:rsid w:val="00684962"/>
    <w:rsid w:val="0068597C"/>
    <w:rsid w:val="00687EE3"/>
    <w:rsid w:val="0069444F"/>
    <w:rsid w:val="00695DCA"/>
    <w:rsid w:val="006A1E33"/>
    <w:rsid w:val="006A5CF6"/>
    <w:rsid w:val="006A7139"/>
    <w:rsid w:val="006B0B9C"/>
    <w:rsid w:val="006B1DDA"/>
    <w:rsid w:val="006B2EF3"/>
    <w:rsid w:val="006B60F6"/>
    <w:rsid w:val="006C4816"/>
    <w:rsid w:val="006D3273"/>
    <w:rsid w:val="006D415A"/>
    <w:rsid w:val="006D7B19"/>
    <w:rsid w:val="006E00CC"/>
    <w:rsid w:val="006E109A"/>
    <w:rsid w:val="006E2889"/>
    <w:rsid w:val="006E50CB"/>
    <w:rsid w:val="006E618E"/>
    <w:rsid w:val="006E668F"/>
    <w:rsid w:val="006E6D83"/>
    <w:rsid w:val="006E7D88"/>
    <w:rsid w:val="006F0EA3"/>
    <w:rsid w:val="006F2BF6"/>
    <w:rsid w:val="006F4061"/>
    <w:rsid w:val="006F4B07"/>
    <w:rsid w:val="006F5DA4"/>
    <w:rsid w:val="006F6219"/>
    <w:rsid w:val="00700D87"/>
    <w:rsid w:val="007019C9"/>
    <w:rsid w:val="0070312C"/>
    <w:rsid w:val="007044F5"/>
    <w:rsid w:val="00706915"/>
    <w:rsid w:val="007140AF"/>
    <w:rsid w:val="00723CDC"/>
    <w:rsid w:val="007241E6"/>
    <w:rsid w:val="00731B3B"/>
    <w:rsid w:val="00733305"/>
    <w:rsid w:val="007407ED"/>
    <w:rsid w:val="00743141"/>
    <w:rsid w:val="007448CA"/>
    <w:rsid w:val="00753B62"/>
    <w:rsid w:val="00756577"/>
    <w:rsid w:val="00760903"/>
    <w:rsid w:val="0076524C"/>
    <w:rsid w:val="00776A25"/>
    <w:rsid w:val="007773BE"/>
    <w:rsid w:val="00780983"/>
    <w:rsid w:val="00781BE0"/>
    <w:rsid w:val="00782B1B"/>
    <w:rsid w:val="00791768"/>
    <w:rsid w:val="00792884"/>
    <w:rsid w:val="00797595"/>
    <w:rsid w:val="007A46D1"/>
    <w:rsid w:val="007A4958"/>
    <w:rsid w:val="007B0430"/>
    <w:rsid w:val="007C1479"/>
    <w:rsid w:val="007C2616"/>
    <w:rsid w:val="007D1CB2"/>
    <w:rsid w:val="007D3753"/>
    <w:rsid w:val="007D4ACD"/>
    <w:rsid w:val="007E100C"/>
    <w:rsid w:val="00801FEE"/>
    <w:rsid w:val="00805903"/>
    <w:rsid w:val="00807F91"/>
    <w:rsid w:val="00813626"/>
    <w:rsid w:val="00816233"/>
    <w:rsid w:val="00820B65"/>
    <w:rsid w:val="008222C4"/>
    <w:rsid w:val="008273A5"/>
    <w:rsid w:val="00832274"/>
    <w:rsid w:val="00832FBA"/>
    <w:rsid w:val="00833D65"/>
    <w:rsid w:val="00836DBD"/>
    <w:rsid w:val="00837E5B"/>
    <w:rsid w:val="00843E5D"/>
    <w:rsid w:val="00850EE3"/>
    <w:rsid w:val="00852B25"/>
    <w:rsid w:val="00863E78"/>
    <w:rsid w:val="00865C28"/>
    <w:rsid w:val="00876522"/>
    <w:rsid w:val="00883BB2"/>
    <w:rsid w:val="00883C57"/>
    <w:rsid w:val="0088457F"/>
    <w:rsid w:val="0088578E"/>
    <w:rsid w:val="0088686D"/>
    <w:rsid w:val="00886A06"/>
    <w:rsid w:val="00891844"/>
    <w:rsid w:val="00893500"/>
    <w:rsid w:val="00893A00"/>
    <w:rsid w:val="008961C1"/>
    <w:rsid w:val="008A1642"/>
    <w:rsid w:val="008A2078"/>
    <w:rsid w:val="008A7122"/>
    <w:rsid w:val="008B0495"/>
    <w:rsid w:val="008B49A6"/>
    <w:rsid w:val="008B7B92"/>
    <w:rsid w:val="008D1D6A"/>
    <w:rsid w:val="008D70AB"/>
    <w:rsid w:val="008E2CB2"/>
    <w:rsid w:val="008E2D29"/>
    <w:rsid w:val="008E46EC"/>
    <w:rsid w:val="008E639D"/>
    <w:rsid w:val="008F1145"/>
    <w:rsid w:val="008F33DA"/>
    <w:rsid w:val="008F39F7"/>
    <w:rsid w:val="009016DB"/>
    <w:rsid w:val="009076DE"/>
    <w:rsid w:val="0091094F"/>
    <w:rsid w:val="00912244"/>
    <w:rsid w:val="00915660"/>
    <w:rsid w:val="00917517"/>
    <w:rsid w:val="009301BF"/>
    <w:rsid w:val="0093053A"/>
    <w:rsid w:val="00941891"/>
    <w:rsid w:val="00946708"/>
    <w:rsid w:val="009563FB"/>
    <w:rsid w:val="00960BF1"/>
    <w:rsid w:val="00962886"/>
    <w:rsid w:val="009644F4"/>
    <w:rsid w:val="009658F5"/>
    <w:rsid w:val="009702F8"/>
    <w:rsid w:val="009738C0"/>
    <w:rsid w:val="00980701"/>
    <w:rsid w:val="00983E68"/>
    <w:rsid w:val="009A025C"/>
    <w:rsid w:val="009C02D4"/>
    <w:rsid w:val="009C350C"/>
    <w:rsid w:val="009C418A"/>
    <w:rsid w:val="009C5F78"/>
    <w:rsid w:val="009D5C6F"/>
    <w:rsid w:val="009E0AF9"/>
    <w:rsid w:val="009E2505"/>
    <w:rsid w:val="009E7A42"/>
    <w:rsid w:val="009F015D"/>
    <w:rsid w:val="009F46BD"/>
    <w:rsid w:val="009F6B7A"/>
    <w:rsid w:val="00A04705"/>
    <w:rsid w:val="00A04760"/>
    <w:rsid w:val="00A0742C"/>
    <w:rsid w:val="00A111BD"/>
    <w:rsid w:val="00A11EC5"/>
    <w:rsid w:val="00A13722"/>
    <w:rsid w:val="00A22632"/>
    <w:rsid w:val="00A27787"/>
    <w:rsid w:val="00A330CA"/>
    <w:rsid w:val="00A46A88"/>
    <w:rsid w:val="00A5171B"/>
    <w:rsid w:val="00A51DF5"/>
    <w:rsid w:val="00A51F44"/>
    <w:rsid w:val="00A53F63"/>
    <w:rsid w:val="00A54C95"/>
    <w:rsid w:val="00A57D70"/>
    <w:rsid w:val="00A63A48"/>
    <w:rsid w:val="00A64BFC"/>
    <w:rsid w:val="00A7506B"/>
    <w:rsid w:val="00A7692A"/>
    <w:rsid w:val="00A808DC"/>
    <w:rsid w:val="00A91393"/>
    <w:rsid w:val="00A94063"/>
    <w:rsid w:val="00AB5B18"/>
    <w:rsid w:val="00AB7383"/>
    <w:rsid w:val="00AC2B0A"/>
    <w:rsid w:val="00AC6F92"/>
    <w:rsid w:val="00AC779B"/>
    <w:rsid w:val="00AD0F63"/>
    <w:rsid w:val="00AD15D8"/>
    <w:rsid w:val="00AE6F2E"/>
    <w:rsid w:val="00AF206C"/>
    <w:rsid w:val="00B00D39"/>
    <w:rsid w:val="00B00DFF"/>
    <w:rsid w:val="00B03A6C"/>
    <w:rsid w:val="00B066F4"/>
    <w:rsid w:val="00B0699C"/>
    <w:rsid w:val="00B109D3"/>
    <w:rsid w:val="00B119C0"/>
    <w:rsid w:val="00B121B5"/>
    <w:rsid w:val="00B16535"/>
    <w:rsid w:val="00B171CF"/>
    <w:rsid w:val="00B20167"/>
    <w:rsid w:val="00B26314"/>
    <w:rsid w:val="00B2683D"/>
    <w:rsid w:val="00B33ED9"/>
    <w:rsid w:val="00B34789"/>
    <w:rsid w:val="00B40324"/>
    <w:rsid w:val="00B502CA"/>
    <w:rsid w:val="00B64898"/>
    <w:rsid w:val="00B721F9"/>
    <w:rsid w:val="00B74784"/>
    <w:rsid w:val="00B750C8"/>
    <w:rsid w:val="00B832EF"/>
    <w:rsid w:val="00B92653"/>
    <w:rsid w:val="00BB71C6"/>
    <w:rsid w:val="00BB79D9"/>
    <w:rsid w:val="00BC644E"/>
    <w:rsid w:val="00BD0C23"/>
    <w:rsid w:val="00BD0F5E"/>
    <w:rsid w:val="00BD0FF6"/>
    <w:rsid w:val="00BD2CC8"/>
    <w:rsid w:val="00BD6529"/>
    <w:rsid w:val="00BE2798"/>
    <w:rsid w:val="00BF3F00"/>
    <w:rsid w:val="00BF76B5"/>
    <w:rsid w:val="00C04B47"/>
    <w:rsid w:val="00C10BF6"/>
    <w:rsid w:val="00C216EC"/>
    <w:rsid w:val="00C22914"/>
    <w:rsid w:val="00C27CCA"/>
    <w:rsid w:val="00C32A9B"/>
    <w:rsid w:val="00C366B2"/>
    <w:rsid w:val="00C44858"/>
    <w:rsid w:val="00C4748C"/>
    <w:rsid w:val="00C531D3"/>
    <w:rsid w:val="00C61BEE"/>
    <w:rsid w:val="00C64E25"/>
    <w:rsid w:val="00C64E63"/>
    <w:rsid w:val="00C6503C"/>
    <w:rsid w:val="00C7321A"/>
    <w:rsid w:val="00C75793"/>
    <w:rsid w:val="00C820DB"/>
    <w:rsid w:val="00C972FB"/>
    <w:rsid w:val="00CB16F4"/>
    <w:rsid w:val="00CB5FCB"/>
    <w:rsid w:val="00CC187D"/>
    <w:rsid w:val="00CC46AC"/>
    <w:rsid w:val="00CC4C4E"/>
    <w:rsid w:val="00CD07F9"/>
    <w:rsid w:val="00CE2D48"/>
    <w:rsid w:val="00CE59DE"/>
    <w:rsid w:val="00CE6569"/>
    <w:rsid w:val="00D000C3"/>
    <w:rsid w:val="00D15711"/>
    <w:rsid w:val="00D2036E"/>
    <w:rsid w:val="00D20FDF"/>
    <w:rsid w:val="00D21A68"/>
    <w:rsid w:val="00D271E1"/>
    <w:rsid w:val="00D27D41"/>
    <w:rsid w:val="00D37DE8"/>
    <w:rsid w:val="00D40E51"/>
    <w:rsid w:val="00D412F9"/>
    <w:rsid w:val="00D423B9"/>
    <w:rsid w:val="00D46084"/>
    <w:rsid w:val="00D52DF2"/>
    <w:rsid w:val="00D53DD3"/>
    <w:rsid w:val="00D56D51"/>
    <w:rsid w:val="00D71F8A"/>
    <w:rsid w:val="00D73A75"/>
    <w:rsid w:val="00D8237D"/>
    <w:rsid w:val="00D82792"/>
    <w:rsid w:val="00D86BA7"/>
    <w:rsid w:val="00D91176"/>
    <w:rsid w:val="00D9238B"/>
    <w:rsid w:val="00D97FB2"/>
    <w:rsid w:val="00DA7985"/>
    <w:rsid w:val="00DB2580"/>
    <w:rsid w:val="00DC7F2E"/>
    <w:rsid w:val="00DD3D18"/>
    <w:rsid w:val="00DD4726"/>
    <w:rsid w:val="00DD6FDC"/>
    <w:rsid w:val="00DE3D3C"/>
    <w:rsid w:val="00DE6459"/>
    <w:rsid w:val="00DF0558"/>
    <w:rsid w:val="00DF0CA9"/>
    <w:rsid w:val="00DF1FAD"/>
    <w:rsid w:val="00E01652"/>
    <w:rsid w:val="00E02FDF"/>
    <w:rsid w:val="00E129CD"/>
    <w:rsid w:val="00E14BDA"/>
    <w:rsid w:val="00E16CC3"/>
    <w:rsid w:val="00E1707B"/>
    <w:rsid w:val="00E17332"/>
    <w:rsid w:val="00E21BE2"/>
    <w:rsid w:val="00E22221"/>
    <w:rsid w:val="00E338B2"/>
    <w:rsid w:val="00E535E9"/>
    <w:rsid w:val="00E56D39"/>
    <w:rsid w:val="00E675B5"/>
    <w:rsid w:val="00E71880"/>
    <w:rsid w:val="00E8126B"/>
    <w:rsid w:val="00E82E34"/>
    <w:rsid w:val="00E8535F"/>
    <w:rsid w:val="00E8598E"/>
    <w:rsid w:val="00E94FEC"/>
    <w:rsid w:val="00EA16CE"/>
    <w:rsid w:val="00EA6F11"/>
    <w:rsid w:val="00EA7E11"/>
    <w:rsid w:val="00EB33C1"/>
    <w:rsid w:val="00EB69DF"/>
    <w:rsid w:val="00EC1A12"/>
    <w:rsid w:val="00EE7304"/>
    <w:rsid w:val="00F041E1"/>
    <w:rsid w:val="00F13C63"/>
    <w:rsid w:val="00F1504E"/>
    <w:rsid w:val="00F211E3"/>
    <w:rsid w:val="00F37313"/>
    <w:rsid w:val="00F41860"/>
    <w:rsid w:val="00F46796"/>
    <w:rsid w:val="00F521E8"/>
    <w:rsid w:val="00F605F4"/>
    <w:rsid w:val="00F74569"/>
    <w:rsid w:val="00F76134"/>
    <w:rsid w:val="00F86020"/>
    <w:rsid w:val="00F942B7"/>
    <w:rsid w:val="00FA4060"/>
    <w:rsid w:val="00FA4A6C"/>
    <w:rsid w:val="00FA631D"/>
    <w:rsid w:val="00FA7C42"/>
    <w:rsid w:val="00FC1BB7"/>
    <w:rsid w:val="00FC79C0"/>
    <w:rsid w:val="00FE3768"/>
    <w:rsid w:val="00FF1429"/>
    <w:rsid w:val="00FF35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D8D9"/>
  <w15:docId w15:val="{C16B57DD-0BF9-46D6-9FE2-AAEAD052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C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86BA7"/>
    <w:pPr>
      <w:numPr>
        <w:numId w:val="1"/>
      </w:numPr>
      <w:ind w:left="720" w:hanging="720"/>
      <w:outlineLvl w:val="0"/>
    </w:pPr>
    <w:rPr>
      <w:kern w:val="28"/>
    </w:rPr>
  </w:style>
  <w:style w:type="paragraph" w:styleId="Heading2">
    <w:name w:val="heading 2"/>
    <w:basedOn w:val="Normal"/>
    <w:next w:val="Normal"/>
    <w:link w:val="Heading2Char"/>
    <w:qFormat/>
    <w:rsid w:val="00EA16CE"/>
    <w:pPr>
      <w:numPr>
        <w:ilvl w:val="1"/>
        <w:numId w:val="1"/>
      </w:numPr>
      <w:ind w:left="567" w:hanging="567"/>
      <w:outlineLvl w:val="1"/>
    </w:pPr>
  </w:style>
  <w:style w:type="paragraph" w:styleId="Heading3">
    <w:name w:val="heading 3"/>
    <w:basedOn w:val="Normal"/>
    <w:next w:val="Normal"/>
    <w:link w:val="Heading3Char"/>
    <w:qFormat/>
    <w:rsid w:val="00EA16CE"/>
    <w:pPr>
      <w:numPr>
        <w:ilvl w:val="2"/>
        <w:numId w:val="1"/>
      </w:numPr>
      <w:ind w:left="567" w:hanging="567"/>
      <w:outlineLvl w:val="2"/>
    </w:pPr>
  </w:style>
  <w:style w:type="paragraph" w:styleId="Heading4">
    <w:name w:val="heading 4"/>
    <w:basedOn w:val="Normal"/>
    <w:next w:val="Normal"/>
    <w:link w:val="Heading4Char"/>
    <w:qFormat/>
    <w:rsid w:val="00EA16CE"/>
    <w:pPr>
      <w:numPr>
        <w:ilvl w:val="3"/>
        <w:numId w:val="1"/>
      </w:numPr>
      <w:ind w:left="567" w:hanging="567"/>
      <w:outlineLvl w:val="3"/>
    </w:pPr>
  </w:style>
  <w:style w:type="paragraph" w:styleId="Heading5">
    <w:name w:val="heading 5"/>
    <w:basedOn w:val="Normal"/>
    <w:next w:val="Normal"/>
    <w:link w:val="Heading5Char"/>
    <w:qFormat/>
    <w:rsid w:val="00EA16CE"/>
    <w:pPr>
      <w:numPr>
        <w:ilvl w:val="4"/>
        <w:numId w:val="1"/>
      </w:numPr>
      <w:ind w:left="567" w:hanging="567"/>
      <w:outlineLvl w:val="4"/>
    </w:pPr>
  </w:style>
  <w:style w:type="paragraph" w:styleId="Heading6">
    <w:name w:val="heading 6"/>
    <w:basedOn w:val="Normal"/>
    <w:next w:val="Normal"/>
    <w:link w:val="Heading6Char"/>
    <w:qFormat/>
    <w:rsid w:val="00EA16CE"/>
    <w:pPr>
      <w:numPr>
        <w:ilvl w:val="5"/>
        <w:numId w:val="1"/>
      </w:numPr>
      <w:ind w:left="567" w:hanging="567"/>
      <w:outlineLvl w:val="5"/>
    </w:pPr>
  </w:style>
  <w:style w:type="paragraph" w:styleId="Heading7">
    <w:name w:val="heading 7"/>
    <w:basedOn w:val="Normal"/>
    <w:next w:val="Normal"/>
    <w:link w:val="Heading7Char"/>
    <w:qFormat/>
    <w:rsid w:val="00EA16CE"/>
    <w:pPr>
      <w:numPr>
        <w:ilvl w:val="6"/>
        <w:numId w:val="1"/>
      </w:numPr>
      <w:ind w:left="567" w:hanging="567"/>
      <w:outlineLvl w:val="6"/>
    </w:pPr>
  </w:style>
  <w:style w:type="paragraph" w:styleId="Heading8">
    <w:name w:val="heading 8"/>
    <w:basedOn w:val="Normal"/>
    <w:next w:val="Normal"/>
    <w:link w:val="Heading8Char"/>
    <w:qFormat/>
    <w:rsid w:val="00EA16CE"/>
    <w:pPr>
      <w:numPr>
        <w:ilvl w:val="7"/>
        <w:numId w:val="1"/>
      </w:numPr>
      <w:ind w:left="567" w:hanging="567"/>
      <w:outlineLvl w:val="7"/>
    </w:pPr>
  </w:style>
  <w:style w:type="paragraph" w:styleId="Heading9">
    <w:name w:val="heading 9"/>
    <w:basedOn w:val="Normal"/>
    <w:next w:val="Normal"/>
    <w:link w:val="Heading9Char"/>
    <w:qFormat/>
    <w:rsid w:val="00EA16C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BA7"/>
    <w:rPr>
      <w:rFonts w:ascii="Times New Roman" w:eastAsia="Times New Roman" w:hAnsi="Times New Roman" w:cs="Times New Roman"/>
      <w:kern w:val="28"/>
    </w:rPr>
  </w:style>
  <w:style w:type="character" w:customStyle="1" w:styleId="Heading2Char">
    <w:name w:val="Heading 2 Char"/>
    <w:basedOn w:val="DefaultParagraphFont"/>
    <w:link w:val="Heading2"/>
    <w:rsid w:val="00EA16CE"/>
    <w:rPr>
      <w:rFonts w:ascii="Times New Roman" w:eastAsia="Times New Roman" w:hAnsi="Times New Roman" w:cs="Times New Roman"/>
      <w:lang w:val="en-US"/>
    </w:rPr>
  </w:style>
  <w:style w:type="character" w:customStyle="1" w:styleId="Heading3Char">
    <w:name w:val="Heading 3 Char"/>
    <w:basedOn w:val="DefaultParagraphFont"/>
    <w:link w:val="Heading3"/>
    <w:rsid w:val="00EA16CE"/>
    <w:rPr>
      <w:rFonts w:ascii="Times New Roman" w:eastAsia="Times New Roman" w:hAnsi="Times New Roman" w:cs="Times New Roman"/>
      <w:lang w:val="en-US"/>
    </w:rPr>
  </w:style>
  <w:style w:type="character" w:customStyle="1" w:styleId="Heading4Char">
    <w:name w:val="Heading 4 Char"/>
    <w:basedOn w:val="DefaultParagraphFont"/>
    <w:link w:val="Heading4"/>
    <w:rsid w:val="00EA16CE"/>
    <w:rPr>
      <w:rFonts w:ascii="Times New Roman" w:eastAsia="Times New Roman" w:hAnsi="Times New Roman" w:cs="Times New Roman"/>
      <w:lang w:val="en-US"/>
    </w:rPr>
  </w:style>
  <w:style w:type="character" w:customStyle="1" w:styleId="Heading5Char">
    <w:name w:val="Heading 5 Char"/>
    <w:basedOn w:val="DefaultParagraphFont"/>
    <w:link w:val="Heading5"/>
    <w:rsid w:val="00EA16CE"/>
    <w:rPr>
      <w:rFonts w:ascii="Times New Roman" w:eastAsia="Times New Roman" w:hAnsi="Times New Roman" w:cs="Times New Roman"/>
      <w:lang w:val="en-US"/>
    </w:rPr>
  </w:style>
  <w:style w:type="character" w:customStyle="1" w:styleId="Heading6Char">
    <w:name w:val="Heading 6 Char"/>
    <w:basedOn w:val="DefaultParagraphFont"/>
    <w:link w:val="Heading6"/>
    <w:rsid w:val="00EA16CE"/>
    <w:rPr>
      <w:rFonts w:ascii="Times New Roman" w:eastAsia="Times New Roman" w:hAnsi="Times New Roman" w:cs="Times New Roman"/>
      <w:lang w:val="en-US"/>
    </w:rPr>
  </w:style>
  <w:style w:type="character" w:customStyle="1" w:styleId="Heading7Char">
    <w:name w:val="Heading 7 Char"/>
    <w:basedOn w:val="DefaultParagraphFont"/>
    <w:link w:val="Heading7"/>
    <w:rsid w:val="00EA16CE"/>
    <w:rPr>
      <w:rFonts w:ascii="Times New Roman" w:eastAsia="Times New Roman" w:hAnsi="Times New Roman" w:cs="Times New Roman"/>
      <w:lang w:val="en-US"/>
    </w:rPr>
  </w:style>
  <w:style w:type="character" w:customStyle="1" w:styleId="Heading8Char">
    <w:name w:val="Heading 8 Char"/>
    <w:basedOn w:val="DefaultParagraphFont"/>
    <w:link w:val="Heading8"/>
    <w:rsid w:val="00EA16CE"/>
    <w:rPr>
      <w:rFonts w:ascii="Times New Roman" w:eastAsia="Times New Roman" w:hAnsi="Times New Roman" w:cs="Times New Roman"/>
      <w:lang w:val="en-US"/>
    </w:rPr>
  </w:style>
  <w:style w:type="character" w:customStyle="1" w:styleId="Heading9Char">
    <w:name w:val="Heading 9 Char"/>
    <w:basedOn w:val="DefaultParagraphFont"/>
    <w:link w:val="Heading9"/>
    <w:rsid w:val="00EA16CE"/>
    <w:rPr>
      <w:rFonts w:ascii="Times New Roman" w:eastAsia="Times New Roman" w:hAnsi="Times New Roman" w:cs="Times New Roman"/>
      <w:lang w:val="en-US"/>
    </w:rPr>
  </w:style>
  <w:style w:type="paragraph" w:styleId="Footer">
    <w:name w:val="footer"/>
    <w:basedOn w:val="Normal"/>
    <w:link w:val="FooterChar"/>
    <w:uiPriority w:val="99"/>
    <w:qFormat/>
    <w:rsid w:val="00EA16CE"/>
  </w:style>
  <w:style w:type="character" w:customStyle="1" w:styleId="FooterChar">
    <w:name w:val="Footer Char"/>
    <w:basedOn w:val="DefaultParagraphFont"/>
    <w:link w:val="Footer"/>
    <w:uiPriority w:val="99"/>
    <w:rsid w:val="00EA16CE"/>
    <w:rPr>
      <w:rFonts w:ascii="Times New Roman" w:eastAsia="Times New Roman" w:hAnsi="Times New Roman" w:cs="Times New Roman"/>
      <w:lang w:val="en-US"/>
    </w:rPr>
  </w:style>
  <w:style w:type="paragraph" w:styleId="FootnoteText">
    <w:name w:val="footnote text"/>
    <w:basedOn w:val="Normal"/>
    <w:link w:val="FootnoteTextChar"/>
    <w:uiPriority w:val="99"/>
    <w:qFormat/>
    <w:rsid w:val="00EA16CE"/>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EA16CE"/>
    <w:rPr>
      <w:rFonts w:ascii="Times New Roman" w:eastAsia="Times New Roman" w:hAnsi="Times New Roman" w:cs="Times New Roman"/>
      <w:sz w:val="16"/>
      <w:lang w:val="en-US"/>
    </w:rPr>
  </w:style>
  <w:style w:type="paragraph" w:styleId="Header">
    <w:name w:val="header"/>
    <w:basedOn w:val="Normal"/>
    <w:link w:val="HeaderChar"/>
    <w:qFormat/>
    <w:rsid w:val="00EA16CE"/>
  </w:style>
  <w:style w:type="character" w:customStyle="1" w:styleId="HeaderChar">
    <w:name w:val="Header Char"/>
    <w:basedOn w:val="DefaultParagraphFont"/>
    <w:link w:val="Header"/>
    <w:rsid w:val="00EA16CE"/>
    <w:rPr>
      <w:rFonts w:ascii="Times New Roman" w:eastAsia="Times New Roman" w:hAnsi="Times New Roman" w:cs="Times New Roman"/>
      <w:lang w:val="en-US"/>
    </w:rPr>
  </w:style>
  <w:style w:type="paragraph" w:customStyle="1" w:styleId="quotes">
    <w:name w:val="quotes"/>
    <w:basedOn w:val="Normal"/>
    <w:next w:val="Normal"/>
    <w:rsid w:val="00EA16CE"/>
    <w:pPr>
      <w:ind w:left="720"/>
    </w:pPr>
    <w:rPr>
      <w:i/>
    </w:rPr>
  </w:style>
  <w:style w:type="character" w:styleId="FootnoteReference">
    <w:name w:val="footnote reference"/>
    <w:basedOn w:val="DefaultParagraphFont"/>
    <w:uiPriority w:val="99"/>
    <w:unhideWhenUsed/>
    <w:qFormat/>
    <w:rsid w:val="00EA16CE"/>
    <w:rPr>
      <w:sz w:val="24"/>
      <w:vertAlign w:val="superscript"/>
    </w:rPr>
  </w:style>
  <w:style w:type="paragraph" w:styleId="ListParagraph">
    <w:name w:val="List Paragraph"/>
    <w:basedOn w:val="Normal"/>
    <w:uiPriority w:val="34"/>
    <w:qFormat/>
    <w:rsid w:val="00EA16CE"/>
    <w:pPr>
      <w:ind w:left="720"/>
      <w:contextualSpacing/>
    </w:pPr>
  </w:style>
  <w:style w:type="paragraph" w:styleId="BalloonText">
    <w:name w:val="Balloon Text"/>
    <w:basedOn w:val="Normal"/>
    <w:link w:val="BalloonTextChar"/>
    <w:uiPriority w:val="99"/>
    <w:semiHidden/>
    <w:unhideWhenUsed/>
    <w:rsid w:val="00EA16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C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B5FCB"/>
    <w:rPr>
      <w:sz w:val="16"/>
      <w:szCs w:val="16"/>
    </w:rPr>
  </w:style>
  <w:style w:type="paragraph" w:styleId="CommentText">
    <w:name w:val="annotation text"/>
    <w:basedOn w:val="Normal"/>
    <w:link w:val="CommentTextChar"/>
    <w:uiPriority w:val="99"/>
    <w:semiHidden/>
    <w:unhideWhenUsed/>
    <w:rsid w:val="00CB5FCB"/>
    <w:pPr>
      <w:spacing w:line="240" w:lineRule="auto"/>
    </w:pPr>
    <w:rPr>
      <w:sz w:val="20"/>
      <w:szCs w:val="20"/>
    </w:rPr>
  </w:style>
  <w:style w:type="character" w:customStyle="1" w:styleId="CommentTextChar">
    <w:name w:val="Comment Text Char"/>
    <w:basedOn w:val="DefaultParagraphFont"/>
    <w:link w:val="CommentText"/>
    <w:uiPriority w:val="99"/>
    <w:semiHidden/>
    <w:rsid w:val="00CB5F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FCB"/>
    <w:rPr>
      <w:b/>
      <w:bCs/>
    </w:rPr>
  </w:style>
  <w:style w:type="character" w:customStyle="1" w:styleId="CommentSubjectChar">
    <w:name w:val="Comment Subject Char"/>
    <w:basedOn w:val="CommentTextChar"/>
    <w:link w:val="CommentSubject"/>
    <w:uiPriority w:val="99"/>
    <w:semiHidden/>
    <w:rsid w:val="00CB5FCB"/>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B0699C"/>
  </w:style>
  <w:style w:type="paragraph" w:styleId="NormalWeb">
    <w:name w:val="Normal (Web)"/>
    <w:basedOn w:val="Normal"/>
    <w:uiPriority w:val="99"/>
    <w:unhideWhenUsed/>
    <w:rsid w:val="00C04B47"/>
    <w:pPr>
      <w:spacing w:before="100" w:beforeAutospacing="1" w:after="100" w:afterAutospacing="1" w:line="240" w:lineRule="auto"/>
      <w:jc w:val="left"/>
    </w:pPr>
    <w:rPr>
      <w:rFonts w:eastAsiaTheme="minorHAnsi"/>
      <w:sz w:val="24"/>
      <w:szCs w:val="24"/>
      <w:lang w:val="en-US"/>
    </w:rPr>
  </w:style>
  <w:style w:type="paragraph" w:customStyle="1" w:styleId="Briefinglist1">
    <w:name w:val="Briefing list 1"/>
    <w:basedOn w:val="Normal"/>
    <w:rsid w:val="008961C1"/>
    <w:pPr>
      <w:keepLines/>
      <w:numPr>
        <w:numId w:val="20"/>
      </w:numPr>
      <w:spacing w:after="120" w:line="240" w:lineRule="auto"/>
    </w:pPr>
    <w:rPr>
      <w:rFonts w:ascii="Arial" w:hAnsi="Arial" w:cs="Arial"/>
      <w:szCs w:val="24"/>
    </w:rPr>
  </w:style>
  <w:style w:type="paragraph" w:styleId="Revision">
    <w:name w:val="Revision"/>
    <w:hidden/>
    <w:uiPriority w:val="99"/>
    <w:semiHidden/>
    <w:rsid w:val="00EA7E11"/>
    <w:pPr>
      <w:spacing w:after="0" w:line="240" w:lineRule="auto"/>
    </w:pPr>
    <w:rPr>
      <w:rFonts w:ascii="Times New Roman" w:eastAsia="Times New Roman" w:hAnsi="Times New Roman" w:cs="Times New Roman"/>
    </w:rPr>
  </w:style>
  <w:style w:type="character" w:styleId="Emphasis">
    <w:name w:val="Emphasis"/>
    <w:uiPriority w:val="20"/>
    <w:qFormat/>
    <w:rsid w:val="00B72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7649">
      <w:bodyDiv w:val="1"/>
      <w:marLeft w:val="0"/>
      <w:marRight w:val="0"/>
      <w:marTop w:val="0"/>
      <w:marBottom w:val="0"/>
      <w:divBdr>
        <w:top w:val="none" w:sz="0" w:space="0" w:color="auto"/>
        <w:left w:val="none" w:sz="0" w:space="0" w:color="auto"/>
        <w:bottom w:val="none" w:sz="0" w:space="0" w:color="auto"/>
        <w:right w:val="none" w:sz="0" w:space="0" w:color="auto"/>
      </w:divBdr>
    </w:div>
    <w:div w:id="432556206">
      <w:bodyDiv w:val="1"/>
      <w:marLeft w:val="0"/>
      <w:marRight w:val="0"/>
      <w:marTop w:val="0"/>
      <w:marBottom w:val="0"/>
      <w:divBdr>
        <w:top w:val="none" w:sz="0" w:space="0" w:color="auto"/>
        <w:left w:val="none" w:sz="0" w:space="0" w:color="auto"/>
        <w:bottom w:val="none" w:sz="0" w:space="0" w:color="auto"/>
        <w:right w:val="none" w:sz="0" w:space="0" w:color="auto"/>
      </w:divBdr>
    </w:div>
    <w:div w:id="594091850">
      <w:bodyDiv w:val="1"/>
      <w:marLeft w:val="0"/>
      <w:marRight w:val="0"/>
      <w:marTop w:val="0"/>
      <w:marBottom w:val="0"/>
      <w:divBdr>
        <w:top w:val="none" w:sz="0" w:space="0" w:color="auto"/>
        <w:left w:val="none" w:sz="0" w:space="0" w:color="auto"/>
        <w:bottom w:val="none" w:sz="0" w:space="0" w:color="auto"/>
        <w:right w:val="none" w:sz="0" w:space="0" w:color="auto"/>
      </w:divBdr>
    </w:div>
    <w:div w:id="1057703037">
      <w:bodyDiv w:val="1"/>
      <w:marLeft w:val="0"/>
      <w:marRight w:val="0"/>
      <w:marTop w:val="0"/>
      <w:marBottom w:val="0"/>
      <w:divBdr>
        <w:top w:val="none" w:sz="0" w:space="0" w:color="auto"/>
        <w:left w:val="none" w:sz="0" w:space="0" w:color="auto"/>
        <w:bottom w:val="none" w:sz="0" w:space="0" w:color="auto"/>
        <w:right w:val="none" w:sz="0" w:space="0" w:color="auto"/>
      </w:divBdr>
      <w:divsChild>
        <w:div w:id="2085486993">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909992799">
          <w:marLeft w:val="0"/>
          <w:marRight w:val="0"/>
          <w:marTop w:val="0"/>
          <w:marBottom w:val="0"/>
          <w:divBdr>
            <w:top w:val="none" w:sz="0" w:space="0" w:color="auto"/>
            <w:left w:val="none" w:sz="0" w:space="0" w:color="auto"/>
            <w:bottom w:val="none" w:sz="0" w:space="0" w:color="auto"/>
            <w:right w:val="none" w:sz="0" w:space="0" w:color="auto"/>
          </w:divBdr>
        </w:div>
        <w:div w:id="446386186">
          <w:marLeft w:val="0"/>
          <w:marRight w:val="0"/>
          <w:marTop w:val="0"/>
          <w:marBottom w:val="0"/>
          <w:divBdr>
            <w:top w:val="none" w:sz="0" w:space="0" w:color="auto"/>
            <w:left w:val="none" w:sz="0" w:space="0" w:color="auto"/>
            <w:bottom w:val="none" w:sz="0" w:space="0" w:color="auto"/>
            <w:right w:val="none" w:sz="0" w:space="0" w:color="auto"/>
          </w:divBdr>
        </w:div>
        <w:div w:id="1064908952">
          <w:marLeft w:val="0"/>
          <w:marRight w:val="0"/>
          <w:marTop w:val="0"/>
          <w:marBottom w:val="0"/>
          <w:divBdr>
            <w:top w:val="none" w:sz="0" w:space="0" w:color="auto"/>
            <w:left w:val="none" w:sz="0" w:space="0" w:color="auto"/>
            <w:bottom w:val="none" w:sz="0" w:space="0" w:color="auto"/>
            <w:right w:val="none" w:sz="0" w:space="0" w:color="auto"/>
          </w:divBdr>
        </w:div>
        <w:div w:id="983777998">
          <w:marLeft w:val="0"/>
          <w:marRight w:val="0"/>
          <w:marTop w:val="0"/>
          <w:marBottom w:val="0"/>
          <w:divBdr>
            <w:top w:val="none" w:sz="0" w:space="0" w:color="auto"/>
            <w:left w:val="none" w:sz="0" w:space="0" w:color="auto"/>
            <w:bottom w:val="none" w:sz="0" w:space="0" w:color="auto"/>
            <w:right w:val="none" w:sz="0" w:space="0" w:color="auto"/>
          </w:divBdr>
        </w:div>
        <w:div w:id="1651640703">
          <w:marLeft w:val="0"/>
          <w:marRight w:val="0"/>
          <w:marTop w:val="0"/>
          <w:marBottom w:val="0"/>
          <w:divBdr>
            <w:top w:val="none" w:sz="0" w:space="0" w:color="auto"/>
            <w:left w:val="none" w:sz="0" w:space="0" w:color="auto"/>
            <w:bottom w:val="none" w:sz="0" w:space="0" w:color="auto"/>
            <w:right w:val="none" w:sz="0" w:space="0" w:color="auto"/>
          </w:divBdr>
        </w:div>
        <w:div w:id="1166284299">
          <w:marLeft w:val="0"/>
          <w:marRight w:val="0"/>
          <w:marTop w:val="0"/>
          <w:marBottom w:val="0"/>
          <w:divBdr>
            <w:top w:val="none" w:sz="0" w:space="0" w:color="auto"/>
            <w:left w:val="none" w:sz="0" w:space="0" w:color="auto"/>
            <w:bottom w:val="none" w:sz="0" w:space="0" w:color="auto"/>
            <w:right w:val="none" w:sz="0" w:space="0" w:color="auto"/>
          </w:divBdr>
        </w:div>
        <w:div w:id="746154231">
          <w:marLeft w:val="0"/>
          <w:marRight w:val="0"/>
          <w:marTop w:val="0"/>
          <w:marBottom w:val="0"/>
          <w:divBdr>
            <w:top w:val="none" w:sz="0" w:space="0" w:color="auto"/>
            <w:left w:val="none" w:sz="0" w:space="0" w:color="auto"/>
            <w:bottom w:val="none" w:sz="0" w:space="0" w:color="auto"/>
            <w:right w:val="none" w:sz="0" w:space="0" w:color="auto"/>
          </w:divBdr>
        </w:div>
        <w:div w:id="100036949">
          <w:marLeft w:val="0"/>
          <w:marRight w:val="0"/>
          <w:marTop w:val="0"/>
          <w:marBottom w:val="0"/>
          <w:divBdr>
            <w:top w:val="none" w:sz="0" w:space="0" w:color="auto"/>
            <w:left w:val="none" w:sz="0" w:space="0" w:color="auto"/>
            <w:bottom w:val="none" w:sz="0" w:space="0" w:color="auto"/>
            <w:right w:val="none" w:sz="0" w:space="0" w:color="auto"/>
          </w:divBdr>
        </w:div>
        <w:div w:id="1643386078">
          <w:marLeft w:val="0"/>
          <w:marRight w:val="0"/>
          <w:marTop w:val="0"/>
          <w:marBottom w:val="0"/>
          <w:divBdr>
            <w:top w:val="none" w:sz="0" w:space="0" w:color="auto"/>
            <w:left w:val="none" w:sz="0" w:space="0" w:color="auto"/>
            <w:bottom w:val="none" w:sz="0" w:space="0" w:color="auto"/>
            <w:right w:val="none" w:sz="0" w:space="0" w:color="auto"/>
          </w:divBdr>
        </w:div>
        <w:div w:id="331295982">
          <w:marLeft w:val="0"/>
          <w:marRight w:val="0"/>
          <w:marTop w:val="0"/>
          <w:marBottom w:val="0"/>
          <w:divBdr>
            <w:top w:val="none" w:sz="0" w:space="0" w:color="auto"/>
            <w:left w:val="none" w:sz="0" w:space="0" w:color="auto"/>
            <w:bottom w:val="none" w:sz="0" w:space="0" w:color="auto"/>
            <w:right w:val="none" w:sz="0" w:space="0" w:color="auto"/>
          </w:divBdr>
        </w:div>
      </w:divsChild>
    </w:div>
    <w:div w:id="1144851590">
      <w:bodyDiv w:val="1"/>
      <w:marLeft w:val="0"/>
      <w:marRight w:val="0"/>
      <w:marTop w:val="0"/>
      <w:marBottom w:val="0"/>
      <w:divBdr>
        <w:top w:val="none" w:sz="0" w:space="0" w:color="auto"/>
        <w:left w:val="none" w:sz="0" w:space="0" w:color="auto"/>
        <w:bottom w:val="none" w:sz="0" w:space="0" w:color="auto"/>
        <w:right w:val="none" w:sz="0" w:space="0" w:color="auto"/>
      </w:divBdr>
    </w:div>
    <w:div w:id="1480271555">
      <w:bodyDiv w:val="1"/>
      <w:marLeft w:val="0"/>
      <w:marRight w:val="0"/>
      <w:marTop w:val="0"/>
      <w:marBottom w:val="0"/>
      <w:divBdr>
        <w:top w:val="none" w:sz="0" w:space="0" w:color="auto"/>
        <w:left w:val="none" w:sz="0" w:space="0" w:color="auto"/>
        <w:bottom w:val="none" w:sz="0" w:space="0" w:color="auto"/>
        <w:right w:val="none" w:sz="0" w:space="0" w:color="auto"/>
      </w:divBdr>
    </w:div>
    <w:div w:id="1764836472">
      <w:bodyDiv w:val="1"/>
      <w:marLeft w:val="0"/>
      <w:marRight w:val="0"/>
      <w:marTop w:val="0"/>
      <w:marBottom w:val="0"/>
      <w:divBdr>
        <w:top w:val="none" w:sz="0" w:space="0" w:color="auto"/>
        <w:left w:val="none" w:sz="0" w:space="0" w:color="auto"/>
        <w:bottom w:val="none" w:sz="0" w:space="0" w:color="auto"/>
        <w:right w:val="none" w:sz="0" w:space="0" w:color="auto"/>
      </w:divBdr>
    </w:div>
    <w:div w:id="1768303384">
      <w:bodyDiv w:val="1"/>
      <w:marLeft w:val="0"/>
      <w:marRight w:val="0"/>
      <w:marTop w:val="0"/>
      <w:marBottom w:val="0"/>
      <w:divBdr>
        <w:top w:val="none" w:sz="0" w:space="0" w:color="auto"/>
        <w:left w:val="none" w:sz="0" w:space="0" w:color="auto"/>
        <w:bottom w:val="none" w:sz="0" w:space="0" w:color="auto"/>
        <w:right w:val="none" w:sz="0" w:space="0" w:color="auto"/>
      </w:divBdr>
      <w:divsChild>
        <w:div w:id="749735325">
          <w:marLeft w:val="0"/>
          <w:marRight w:val="0"/>
          <w:marTop w:val="0"/>
          <w:marBottom w:val="0"/>
          <w:divBdr>
            <w:top w:val="none" w:sz="0" w:space="0" w:color="auto"/>
            <w:left w:val="none" w:sz="0" w:space="0" w:color="auto"/>
            <w:bottom w:val="none" w:sz="0" w:space="0" w:color="auto"/>
            <w:right w:val="none" w:sz="0" w:space="0" w:color="auto"/>
          </w:divBdr>
        </w:div>
        <w:div w:id="1155219012">
          <w:marLeft w:val="0"/>
          <w:marRight w:val="0"/>
          <w:marTop w:val="0"/>
          <w:marBottom w:val="0"/>
          <w:divBdr>
            <w:top w:val="none" w:sz="0" w:space="0" w:color="auto"/>
            <w:left w:val="none" w:sz="0" w:space="0" w:color="auto"/>
            <w:bottom w:val="none" w:sz="0" w:space="0" w:color="auto"/>
            <w:right w:val="none" w:sz="0" w:space="0" w:color="auto"/>
          </w:divBdr>
        </w:div>
        <w:div w:id="1479615016">
          <w:marLeft w:val="0"/>
          <w:marRight w:val="0"/>
          <w:marTop w:val="0"/>
          <w:marBottom w:val="0"/>
          <w:divBdr>
            <w:top w:val="none" w:sz="0" w:space="0" w:color="auto"/>
            <w:left w:val="none" w:sz="0" w:space="0" w:color="auto"/>
            <w:bottom w:val="none" w:sz="0" w:space="0" w:color="auto"/>
            <w:right w:val="none" w:sz="0" w:space="0" w:color="auto"/>
          </w:divBdr>
        </w:div>
        <w:div w:id="1736004550">
          <w:marLeft w:val="0"/>
          <w:marRight w:val="0"/>
          <w:marTop w:val="0"/>
          <w:marBottom w:val="0"/>
          <w:divBdr>
            <w:top w:val="none" w:sz="0" w:space="0" w:color="auto"/>
            <w:left w:val="none" w:sz="0" w:space="0" w:color="auto"/>
            <w:bottom w:val="none" w:sz="0" w:space="0" w:color="auto"/>
            <w:right w:val="none" w:sz="0" w:space="0" w:color="auto"/>
          </w:divBdr>
        </w:div>
        <w:div w:id="1831822442">
          <w:marLeft w:val="0"/>
          <w:marRight w:val="0"/>
          <w:marTop w:val="0"/>
          <w:marBottom w:val="0"/>
          <w:divBdr>
            <w:top w:val="none" w:sz="0" w:space="0" w:color="auto"/>
            <w:left w:val="none" w:sz="0" w:space="0" w:color="auto"/>
            <w:bottom w:val="none" w:sz="0" w:space="0" w:color="auto"/>
            <w:right w:val="none" w:sz="0" w:space="0" w:color="auto"/>
          </w:divBdr>
        </w:div>
        <w:div w:id="1714619782">
          <w:marLeft w:val="0"/>
          <w:marRight w:val="0"/>
          <w:marTop w:val="0"/>
          <w:marBottom w:val="0"/>
          <w:divBdr>
            <w:top w:val="none" w:sz="0" w:space="0" w:color="auto"/>
            <w:left w:val="none" w:sz="0" w:space="0" w:color="auto"/>
            <w:bottom w:val="none" w:sz="0" w:space="0" w:color="auto"/>
            <w:right w:val="none" w:sz="0" w:space="0" w:color="auto"/>
          </w:divBdr>
        </w:div>
        <w:div w:id="2118868301">
          <w:marLeft w:val="0"/>
          <w:marRight w:val="0"/>
          <w:marTop w:val="0"/>
          <w:marBottom w:val="0"/>
          <w:divBdr>
            <w:top w:val="none" w:sz="0" w:space="0" w:color="auto"/>
            <w:left w:val="none" w:sz="0" w:space="0" w:color="auto"/>
            <w:bottom w:val="none" w:sz="0" w:space="0" w:color="auto"/>
            <w:right w:val="none" w:sz="0" w:space="0" w:color="auto"/>
          </w:divBdr>
        </w:div>
        <w:div w:id="51928184">
          <w:marLeft w:val="0"/>
          <w:marRight w:val="0"/>
          <w:marTop w:val="0"/>
          <w:marBottom w:val="0"/>
          <w:divBdr>
            <w:top w:val="none" w:sz="0" w:space="0" w:color="auto"/>
            <w:left w:val="none" w:sz="0" w:space="0" w:color="auto"/>
            <w:bottom w:val="none" w:sz="0" w:space="0" w:color="auto"/>
            <w:right w:val="none" w:sz="0" w:space="0" w:color="auto"/>
          </w:divBdr>
        </w:div>
        <w:div w:id="236018069">
          <w:marLeft w:val="0"/>
          <w:marRight w:val="0"/>
          <w:marTop w:val="0"/>
          <w:marBottom w:val="0"/>
          <w:divBdr>
            <w:top w:val="none" w:sz="0" w:space="0" w:color="auto"/>
            <w:left w:val="none" w:sz="0" w:space="0" w:color="auto"/>
            <w:bottom w:val="none" w:sz="0" w:space="0" w:color="auto"/>
            <w:right w:val="none" w:sz="0" w:space="0" w:color="auto"/>
          </w:divBdr>
        </w:div>
        <w:div w:id="1058019170">
          <w:marLeft w:val="0"/>
          <w:marRight w:val="0"/>
          <w:marTop w:val="0"/>
          <w:marBottom w:val="0"/>
          <w:divBdr>
            <w:top w:val="none" w:sz="0" w:space="0" w:color="auto"/>
            <w:left w:val="none" w:sz="0" w:space="0" w:color="auto"/>
            <w:bottom w:val="none" w:sz="0" w:space="0" w:color="auto"/>
            <w:right w:val="none" w:sz="0" w:space="0" w:color="auto"/>
          </w:divBdr>
        </w:div>
        <w:div w:id="293100384">
          <w:marLeft w:val="0"/>
          <w:marRight w:val="0"/>
          <w:marTop w:val="0"/>
          <w:marBottom w:val="0"/>
          <w:divBdr>
            <w:top w:val="none" w:sz="0" w:space="0" w:color="auto"/>
            <w:left w:val="none" w:sz="0" w:space="0" w:color="auto"/>
            <w:bottom w:val="none" w:sz="0" w:space="0" w:color="auto"/>
            <w:right w:val="none" w:sz="0" w:space="0" w:color="auto"/>
          </w:divBdr>
        </w:div>
        <w:div w:id="627398802">
          <w:marLeft w:val="0"/>
          <w:marRight w:val="0"/>
          <w:marTop w:val="0"/>
          <w:marBottom w:val="0"/>
          <w:divBdr>
            <w:top w:val="none" w:sz="0" w:space="0" w:color="auto"/>
            <w:left w:val="none" w:sz="0" w:space="0" w:color="auto"/>
            <w:bottom w:val="none" w:sz="0" w:space="0" w:color="auto"/>
            <w:right w:val="none" w:sz="0" w:space="0" w:color="auto"/>
          </w:divBdr>
        </w:div>
      </w:divsChild>
    </w:div>
    <w:div w:id="1967932916">
      <w:bodyDiv w:val="1"/>
      <w:marLeft w:val="0"/>
      <w:marRight w:val="0"/>
      <w:marTop w:val="0"/>
      <w:marBottom w:val="0"/>
      <w:divBdr>
        <w:top w:val="none" w:sz="0" w:space="0" w:color="auto"/>
        <w:left w:val="none" w:sz="0" w:space="0" w:color="auto"/>
        <w:bottom w:val="none" w:sz="0" w:space="0" w:color="auto"/>
        <w:right w:val="none" w:sz="0" w:space="0" w:color="auto"/>
      </w:divBdr>
    </w:div>
    <w:div w:id="1989433320">
      <w:bodyDiv w:val="1"/>
      <w:marLeft w:val="0"/>
      <w:marRight w:val="0"/>
      <w:marTop w:val="0"/>
      <w:marBottom w:val="0"/>
      <w:divBdr>
        <w:top w:val="none" w:sz="0" w:space="0" w:color="auto"/>
        <w:left w:val="none" w:sz="0" w:space="0" w:color="auto"/>
        <w:bottom w:val="none" w:sz="0" w:space="0" w:color="auto"/>
        <w:right w:val="none" w:sz="0" w:space="0" w:color="auto"/>
      </w:divBdr>
      <w:divsChild>
        <w:div w:id="1143354616">
          <w:marLeft w:val="0"/>
          <w:marRight w:val="0"/>
          <w:marTop w:val="0"/>
          <w:marBottom w:val="0"/>
          <w:divBdr>
            <w:top w:val="none" w:sz="0" w:space="0" w:color="auto"/>
            <w:left w:val="none" w:sz="0" w:space="0" w:color="auto"/>
            <w:bottom w:val="none" w:sz="0" w:space="0" w:color="auto"/>
            <w:right w:val="none" w:sz="0" w:space="0" w:color="auto"/>
          </w:divBdr>
        </w:div>
        <w:div w:id="753085551">
          <w:marLeft w:val="0"/>
          <w:marRight w:val="0"/>
          <w:marTop w:val="0"/>
          <w:marBottom w:val="0"/>
          <w:divBdr>
            <w:top w:val="none" w:sz="0" w:space="0" w:color="auto"/>
            <w:left w:val="none" w:sz="0" w:space="0" w:color="auto"/>
            <w:bottom w:val="none" w:sz="0" w:space="0" w:color="auto"/>
            <w:right w:val="none" w:sz="0" w:space="0" w:color="auto"/>
          </w:divBdr>
        </w:div>
        <w:div w:id="623579220">
          <w:marLeft w:val="0"/>
          <w:marRight w:val="0"/>
          <w:marTop w:val="0"/>
          <w:marBottom w:val="0"/>
          <w:divBdr>
            <w:top w:val="none" w:sz="0" w:space="0" w:color="auto"/>
            <w:left w:val="none" w:sz="0" w:space="0" w:color="auto"/>
            <w:bottom w:val="none" w:sz="0" w:space="0" w:color="auto"/>
            <w:right w:val="none" w:sz="0" w:space="0" w:color="auto"/>
          </w:divBdr>
        </w:div>
        <w:div w:id="1673221482">
          <w:marLeft w:val="0"/>
          <w:marRight w:val="0"/>
          <w:marTop w:val="0"/>
          <w:marBottom w:val="0"/>
          <w:divBdr>
            <w:top w:val="none" w:sz="0" w:space="0" w:color="auto"/>
            <w:left w:val="none" w:sz="0" w:space="0" w:color="auto"/>
            <w:bottom w:val="none" w:sz="0" w:space="0" w:color="auto"/>
            <w:right w:val="none" w:sz="0" w:space="0" w:color="auto"/>
          </w:divBdr>
        </w:div>
      </w:divsChild>
    </w:div>
    <w:div w:id="2041398946">
      <w:bodyDiv w:val="1"/>
      <w:marLeft w:val="0"/>
      <w:marRight w:val="0"/>
      <w:marTop w:val="0"/>
      <w:marBottom w:val="0"/>
      <w:divBdr>
        <w:top w:val="none" w:sz="0" w:space="0" w:color="auto"/>
        <w:left w:val="none" w:sz="0" w:space="0" w:color="auto"/>
        <w:bottom w:val="none" w:sz="0" w:space="0" w:color="auto"/>
        <w:right w:val="none" w:sz="0" w:space="0" w:color="auto"/>
      </w:divBdr>
      <w:divsChild>
        <w:div w:id="766388420">
          <w:marLeft w:val="0"/>
          <w:marRight w:val="0"/>
          <w:marTop w:val="0"/>
          <w:marBottom w:val="0"/>
          <w:divBdr>
            <w:top w:val="none" w:sz="0" w:space="0" w:color="auto"/>
            <w:left w:val="none" w:sz="0" w:space="0" w:color="auto"/>
            <w:bottom w:val="none" w:sz="0" w:space="0" w:color="auto"/>
            <w:right w:val="none" w:sz="0" w:space="0" w:color="auto"/>
          </w:divBdr>
        </w:div>
        <w:div w:id="166943195">
          <w:marLeft w:val="0"/>
          <w:marRight w:val="0"/>
          <w:marTop w:val="0"/>
          <w:marBottom w:val="0"/>
          <w:divBdr>
            <w:top w:val="none" w:sz="0" w:space="0" w:color="auto"/>
            <w:left w:val="none" w:sz="0" w:space="0" w:color="auto"/>
            <w:bottom w:val="none" w:sz="0" w:space="0" w:color="auto"/>
            <w:right w:val="none" w:sz="0" w:space="0" w:color="auto"/>
          </w:divBdr>
        </w:div>
        <w:div w:id="1312098127">
          <w:marLeft w:val="0"/>
          <w:marRight w:val="0"/>
          <w:marTop w:val="0"/>
          <w:marBottom w:val="0"/>
          <w:divBdr>
            <w:top w:val="none" w:sz="0" w:space="0" w:color="auto"/>
            <w:left w:val="none" w:sz="0" w:space="0" w:color="auto"/>
            <w:bottom w:val="none" w:sz="0" w:space="0" w:color="auto"/>
            <w:right w:val="none" w:sz="0" w:space="0" w:color="auto"/>
          </w:divBdr>
        </w:div>
        <w:div w:id="2085225014">
          <w:marLeft w:val="0"/>
          <w:marRight w:val="0"/>
          <w:marTop w:val="0"/>
          <w:marBottom w:val="0"/>
          <w:divBdr>
            <w:top w:val="none" w:sz="0" w:space="0" w:color="auto"/>
            <w:left w:val="none" w:sz="0" w:space="0" w:color="auto"/>
            <w:bottom w:val="none" w:sz="0" w:space="0" w:color="auto"/>
            <w:right w:val="none" w:sz="0" w:space="0" w:color="auto"/>
          </w:divBdr>
        </w:div>
        <w:div w:id="1394160791">
          <w:marLeft w:val="0"/>
          <w:marRight w:val="0"/>
          <w:marTop w:val="0"/>
          <w:marBottom w:val="0"/>
          <w:divBdr>
            <w:top w:val="none" w:sz="0" w:space="0" w:color="auto"/>
            <w:left w:val="none" w:sz="0" w:space="0" w:color="auto"/>
            <w:bottom w:val="none" w:sz="0" w:space="0" w:color="auto"/>
            <w:right w:val="none" w:sz="0" w:space="0" w:color="auto"/>
          </w:divBdr>
        </w:div>
        <w:div w:id="157620225">
          <w:marLeft w:val="0"/>
          <w:marRight w:val="0"/>
          <w:marTop w:val="0"/>
          <w:marBottom w:val="0"/>
          <w:divBdr>
            <w:top w:val="none" w:sz="0" w:space="0" w:color="auto"/>
            <w:left w:val="none" w:sz="0" w:space="0" w:color="auto"/>
            <w:bottom w:val="none" w:sz="0" w:space="0" w:color="auto"/>
            <w:right w:val="none" w:sz="0" w:space="0" w:color="auto"/>
          </w:divBdr>
        </w:div>
        <w:div w:id="1838887799">
          <w:marLeft w:val="0"/>
          <w:marRight w:val="0"/>
          <w:marTop w:val="0"/>
          <w:marBottom w:val="0"/>
          <w:divBdr>
            <w:top w:val="none" w:sz="0" w:space="0" w:color="auto"/>
            <w:left w:val="none" w:sz="0" w:space="0" w:color="auto"/>
            <w:bottom w:val="none" w:sz="0" w:space="0" w:color="auto"/>
            <w:right w:val="none" w:sz="0" w:space="0" w:color="auto"/>
          </w:divBdr>
        </w:div>
      </w:divsChild>
    </w:div>
    <w:div w:id="2101414885">
      <w:bodyDiv w:val="1"/>
      <w:marLeft w:val="0"/>
      <w:marRight w:val="0"/>
      <w:marTop w:val="0"/>
      <w:marBottom w:val="0"/>
      <w:divBdr>
        <w:top w:val="none" w:sz="0" w:space="0" w:color="auto"/>
        <w:left w:val="none" w:sz="0" w:space="0" w:color="auto"/>
        <w:bottom w:val="none" w:sz="0" w:space="0" w:color="auto"/>
        <w:right w:val="none" w:sz="0" w:space="0" w:color="auto"/>
      </w:divBdr>
      <w:divsChild>
        <w:div w:id="1672949073">
          <w:marLeft w:val="0"/>
          <w:marRight w:val="0"/>
          <w:marTop w:val="0"/>
          <w:marBottom w:val="0"/>
          <w:divBdr>
            <w:top w:val="none" w:sz="0" w:space="0" w:color="auto"/>
            <w:left w:val="none" w:sz="0" w:space="0" w:color="auto"/>
            <w:bottom w:val="none" w:sz="0" w:space="0" w:color="auto"/>
            <w:right w:val="none" w:sz="0" w:space="0" w:color="auto"/>
          </w:divBdr>
        </w:div>
        <w:div w:id="454914238">
          <w:marLeft w:val="0"/>
          <w:marRight w:val="0"/>
          <w:marTop w:val="0"/>
          <w:marBottom w:val="0"/>
          <w:divBdr>
            <w:top w:val="none" w:sz="0" w:space="0" w:color="auto"/>
            <w:left w:val="none" w:sz="0" w:space="0" w:color="auto"/>
            <w:bottom w:val="none" w:sz="0" w:space="0" w:color="auto"/>
            <w:right w:val="none" w:sz="0" w:space="0" w:color="auto"/>
          </w:divBdr>
        </w:div>
        <w:div w:id="1309096248">
          <w:marLeft w:val="0"/>
          <w:marRight w:val="0"/>
          <w:marTop w:val="0"/>
          <w:marBottom w:val="0"/>
          <w:divBdr>
            <w:top w:val="none" w:sz="0" w:space="0" w:color="auto"/>
            <w:left w:val="none" w:sz="0" w:space="0" w:color="auto"/>
            <w:bottom w:val="none" w:sz="0" w:space="0" w:color="auto"/>
            <w:right w:val="none" w:sz="0" w:space="0" w:color="auto"/>
          </w:divBdr>
        </w:div>
        <w:div w:id="537470223">
          <w:marLeft w:val="0"/>
          <w:marRight w:val="0"/>
          <w:marTop w:val="0"/>
          <w:marBottom w:val="0"/>
          <w:divBdr>
            <w:top w:val="none" w:sz="0" w:space="0" w:color="auto"/>
            <w:left w:val="none" w:sz="0" w:space="0" w:color="auto"/>
            <w:bottom w:val="none" w:sz="0" w:space="0" w:color="auto"/>
            <w:right w:val="none" w:sz="0" w:space="0" w:color="auto"/>
          </w:divBdr>
        </w:div>
        <w:div w:id="1184516805">
          <w:marLeft w:val="0"/>
          <w:marRight w:val="0"/>
          <w:marTop w:val="0"/>
          <w:marBottom w:val="0"/>
          <w:divBdr>
            <w:top w:val="none" w:sz="0" w:space="0" w:color="auto"/>
            <w:left w:val="none" w:sz="0" w:space="0" w:color="auto"/>
            <w:bottom w:val="none" w:sz="0" w:space="0" w:color="auto"/>
            <w:right w:val="none" w:sz="0" w:space="0" w:color="auto"/>
          </w:divBdr>
        </w:div>
        <w:div w:id="2079746200">
          <w:marLeft w:val="0"/>
          <w:marRight w:val="0"/>
          <w:marTop w:val="0"/>
          <w:marBottom w:val="0"/>
          <w:divBdr>
            <w:top w:val="none" w:sz="0" w:space="0" w:color="auto"/>
            <w:left w:val="none" w:sz="0" w:space="0" w:color="auto"/>
            <w:bottom w:val="none" w:sz="0" w:space="0" w:color="auto"/>
            <w:right w:val="none" w:sz="0" w:space="0" w:color="auto"/>
          </w:divBdr>
        </w:div>
        <w:div w:id="967518042">
          <w:marLeft w:val="0"/>
          <w:marRight w:val="0"/>
          <w:marTop w:val="0"/>
          <w:marBottom w:val="0"/>
          <w:divBdr>
            <w:top w:val="none" w:sz="0" w:space="0" w:color="auto"/>
            <w:left w:val="none" w:sz="0" w:space="0" w:color="auto"/>
            <w:bottom w:val="none" w:sz="0" w:space="0" w:color="auto"/>
            <w:right w:val="none" w:sz="0" w:space="0" w:color="auto"/>
          </w:divBdr>
        </w:div>
        <w:div w:id="802386009">
          <w:marLeft w:val="0"/>
          <w:marRight w:val="0"/>
          <w:marTop w:val="0"/>
          <w:marBottom w:val="0"/>
          <w:divBdr>
            <w:top w:val="none" w:sz="0" w:space="0" w:color="auto"/>
            <w:left w:val="none" w:sz="0" w:space="0" w:color="auto"/>
            <w:bottom w:val="none" w:sz="0" w:space="0" w:color="auto"/>
            <w:right w:val="none" w:sz="0" w:space="0" w:color="auto"/>
          </w:divBdr>
        </w:div>
        <w:div w:id="1030110675">
          <w:marLeft w:val="0"/>
          <w:marRight w:val="0"/>
          <w:marTop w:val="0"/>
          <w:marBottom w:val="0"/>
          <w:divBdr>
            <w:top w:val="none" w:sz="0" w:space="0" w:color="auto"/>
            <w:left w:val="none" w:sz="0" w:space="0" w:color="auto"/>
            <w:bottom w:val="none" w:sz="0" w:space="0" w:color="auto"/>
            <w:right w:val="none" w:sz="0" w:space="0" w:color="auto"/>
          </w:divBdr>
        </w:div>
        <w:div w:id="1870070665">
          <w:marLeft w:val="0"/>
          <w:marRight w:val="0"/>
          <w:marTop w:val="0"/>
          <w:marBottom w:val="0"/>
          <w:divBdr>
            <w:top w:val="none" w:sz="0" w:space="0" w:color="auto"/>
            <w:left w:val="none" w:sz="0" w:space="0" w:color="auto"/>
            <w:bottom w:val="none" w:sz="0" w:space="0" w:color="auto"/>
            <w:right w:val="none" w:sz="0" w:space="0" w:color="auto"/>
          </w:divBdr>
        </w:div>
        <w:div w:id="822239093">
          <w:marLeft w:val="0"/>
          <w:marRight w:val="0"/>
          <w:marTop w:val="0"/>
          <w:marBottom w:val="0"/>
          <w:divBdr>
            <w:top w:val="none" w:sz="0" w:space="0" w:color="auto"/>
            <w:left w:val="none" w:sz="0" w:space="0" w:color="auto"/>
            <w:bottom w:val="none" w:sz="0" w:space="0" w:color="auto"/>
            <w:right w:val="none" w:sz="0" w:space="0" w:color="auto"/>
          </w:divBdr>
        </w:div>
        <w:div w:id="67137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B908-F258-4674-8958-6525B8E7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CESE-CdR</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Ernsteina</dc:creator>
  <cp:lastModifiedBy>Miroslava Grieco</cp:lastModifiedBy>
  <cp:revision>2</cp:revision>
  <cp:lastPrinted>2019-09-09T11:03:00Z</cp:lastPrinted>
  <dcterms:created xsi:type="dcterms:W3CDTF">2019-09-18T16:15:00Z</dcterms:created>
  <dcterms:modified xsi:type="dcterms:W3CDTF">2019-09-18T16:15:00Z</dcterms:modified>
</cp:coreProperties>
</file>