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89" w:rsidRPr="00AC6E50" w:rsidRDefault="008B6F26" w:rsidP="00207881">
      <w:pPr>
        <w:jc w:val="center"/>
      </w:pPr>
      <w:r w:rsidRPr="00AC6E50">
        <w:rPr>
          <w:noProof/>
          <w:lang w:val="en-US"/>
        </w:rPr>
        <w:drawing>
          <wp:inline distT="0" distB="0" distL="0" distR="0">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07881" w:rsidRPr="00AC6E50">
        <w:rPr>
          <w:noProof/>
          <w:sz w:val="20"/>
          <w:lang w:val="en-US"/>
        </w:rPr>
        <mc:AlternateContent>
          <mc:Choice Requires="wps">
            <w:drawing>
              <wp:anchor distT="0" distB="0" distL="114300" distR="114300" simplePos="0" relativeHeight="251658752" behindDoc="1" locked="0" layoutInCell="0" allowOverlap="1" wp14:anchorId="17E9DA13" wp14:editId="015FC73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3D7" w:rsidRPr="00AC6E50" w:rsidRDefault="00F333D7">
                            <w:pPr>
                              <w:jc w:val="center"/>
                              <w:rPr>
                                <w:rFonts w:ascii="Arial" w:hAnsi="Arial" w:cs="Arial"/>
                                <w:b/>
                                <w:bCs/>
                                <w:sz w:val="48"/>
                              </w:rPr>
                            </w:pPr>
                            <w:r w:rsidRPr="00AC6E50">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9DA1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333D7" w:rsidRPr="00AC6E50" w:rsidRDefault="00F333D7">
                      <w:pPr>
                        <w:jc w:val="center"/>
                        <w:rPr>
                          <w:rFonts w:ascii="Arial" w:hAnsi="Arial" w:cs="Arial"/>
                          <w:b/>
                          <w:bCs/>
                          <w:sz w:val="48"/>
                        </w:rPr>
                      </w:pPr>
                      <w:r w:rsidRPr="00AC6E50">
                        <w:rPr>
                          <w:rFonts w:ascii="Arial" w:hAnsi="Arial"/>
                          <w:b/>
                          <w:bCs/>
                          <w:sz w:val="48"/>
                        </w:rPr>
                        <w:t>FR</w:t>
                      </w:r>
                    </w:p>
                  </w:txbxContent>
                </v:textbox>
                <w10:wrap anchorx="page" anchory="page"/>
              </v:shape>
            </w:pict>
          </mc:Fallback>
        </mc:AlternateContent>
      </w:r>
    </w:p>
    <w:p w:rsidR="00207881" w:rsidRPr="00AC6E50" w:rsidRDefault="00207881" w:rsidP="00AF4606"/>
    <w:p w:rsidR="00B034C6" w:rsidRPr="00AC6E50" w:rsidRDefault="00BF05B6" w:rsidP="00AF4606">
      <w:pPr>
        <w:jc w:val="right"/>
      </w:pPr>
      <w:r w:rsidRPr="00AC6E50">
        <w:rPr>
          <w:b/>
        </w:rPr>
        <w:t>INT/907</w:t>
      </w:r>
    </w:p>
    <w:p w:rsidR="003A7792" w:rsidRPr="00AC6E50" w:rsidRDefault="00BF05B6" w:rsidP="00AF4606">
      <w:pPr>
        <w:jc w:val="right"/>
        <w:rPr>
          <w:b/>
        </w:rPr>
      </w:pPr>
      <w:r w:rsidRPr="00AC6E50">
        <w:rPr>
          <w:b/>
        </w:rPr>
        <w:t>Dispositifs médicaux/dates d’application</w:t>
      </w:r>
    </w:p>
    <w:p w:rsidR="00EF2989" w:rsidRPr="00AC6E50" w:rsidRDefault="00EF2989" w:rsidP="00155CE3">
      <w:pPr>
        <w:jc w:val="right"/>
      </w:pPr>
    </w:p>
    <w:p w:rsidR="00EF2989" w:rsidRPr="00AC6E50" w:rsidRDefault="00EF2989" w:rsidP="00AF4606"/>
    <w:p w:rsidR="00A900FF" w:rsidRPr="00AC6E50" w:rsidRDefault="00B97A1E" w:rsidP="00A900FF">
      <w:pPr>
        <w:jc w:val="center"/>
      </w:pPr>
      <w:r w:rsidRPr="00903B21">
        <w:rPr>
          <w:b/>
          <w:sz w:val="28"/>
          <w:szCs w:val="28"/>
        </w:rPr>
        <w:t>EXPOSÉ DE POSITION</w:t>
      </w:r>
      <w:r w:rsidR="00B56625" w:rsidRPr="00AC6E50">
        <w:br/>
      </w:r>
      <w:r w:rsidR="00B56625" w:rsidRPr="00AC6E50">
        <w:br/>
        <w:t>Comité économique et social européen</w:t>
      </w:r>
      <w:r w:rsidR="00B56625" w:rsidRPr="00AC6E50">
        <w:br/>
      </w:r>
      <w:r w:rsidR="00B56625" w:rsidRPr="00AC6E50">
        <w:br/>
      </w:r>
      <w:r w:rsidR="00B56625" w:rsidRPr="00AC6E50">
        <w:rPr>
          <w:b/>
          <w:bCs/>
        </w:rPr>
        <w:t>Proposition de règlement du Parlement européen et du Conseil modifiant le règlement (UE) 2017/745 relatif aux dispositifs médicaux en ce qui concerne les dates d’application de certaines de ses dispositions</w:t>
      </w:r>
      <w:r w:rsidR="00B56625" w:rsidRPr="00AC6E50">
        <w:br/>
        <w:t>[COM(2020) 144 final – 2020/0060 COD]</w:t>
      </w:r>
    </w:p>
    <w:p w:rsidR="00A23399" w:rsidRPr="00AC6E50" w:rsidRDefault="00A23399" w:rsidP="00AF4606">
      <w:pPr>
        <w:jc w:val="center"/>
        <w:rPr>
          <w:rFonts w:eastAsia="PMingLiU"/>
          <w:snapToGrid w:val="0"/>
          <w:szCs w:val="24"/>
        </w:rPr>
      </w:pPr>
      <w:r w:rsidRPr="00AC6E50">
        <w:br/>
      </w:r>
      <w:r w:rsidRPr="00AC6E50">
        <w:rPr>
          <w:snapToGrid w:val="0"/>
          <w:szCs w:val="24"/>
        </w:rPr>
        <w:t xml:space="preserve">Rapporteure générale: </w:t>
      </w:r>
      <w:r w:rsidRPr="00AC6E50">
        <w:rPr>
          <w:b/>
          <w:snapToGrid w:val="0"/>
          <w:szCs w:val="24"/>
        </w:rPr>
        <w:t>Renate</w:t>
      </w:r>
      <w:r w:rsidR="004E0555" w:rsidRPr="00AC6E50">
        <w:rPr>
          <w:snapToGrid w:val="0"/>
          <w:szCs w:val="24"/>
        </w:rPr>
        <w:t> </w:t>
      </w:r>
      <w:r w:rsidRPr="00AC6E50">
        <w:rPr>
          <w:b/>
          <w:snapToGrid w:val="0"/>
          <w:szCs w:val="24"/>
        </w:rPr>
        <w:t>HEINISCH</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01B16" w:rsidRPr="00AC6E50" w:rsidTr="00146AFA">
        <w:tc>
          <w:tcPr>
            <w:tcW w:w="3085" w:type="dxa"/>
          </w:tcPr>
          <w:p w:rsidR="00101B16" w:rsidRPr="00AC6E50" w:rsidRDefault="00101B16" w:rsidP="00AF4606">
            <w:pPr>
              <w:jc w:val="left"/>
            </w:pPr>
          </w:p>
        </w:tc>
        <w:tc>
          <w:tcPr>
            <w:tcW w:w="6204" w:type="dxa"/>
          </w:tcPr>
          <w:p w:rsidR="00101B16" w:rsidRPr="00AC6E50" w:rsidRDefault="00101B16" w:rsidP="00BF05B6">
            <w:pPr>
              <w:jc w:val="left"/>
            </w:pPr>
          </w:p>
        </w:tc>
      </w:tr>
      <w:tr w:rsidR="00146AFA" w:rsidRPr="00AC6E50" w:rsidTr="00146AFA">
        <w:tc>
          <w:tcPr>
            <w:tcW w:w="3085" w:type="dxa"/>
          </w:tcPr>
          <w:p w:rsidR="00146AFA" w:rsidRPr="00AC6E50" w:rsidRDefault="00146AFA" w:rsidP="00146AFA">
            <w:pPr>
              <w:jc w:val="left"/>
            </w:pPr>
            <w:r w:rsidRPr="00AC6E50">
              <w:t>Date du document</w:t>
            </w:r>
          </w:p>
        </w:tc>
        <w:tc>
          <w:tcPr>
            <w:tcW w:w="6204" w:type="dxa"/>
          </w:tcPr>
          <w:p w:rsidR="00146AFA" w:rsidRPr="00AC6E50" w:rsidRDefault="003A7792" w:rsidP="00DA74EC">
            <w:pPr>
              <w:jc w:val="left"/>
            </w:pPr>
            <w:r w:rsidRPr="00AC6E50">
              <w:t>1</w:t>
            </w:r>
            <w:r w:rsidR="00DA74EC">
              <w:t>5</w:t>
            </w:r>
            <w:bookmarkStart w:id="0" w:name="_GoBack"/>
            <w:bookmarkEnd w:id="0"/>
            <w:r w:rsidRPr="00AC6E50">
              <w:t>/04/2020</w:t>
            </w:r>
          </w:p>
        </w:tc>
      </w:tr>
    </w:tbl>
    <w:p w:rsidR="00101B16" w:rsidRPr="00AC6E50" w:rsidRDefault="00101B16" w:rsidP="00AF4606"/>
    <w:p w:rsidR="00EF2989" w:rsidRPr="00AC6E50" w:rsidRDefault="00EF2989" w:rsidP="00AF4606">
      <w:pPr>
        <w:sectPr w:rsidR="00EF2989" w:rsidRPr="00AC6E50" w:rsidSect="00AC6E50">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24"/>
        <w:gridCol w:w="6049"/>
      </w:tblGrid>
      <w:tr w:rsidR="00101B16" w:rsidRPr="00AC6E50" w:rsidTr="00CB055E">
        <w:tc>
          <w:tcPr>
            <w:tcW w:w="3085" w:type="dxa"/>
          </w:tcPr>
          <w:p w:rsidR="00101B16" w:rsidRPr="00AC6E50" w:rsidRDefault="00102ECF" w:rsidP="00AF4606">
            <w:pPr>
              <w:jc w:val="left"/>
            </w:pPr>
            <w:r w:rsidRPr="00AC6E50">
              <w:lastRenderedPageBreak/>
              <w:t>Consultation</w:t>
            </w:r>
          </w:p>
        </w:tc>
        <w:tc>
          <w:tcPr>
            <w:tcW w:w="6204" w:type="dxa"/>
          </w:tcPr>
          <w:p w:rsidR="00101B16" w:rsidRPr="00AC6E50" w:rsidRDefault="00F011DF" w:rsidP="00AF4606">
            <w:pPr>
              <w:jc w:val="left"/>
            </w:pPr>
            <w:r w:rsidRPr="00AC6E50">
              <w:t>Conseil de l’Union européenne, le 07/04/2020</w:t>
            </w:r>
          </w:p>
          <w:p w:rsidR="00F011DF" w:rsidRPr="00AC6E50" w:rsidRDefault="00F011DF" w:rsidP="00B97A1E">
            <w:pPr>
              <w:jc w:val="left"/>
            </w:pPr>
            <w:r w:rsidRPr="00AC6E50">
              <w:t xml:space="preserve">Parlement européen, </w:t>
            </w:r>
            <w:r w:rsidR="00B97A1E">
              <w:t>16/04/2020</w:t>
            </w:r>
          </w:p>
        </w:tc>
      </w:tr>
      <w:tr w:rsidR="00101B16" w:rsidRPr="00AC6E50" w:rsidTr="00CB055E">
        <w:trPr>
          <w:trHeight w:val="251"/>
        </w:trPr>
        <w:tc>
          <w:tcPr>
            <w:tcW w:w="3085" w:type="dxa"/>
          </w:tcPr>
          <w:p w:rsidR="00101B16" w:rsidRPr="00AC6E50" w:rsidRDefault="00101B16" w:rsidP="00AF4606">
            <w:pPr>
              <w:jc w:val="left"/>
            </w:pPr>
            <w:r w:rsidRPr="00AC6E50">
              <w:t>Base juridique</w:t>
            </w:r>
          </w:p>
        </w:tc>
        <w:tc>
          <w:tcPr>
            <w:tcW w:w="6204" w:type="dxa"/>
          </w:tcPr>
          <w:p w:rsidR="00101B16" w:rsidRPr="00AC6E50" w:rsidRDefault="004E0555" w:rsidP="00BF05B6">
            <w:pPr>
              <w:jc w:val="left"/>
            </w:pPr>
            <w:r w:rsidRPr="00AC6E50">
              <w:t>Articles 114, </w:t>
            </w:r>
            <w:r w:rsidR="00101B16" w:rsidRPr="00AC6E50">
              <w:t>168, paragraphe 4, et 304 du traité sur le fonctionnement de l’Union européenne</w:t>
            </w:r>
          </w:p>
        </w:tc>
      </w:tr>
      <w:tr w:rsidR="00101B16" w:rsidRPr="00AC6E50" w:rsidTr="00CB055E">
        <w:tc>
          <w:tcPr>
            <w:tcW w:w="3085" w:type="dxa"/>
          </w:tcPr>
          <w:p w:rsidR="00101B16" w:rsidRPr="00AC6E50" w:rsidRDefault="00101B16" w:rsidP="00AF4606">
            <w:pPr>
              <w:jc w:val="left"/>
            </w:pPr>
            <w:r w:rsidRPr="00AC6E50">
              <w:t>Compétence</w:t>
            </w:r>
          </w:p>
        </w:tc>
        <w:tc>
          <w:tcPr>
            <w:tcW w:w="6204" w:type="dxa"/>
          </w:tcPr>
          <w:p w:rsidR="00101B16" w:rsidRPr="00AC6E50" w:rsidRDefault="008A6AC8" w:rsidP="00BF05B6">
            <w:pPr>
              <w:jc w:val="left"/>
            </w:pPr>
            <w:r w:rsidRPr="00AC6E50">
              <w:t>Section</w:t>
            </w:r>
            <w:r w:rsidR="00BF05B6" w:rsidRPr="00AC6E50">
              <w:t xml:space="preserve"> «Marché unique, production et consommation»</w:t>
            </w:r>
          </w:p>
        </w:tc>
      </w:tr>
      <w:tr w:rsidR="00146AFA" w:rsidRPr="00AC6E50" w:rsidTr="00CB055E">
        <w:tc>
          <w:tcPr>
            <w:tcW w:w="3085" w:type="dxa"/>
          </w:tcPr>
          <w:p w:rsidR="00146AFA" w:rsidRPr="00AC6E50" w:rsidRDefault="00146AFA" w:rsidP="00AF4606">
            <w:pPr>
              <w:jc w:val="left"/>
            </w:pPr>
          </w:p>
        </w:tc>
        <w:tc>
          <w:tcPr>
            <w:tcW w:w="6204" w:type="dxa"/>
          </w:tcPr>
          <w:p w:rsidR="00146AFA" w:rsidRPr="00AC6E50" w:rsidRDefault="00146AFA" w:rsidP="00AF4606">
            <w:pPr>
              <w:jc w:val="left"/>
            </w:pPr>
          </w:p>
        </w:tc>
      </w:tr>
      <w:tr w:rsidR="00101B16" w:rsidRPr="00AC6E50" w:rsidTr="00CB055E">
        <w:tc>
          <w:tcPr>
            <w:tcW w:w="3085" w:type="dxa"/>
          </w:tcPr>
          <w:p w:rsidR="00101B16" w:rsidRPr="00AC6E50" w:rsidRDefault="00101B16" w:rsidP="00C07671">
            <w:pPr>
              <w:jc w:val="left"/>
            </w:pPr>
          </w:p>
        </w:tc>
        <w:tc>
          <w:tcPr>
            <w:tcW w:w="6204" w:type="dxa"/>
          </w:tcPr>
          <w:p w:rsidR="00101B16" w:rsidRPr="00AC6E50" w:rsidRDefault="00101B16" w:rsidP="00AF4606">
            <w:pPr>
              <w:jc w:val="left"/>
            </w:pPr>
          </w:p>
        </w:tc>
      </w:tr>
      <w:tr w:rsidR="00101B16" w:rsidRPr="00AC6E50" w:rsidTr="00CB055E">
        <w:tc>
          <w:tcPr>
            <w:tcW w:w="3085" w:type="dxa"/>
          </w:tcPr>
          <w:p w:rsidR="00101B16" w:rsidRPr="00AC6E50" w:rsidRDefault="00101B16" w:rsidP="00AF4606">
            <w:pPr>
              <w:jc w:val="left"/>
            </w:pPr>
          </w:p>
        </w:tc>
        <w:tc>
          <w:tcPr>
            <w:tcW w:w="6204" w:type="dxa"/>
          </w:tcPr>
          <w:p w:rsidR="00101B16" w:rsidRPr="00AC6E50" w:rsidRDefault="00101B16" w:rsidP="00AF4606">
            <w:pPr>
              <w:jc w:val="left"/>
            </w:pPr>
          </w:p>
        </w:tc>
      </w:tr>
      <w:tr w:rsidR="00101B16" w:rsidRPr="00AC6E50" w:rsidTr="00CB055E">
        <w:tc>
          <w:tcPr>
            <w:tcW w:w="3085" w:type="dxa"/>
          </w:tcPr>
          <w:p w:rsidR="00101B16" w:rsidRPr="00AC6E50" w:rsidRDefault="00101B16" w:rsidP="00BF05B6">
            <w:pPr>
              <w:jc w:val="left"/>
            </w:pPr>
            <w:r w:rsidRPr="00AC6E50">
              <w:br/>
            </w:r>
          </w:p>
        </w:tc>
        <w:tc>
          <w:tcPr>
            <w:tcW w:w="6204" w:type="dxa"/>
            <w:vAlign w:val="bottom"/>
          </w:tcPr>
          <w:p w:rsidR="00101B16" w:rsidRPr="00AC6E50" w:rsidRDefault="00101B16" w:rsidP="00AF4606">
            <w:pPr>
              <w:jc w:val="left"/>
            </w:pPr>
          </w:p>
        </w:tc>
      </w:tr>
    </w:tbl>
    <w:p w:rsidR="00101B16" w:rsidRPr="00AC6E50" w:rsidRDefault="00101B16" w:rsidP="00AF4606"/>
    <w:p w:rsidR="00101B16" w:rsidRPr="00AC6E50" w:rsidRDefault="00101B16" w:rsidP="00AF4606"/>
    <w:p w:rsidR="00082FF4" w:rsidRPr="00AC6E50" w:rsidRDefault="00082FF4">
      <w:pPr>
        <w:spacing w:line="240" w:lineRule="auto"/>
        <w:jc w:val="left"/>
      </w:pPr>
      <w:r w:rsidRPr="00AC6E50">
        <w:br w:type="page"/>
      </w:r>
    </w:p>
    <w:p w:rsidR="00082FF4" w:rsidRPr="00AC6E50" w:rsidRDefault="00082FF4" w:rsidP="0043783C">
      <w:pPr>
        <w:pStyle w:val="Heading1"/>
      </w:pPr>
      <w:r w:rsidRPr="00AC6E50">
        <w:rPr>
          <w:b/>
        </w:rPr>
        <w:lastRenderedPageBreak/>
        <w:t>Conclusions et recommandations</w:t>
      </w:r>
    </w:p>
    <w:p w:rsidR="00082FF4" w:rsidRPr="00AC6E50" w:rsidRDefault="00082FF4" w:rsidP="00082FF4"/>
    <w:p w:rsidR="00F86D14" w:rsidRPr="00AC6E50" w:rsidRDefault="00BF05B6" w:rsidP="00BF05B6">
      <w:pPr>
        <w:pStyle w:val="Heading2"/>
      </w:pPr>
      <w:r w:rsidRPr="00AC6E50">
        <w:t>Le CESE, compte tenu des circonstances exceptionnelles créées par la crise du COVID-19 et son incidence sur différents domaines couverts par le règle</w:t>
      </w:r>
      <w:r w:rsidR="004E0555" w:rsidRPr="00AC6E50">
        <w:t>ment (UE) 2017/745, soutient la </w:t>
      </w:r>
      <w:r w:rsidRPr="00AC6E50">
        <w:t>proposition de la Commission, laquelle représente selon lui une mesure appropriée et nécessaire pour assurer un niveau élevé de protection de la santé publique e</w:t>
      </w:r>
      <w:r w:rsidR="005001EA" w:rsidRPr="00AC6E50">
        <w:t>t de l’intérêt économique de ce </w:t>
      </w:r>
      <w:r w:rsidRPr="00AC6E50">
        <w:t>secteur.</w:t>
      </w:r>
    </w:p>
    <w:p w:rsidR="008C3468" w:rsidRPr="00AC6E50" w:rsidRDefault="008C3468" w:rsidP="00474AC5"/>
    <w:p w:rsidR="007269F5" w:rsidRPr="00AC6E50" w:rsidRDefault="00BF05B6" w:rsidP="007269F5">
      <w:pPr>
        <w:pStyle w:val="Heading1"/>
      </w:pPr>
      <w:r w:rsidRPr="00AC6E50">
        <w:rPr>
          <w:b/>
        </w:rPr>
        <w:t>Proposition de la Commission</w:t>
      </w:r>
    </w:p>
    <w:p w:rsidR="007269F5" w:rsidRPr="00AC6E50" w:rsidRDefault="007269F5" w:rsidP="007269F5"/>
    <w:p w:rsidR="00BF05B6" w:rsidRPr="00AC6E50" w:rsidRDefault="00BF05B6" w:rsidP="00BF05B6">
      <w:pPr>
        <w:pStyle w:val="Heading2"/>
      </w:pPr>
      <w:r w:rsidRPr="00AC6E50">
        <w:t>Le règlement (UE) 2017/745 du 5 avril 2017</w:t>
      </w:r>
      <w:r w:rsidR="00F96A74" w:rsidRPr="00AC6E50">
        <w:rPr>
          <w:rStyle w:val="FootnoteReference"/>
        </w:rPr>
        <w:footnoteReference w:id="1"/>
      </w:r>
      <w:r w:rsidRPr="00AC6E50">
        <w:t xml:space="preserve"> établit un nouve</w:t>
      </w:r>
      <w:r w:rsidR="004E0555" w:rsidRPr="00AC6E50">
        <w:t>au cadre réglementaire visant à </w:t>
      </w:r>
      <w:r w:rsidRPr="00AC6E50">
        <w:t>garantir le bon fonctionnement du marché intérieur des dispositifs médicaux relevant dudit règlement, sur la base d’un niveau élevé de protection de la santé des patients et des utilisateurs, et compte tenu des petites et moyennes entreprises qu</w:t>
      </w:r>
      <w:r w:rsidR="004E0555" w:rsidRPr="00AC6E50">
        <w:t>i sont actives dans ce secteur.</w:t>
      </w:r>
    </w:p>
    <w:p w:rsidR="00BF05B6" w:rsidRPr="00AC6E50" w:rsidRDefault="00BF05B6" w:rsidP="00BF05B6">
      <w:pPr>
        <w:pStyle w:val="Heading2"/>
        <w:numPr>
          <w:ilvl w:val="0"/>
          <w:numId w:val="0"/>
        </w:numPr>
        <w:ind w:left="567"/>
      </w:pPr>
    </w:p>
    <w:p w:rsidR="00BF05B6" w:rsidRPr="00AC6E50" w:rsidRDefault="00BF05B6" w:rsidP="00BF05B6">
      <w:pPr>
        <w:pStyle w:val="Heading2"/>
      </w:pPr>
      <w:r w:rsidRPr="00AC6E50">
        <w:t>La pandémie de COVID-19 et la crise de santé publique actuelle constituent un défi sans précédent pour les États membres et représentent une lourde charge pour les autorités nationales, les établissements de santé, les professionnels de la santé, les citoyens européens et les opérateurs économiques. Des ressources supplémentaires et une augmentation des dispositifs médicaux vitaux disponibles s’imposent. Cette demande substantielle et supplémentaire n’a pas été anticipée – et ne pouvait pas l’être – lors de l’adopt</w:t>
      </w:r>
      <w:r w:rsidR="004E0555" w:rsidRPr="00AC6E50">
        <w:t>ion du règlement (UE) 2017/745.</w:t>
      </w:r>
    </w:p>
    <w:p w:rsidR="00BF05B6" w:rsidRPr="00AC6E50" w:rsidRDefault="00BF05B6" w:rsidP="00BF05B6">
      <w:pPr>
        <w:pStyle w:val="Heading2"/>
        <w:numPr>
          <w:ilvl w:val="0"/>
          <w:numId w:val="0"/>
        </w:numPr>
        <w:ind w:left="567"/>
      </w:pPr>
    </w:p>
    <w:p w:rsidR="00BF05B6" w:rsidRPr="00AC6E50" w:rsidRDefault="00BF05B6" w:rsidP="00BF05B6">
      <w:pPr>
        <w:pStyle w:val="Heading2"/>
      </w:pPr>
      <w:r w:rsidRPr="00AC6E50">
        <w:t>Par conséquent, il est très probable que les États membres, l</w:t>
      </w:r>
      <w:r w:rsidR="004E0555" w:rsidRPr="00AC6E50">
        <w:t>es établissements de santé, les </w:t>
      </w:r>
      <w:r w:rsidRPr="00AC6E50">
        <w:t>opérateurs économiques et les autres parties concernées ne seront pas en mesure d’assurer la mise en œuvre et l’application correctes du règlement à la date prévue du 26 mai 2020.</w:t>
      </w:r>
    </w:p>
    <w:p w:rsidR="00BF05B6" w:rsidRPr="00AC6E50" w:rsidRDefault="00BF05B6" w:rsidP="00BF05B6">
      <w:pPr>
        <w:pStyle w:val="Heading2"/>
        <w:numPr>
          <w:ilvl w:val="0"/>
          <w:numId w:val="0"/>
        </w:numPr>
        <w:ind w:left="567"/>
      </w:pPr>
    </w:p>
    <w:p w:rsidR="00344793" w:rsidRPr="00AC6E50" w:rsidRDefault="00BF05B6" w:rsidP="00BF05B6">
      <w:pPr>
        <w:pStyle w:val="Heading2"/>
      </w:pPr>
      <w:r w:rsidRPr="00AC6E50">
        <w:t>La proposition à l’examen vise à garantir les objectifs du règlement (UE) 2017/745 en différant d’une année l’application de certaines de ses dispositions. Elle implique également le report de la date d’abrogation des directives 90/385/CEE et 93/42/CEE au 26 mai 2021. En outre, elle vise également à rendre possible, à l’échelle de l’Union, des dérogations aux procédures normales d’évaluation de la conformité pour des dispositifs spécifiques, dans l’intérêt de la santé publique, afin de remédier efficacement aux éventuelles pénuries de dispositifs vitaux.</w:t>
      </w:r>
    </w:p>
    <w:p w:rsidR="00842969" w:rsidRPr="00AC6E50" w:rsidRDefault="00842969" w:rsidP="00344793"/>
    <w:p w:rsidR="00BF05B6" w:rsidRPr="00AC6E50" w:rsidRDefault="00BF05B6" w:rsidP="00155CE3">
      <w:pPr>
        <w:pStyle w:val="Heading1"/>
        <w:keepNext/>
        <w:keepLines/>
      </w:pPr>
      <w:r w:rsidRPr="00AC6E50">
        <w:rPr>
          <w:b/>
        </w:rPr>
        <w:t>Observations générales</w:t>
      </w:r>
    </w:p>
    <w:p w:rsidR="00842969" w:rsidRPr="00AC6E50" w:rsidRDefault="00842969" w:rsidP="00155CE3">
      <w:pPr>
        <w:keepNext/>
        <w:keepLines/>
      </w:pPr>
    </w:p>
    <w:p w:rsidR="00BF05B6" w:rsidRPr="00AC6E50" w:rsidRDefault="00BF05B6" w:rsidP="00F96A74">
      <w:pPr>
        <w:pStyle w:val="Heading2"/>
      </w:pPr>
      <w:r w:rsidRPr="00AC6E50">
        <w:t>Le CESE réaffirme la conviction, souvent exprimée dans ses avis, que la santé est hautement prioritaire pour les citoyens européens et rappelle que les dispositifs médicaux jouent un rôle crucial dans la prévention, le diagnostic et le traitement des maladies. Ils sont essentiels pour notre santé et pour la qualité de vie des personnes souffrant de maladies ou de handicaps.</w:t>
      </w:r>
    </w:p>
    <w:p w:rsidR="00F96A74" w:rsidRPr="00AC6E50" w:rsidRDefault="00F96A74" w:rsidP="00F96A74"/>
    <w:p w:rsidR="00BF05B6" w:rsidRPr="00AC6E50" w:rsidRDefault="00BF05B6" w:rsidP="00F96A74">
      <w:pPr>
        <w:pStyle w:val="Heading2"/>
      </w:pPr>
      <w:r w:rsidRPr="00AC6E50">
        <w:t xml:space="preserve">Le CESE souhaite également attirer l’attention sur le fait que, en raison de sa forte capacité d’innovation et de ses emplois hautement qualifiés, ce secteur représente une part importante de </w:t>
      </w:r>
      <w:r w:rsidRPr="00AC6E50">
        <w:lastRenderedPageBreak/>
        <w:t>l’économie européenne. Il est par conséquent essentiel, non seu</w:t>
      </w:r>
      <w:r w:rsidR="004E0555" w:rsidRPr="00AC6E50">
        <w:t>lement de garantir le niveau le </w:t>
      </w:r>
      <w:r w:rsidRPr="00AC6E50">
        <w:t>plus élevé possible de protection de la santé, mais aussi de tenir compte des intérêts d’un secteur où 80 % de la production manufacturière est assurée par des petites et moyennes entreprises et des micr</w:t>
      </w:r>
      <w:r w:rsidR="008A6AC8" w:rsidRPr="00AC6E50">
        <w:t>oe</w:t>
      </w:r>
      <w:r w:rsidRPr="00AC6E50">
        <w:t>ntreprises.</w:t>
      </w:r>
    </w:p>
    <w:p w:rsidR="00BF05B6" w:rsidRPr="00AC6E50" w:rsidRDefault="00BF05B6" w:rsidP="00BF05B6"/>
    <w:p w:rsidR="00BF05B6" w:rsidRPr="00AC6E50" w:rsidRDefault="00BF05B6" w:rsidP="00F96A74">
      <w:pPr>
        <w:pStyle w:val="Heading2"/>
      </w:pPr>
      <w:r w:rsidRPr="00AC6E50">
        <w:t>Le CESE est bien conscient que la crise du COVID-19 a créé des circonstances exceptionnelles qui ont une incidence sur différents domaines couverts par le règlement (UE) 2017/745. C’est le cas, par exemple, de la mise sur le marché et de la mise à disposition de dispositifs médicaux tels que des gants médicaux, des masques chirurgicaux, des équipements de soins intensifs et d’autres équipements médicaux, qui jouent un rôle crucial dans le contexte des crises liées au COVID-19.</w:t>
      </w:r>
    </w:p>
    <w:p w:rsidR="00BF05B6" w:rsidRPr="00AC6E50" w:rsidRDefault="00BF05B6" w:rsidP="00BF05B6"/>
    <w:p w:rsidR="00BF05B6" w:rsidRPr="00AC6E50" w:rsidRDefault="00BF05B6" w:rsidP="00F96A74">
      <w:pPr>
        <w:pStyle w:val="Heading2"/>
      </w:pPr>
      <w:r w:rsidRPr="00AC6E50">
        <w:t>La crise a donc entraîné un défi majeur et sans précédent pour les systèmes de santé des États membres et un lourd fardeau pour toutes les parties prenantes concernées (établissements de santé, professionnels de santé, patients et opérateurs économiques). Il est par conséquent probable que ceux-ci ne seront pas en mesure de garantir une mise en œuvre et une application correctes du règlement à la date initialement prévue du 26 mai 2020.</w:t>
      </w:r>
    </w:p>
    <w:p w:rsidR="00BF05B6" w:rsidRPr="00AC6E50" w:rsidRDefault="00BF05B6" w:rsidP="00BF05B6"/>
    <w:p w:rsidR="00BF05B6" w:rsidRPr="00AC6E50" w:rsidRDefault="00BF05B6" w:rsidP="00F96A74">
      <w:pPr>
        <w:pStyle w:val="Heading2"/>
      </w:pPr>
      <w:r w:rsidRPr="00AC6E50">
        <w:t>Le CESE est dès lors favorable à la proposition de prolongation d’une année de ce délai, ce qui apparaît comme une mesure raisonnable pour garantir le bon fonctionnement du marché intérieur, un niveau élevé de protection de la santé publique et de la sécurité des patients, ainsi que la sécurité juridique et, ce faisant, pour éviter d’éventuelles perturbations du marché.</w:t>
      </w:r>
    </w:p>
    <w:p w:rsidR="00F96A74" w:rsidRPr="00AC6E50" w:rsidRDefault="00F96A74" w:rsidP="00F96A74"/>
    <w:p w:rsidR="00BF05B6" w:rsidRPr="00AC6E50" w:rsidRDefault="00BF05B6" w:rsidP="00F96A74">
      <w:pPr>
        <w:pStyle w:val="Heading2"/>
      </w:pPr>
      <w:r w:rsidRPr="00AC6E50">
        <w:t>Enfin, le CESE souhaiterait réitérer la demande formulée dans son précédent avis sur le sujet, à savoir que le fonctionnement du règlement soit formellement réexaminé trois ans après son entrée en vigueur, conjointement par les autorités et les parties prenantes de la société civile, afin de s’assurer que ses objectifs seront atteints.</w:t>
      </w:r>
    </w:p>
    <w:p w:rsidR="00BF05B6" w:rsidRPr="00AC6E50" w:rsidRDefault="00BF05B6" w:rsidP="00344793"/>
    <w:p w:rsidR="00891166" w:rsidRPr="00AC6E50" w:rsidRDefault="00891166" w:rsidP="00344793"/>
    <w:p w:rsidR="00891166" w:rsidRPr="00AC6E50" w:rsidRDefault="00891166" w:rsidP="00344793"/>
    <w:p w:rsidR="000A6C3C" w:rsidRPr="00AC15A5" w:rsidRDefault="000A6C3C" w:rsidP="000A6C3C">
      <w:pPr>
        <w:tabs>
          <w:tab w:val="left" w:pos="4621"/>
        </w:tabs>
        <w:spacing w:line="264" w:lineRule="auto"/>
        <w:jc w:val="left"/>
      </w:pPr>
      <w:r>
        <w:t>Luca JAHIER</w:t>
      </w:r>
    </w:p>
    <w:p w:rsidR="000A6C3C" w:rsidRPr="00AC15A5" w:rsidRDefault="000A6C3C" w:rsidP="000A6C3C">
      <w:pPr>
        <w:tabs>
          <w:tab w:val="left" w:pos="4621"/>
        </w:tabs>
        <w:spacing w:line="264" w:lineRule="auto"/>
        <w:jc w:val="left"/>
        <w:rPr>
          <w:rFonts w:eastAsia="PMingLiU"/>
          <w:snapToGrid w:val="0"/>
          <w:szCs w:val="24"/>
        </w:rPr>
      </w:pPr>
      <w:r>
        <w:t>Président du Comité économique et social européen</w:t>
      </w:r>
    </w:p>
    <w:p w:rsidR="00EF2989" w:rsidRPr="00AC6E50" w:rsidRDefault="00EF2989" w:rsidP="00AF4606"/>
    <w:p w:rsidR="00EF2989" w:rsidRPr="00AC6E50" w:rsidRDefault="00EF2989" w:rsidP="00AF4606">
      <w:pPr>
        <w:jc w:val="center"/>
      </w:pPr>
      <w:r w:rsidRPr="00AC6E50">
        <w:t>_____________</w:t>
      </w:r>
    </w:p>
    <w:sectPr w:rsidR="00EF2989" w:rsidRPr="00AC6E50" w:rsidSect="00AC6E50">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BE" w:rsidRDefault="007071BE">
      <w:pPr>
        <w:rPr>
          <w:szCs w:val="24"/>
        </w:rPr>
      </w:pPr>
      <w:r>
        <w:rPr>
          <w:szCs w:val="24"/>
        </w:rPr>
        <w:separator/>
      </w:r>
    </w:p>
  </w:endnote>
  <w:endnote w:type="continuationSeparator" w:id="0">
    <w:p w:rsidR="007071BE" w:rsidRDefault="007071B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81" w:rsidRPr="00AC6E50" w:rsidRDefault="00E54181" w:rsidP="00AC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7" w:rsidRPr="00AC6E50" w:rsidRDefault="00AC6E50" w:rsidP="00AC6E50">
    <w:pPr>
      <w:pStyle w:val="Footer"/>
    </w:pPr>
    <w:r>
      <w:t xml:space="preserve">INT/907 – EESC-2020-01752-00-00-PAC-TRA (EN) </w:t>
    </w:r>
    <w:r>
      <w:fldChar w:fldCharType="begin"/>
    </w:r>
    <w:r>
      <w:instrText xml:space="preserve"> PAGE  \* Arabic  \* MERGEFORMAT </w:instrText>
    </w:r>
    <w:r>
      <w:fldChar w:fldCharType="separate"/>
    </w:r>
    <w:r w:rsidR="00DA74EC">
      <w:rPr>
        <w:noProof/>
      </w:rPr>
      <w:t>1</w:t>
    </w:r>
    <w:r>
      <w:fldChar w:fldCharType="end"/>
    </w:r>
    <w:r>
      <w:t>/</w:t>
    </w:r>
    <w:r>
      <w:fldChar w:fldCharType="begin"/>
    </w:r>
    <w:r>
      <w:instrText xml:space="preserve"> = </w:instrText>
    </w:r>
    <w:r w:rsidR="007071BE">
      <w:fldChar w:fldCharType="begin"/>
    </w:r>
    <w:r w:rsidR="007071BE">
      <w:instrText xml:space="preserve"> NUMPAGES </w:instrText>
    </w:r>
    <w:r w:rsidR="007071BE">
      <w:fldChar w:fldCharType="separate"/>
    </w:r>
    <w:r w:rsidR="00DA74EC">
      <w:rPr>
        <w:noProof/>
      </w:rPr>
      <w:instrText>4</w:instrText>
    </w:r>
    <w:r w:rsidR="007071BE">
      <w:rPr>
        <w:noProof/>
      </w:rPr>
      <w:fldChar w:fldCharType="end"/>
    </w:r>
    <w:r>
      <w:instrText xml:space="preserve"> -0 </w:instrText>
    </w:r>
    <w:r>
      <w:fldChar w:fldCharType="separate"/>
    </w:r>
    <w:r w:rsidR="00DA74E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81" w:rsidRPr="00AC6E50" w:rsidRDefault="00E54181" w:rsidP="00AC6E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7" w:rsidRPr="00AC6E50" w:rsidRDefault="00F333D7" w:rsidP="00AC6E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7" w:rsidRPr="00AC6E50" w:rsidRDefault="00AC6E50" w:rsidP="00AC6E50">
    <w:pPr>
      <w:pStyle w:val="Footer"/>
    </w:pPr>
    <w:r>
      <w:t xml:space="preserve">INT/907 – EESC-2020-01752-00-00-PAC-TRA (EN) </w:t>
    </w:r>
    <w:r>
      <w:fldChar w:fldCharType="begin"/>
    </w:r>
    <w:r>
      <w:instrText xml:space="preserve"> PAGE  \* Arabic  \* MERGEFORMAT </w:instrText>
    </w:r>
    <w:r>
      <w:fldChar w:fldCharType="separate"/>
    </w:r>
    <w:r w:rsidR="00DA74EC">
      <w:rPr>
        <w:noProof/>
      </w:rPr>
      <w:t>2</w:t>
    </w:r>
    <w:r>
      <w:fldChar w:fldCharType="end"/>
    </w:r>
    <w:r>
      <w:t>/</w:t>
    </w:r>
    <w:r>
      <w:fldChar w:fldCharType="begin"/>
    </w:r>
    <w:r>
      <w:instrText xml:space="preserve"> = </w:instrText>
    </w:r>
    <w:r w:rsidR="007071BE">
      <w:fldChar w:fldCharType="begin"/>
    </w:r>
    <w:r w:rsidR="007071BE">
      <w:instrText xml:space="preserve"> NUMPAGES </w:instrText>
    </w:r>
    <w:r w:rsidR="007071BE">
      <w:fldChar w:fldCharType="separate"/>
    </w:r>
    <w:r w:rsidR="00DA74EC">
      <w:rPr>
        <w:noProof/>
      </w:rPr>
      <w:instrText>4</w:instrText>
    </w:r>
    <w:r w:rsidR="007071BE">
      <w:rPr>
        <w:noProof/>
      </w:rPr>
      <w:fldChar w:fldCharType="end"/>
    </w:r>
    <w:r>
      <w:instrText xml:space="preserve"> -0 </w:instrText>
    </w:r>
    <w:r>
      <w:fldChar w:fldCharType="separate"/>
    </w:r>
    <w:r w:rsidR="00DA74EC">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7" w:rsidRPr="00AC6E50" w:rsidRDefault="00F333D7" w:rsidP="00AC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BE" w:rsidRDefault="007071BE">
      <w:pPr>
        <w:rPr>
          <w:szCs w:val="24"/>
        </w:rPr>
      </w:pPr>
      <w:r>
        <w:rPr>
          <w:szCs w:val="24"/>
        </w:rPr>
        <w:separator/>
      </w:r>
    </w:p>
  </w:footnote>
  <w:footnote w:type="continuationSeparator" w:id="0">
    <w:p w:rsidR="007071BE" w:rsidRDefault="007071BE">
      <w:pPr>
        <w:rPr>
          <w:szCs w:val="24"/>
        </w:rPr>
      </w:pPr>
      <w:r>
        <w:rPr>
          <w:szCs w:val="24"/>
        </w:rPr>
        <w:continuationSeparator/>
      </w:r>
    </w:p>
  </w:footnote>
  <w:footnote w:id="1">
    <w:p w:rsidR="00F96A74" w:rsidRPr="00AC6E50" w:rsidRDefault="00F96A74">
      <w:pPr>
        <w:pStyle w:val="FootnoteText"/>
      </w:pPr>
      <w:r w:rsidRPr="00AC6E50">
        <w:rPr>
          <w:rStyle w:val="FootnoteReference"/>
        </w:rPr>
        <w:footnoteRef/>
      </w:r>
      <w:r w:rsidRPr="00AC6E50">
        <w:tab/>
        <w:t>Règlement (UE) 2017/745 du Parlement européen et du Conseil du 5 avril 2017 relatif aux dispositifs médicaux, modifiant la directive 2001/83/CE, le règlement (CE) nº 178/2002 et le règlement (CE) nº 1223/2009 et abrogeant les dire</w:t>
      </w:r>
      <w:r w:rsidR="004E0555" w:rsidRPr="00AC6E50">
        <w:t>ctives du Conseil 90/385/CEE et </w:t>
      </w:r>
      <w:r w:rsidRPr="00AC6E50">
        <w:t>93/42/CEE (</w:t>
      </w:r>
      <w:hyperlink r:id="rId1" w:history="1">
        <w:r w:rsidRPr="00AC6E50">
          <w:rPr>
            <w:rStyle w:val="Hyperlink"/>
          </w:rPr>
          <w:t>JO L 117 du 5.</w:t>
        </w:r>
        <w:r w:rsidR="008A6AC8" w:rsidRPr="00AC6E50">
          <w:rPr>
            <w:rStyle w:val="Hyperlink"/>
          </w:rPr>
          <w:t>5.2017</w:t>
        </w:r>
        <w:r w:rsidRPr="00AC6E50">
          <w:rPr>
            <w:rStyle w:val="Hyperlink"/>
          </w:rPr>
          <w:t>, p. 1</w:t>
        </w:r>
      </w:hyperlink>
      <w:r w:rsidRPr="00AC6E50">
        <w:t xml:space="preserve">) – avis du CESE: </w:t>
      </w:r>
      <w:hyperlink r:id="rId2" w:history="1">
        <w:r w:rsidRPr="00AC6E50">
          <w:rPr>
            <w:rStyle w:val="Hyperlink"/>
          </w:rPr>
          <w:t>JO C 133 du 9.</w:t>
        </w:r>
        <w:r w:rsidR="008A6AC8" w:rsidRPr="00AC6E50">
          <w:rPr>
            <w:rStyle w:val="Hyperlink"/>
          </w:rPr>
          <w:t>5.2013</w:t>
        </w:r>
        <w:r w:rsidRPr="00AC6E50">
          <w:rPr>
            <w:rStyle w:val="Hyperlink"/>
          </w:rPr>
          <w:t>, p. 52</w:t>
        </w:r>
      </w:hyperlink>
      <w:r w:rsidRPr="00AC6E5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81" w:rsidRPr="00AC6E50" w:rsidRDefault="00E54181" w:rsidP="00AC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81" w:rsidRPr="00AC6E50" w:rsidRDefault="00E54181" w:rsidP="00AC6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81" w:rsidRPr="00AC6E50" w:rsidRDefault="00E54181" w:rsidP="00AC6E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7" w:rsidRPr="00AC6E50" w:rsidRDefault="00F333D7" w:rsidP="00AC6E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7" w:rsidRPr="00AC6E50" w:rsidRDefault="00F333D7" w:rsidP="00AC6E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D7" w:rsidRPr="00AC6E50" w:rsidRDefault="00F333D7" w:rsidP="00AC6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2AA3"/>
    <w:rsid w:val="00003D15"/>
    <w:rsid w:val="00003D2E"/>
    <w:rsid w:val="00005798"/>
    <w:rsid w:val="00005B58"/>
    <w:rsid w:val="000076D0"/>
    <w:rsid w:val="00007F20"/>
    <w:rsid w:val="00015227"/>
    <w:rsid w:val="00016725"/>
    <w:rsid w:val="00042120"/>
    <w:rsid w:val="00042A27"/>
    <w:rsid w:val="00042E52"/>
    <w:rsid w:val="00043001"/>
    <w:rsid w:val="00045D36"/>
    <w:rsid w:val="00047CC3"/>
    <w:rsid w:val="00050E8E"/>
    <w:rsid w:val="000569CC"/>
    <w:rsid w:val="000631EC"/>
    <w:rsid w:val="00066FCE"/>
    <w:rsid w:val="00071BFF"/>
    <w:rsid w:val="00071D31"/>
    <w:rsid w:val="00080135"/>
    <w:rsid w:val="000803FA"/>
    <w:rsid w:val="00081FFD"/>
    <w:rsid w:val="00082FF4"/>
    <w:rsid w:val="00083122"/>
    <w:rsid w:val="000900CD"/>
    <w:rsid w:val="0009464E"/>
    <w:rsid w:val="00097887"/>
    <w:rsid w:val="000A55DE"/>
    <w:rsid w:val="000A6C3C"/>
    <w:rsid w:val="000B0E1C"/>
    <w:rsid w:val="000B10AA"/>
    <w:rsid w:val="000B1FB1"/>
    <w:rsid w:val="000C276F"/>
    <w:rsid w:val="000C5BC0"/>
    <w:rsid w:val="000D090E"/>
    <w:rsid w:val="000E7D3B"/>
    <w:rsid w:val="000F0C8B"/>
    <w:rsid w:val="0010030A"/>
    <w:rsid w:val="00101237"/>
    <w:rsid w:val="00101B16"/>
    <w:rsid w:val="00102ECF"/>
    <w:rsid w:val="00104428"/>
    <w:rsid w:val="00113263"/>
    <w:rsid w:val="0011473F"/>
    <w:rsid w:val="0011701F"/>
    <w:rsid w:val="001229D3"/>
    <w:rsid w:val="001269C4"/>
    <w:rsid w:val="00126DC8"/>
    <w:rsid w:val="00131468"/>
    <w:rsid w:val="00141569"/>
    <w:rsid w:val="0014174B"/>
    <w:rsid w:val="00141B54"/>
    <w:rsid w:val="00146AFA"/>
    <w:rsid w:val="00153A15"/>
    <w:rsid w:val="00153F43"/>
    <w:rsid w:val="00155CE3"/>
    <w:rsid w:val="00163AD8"/>
    <w:rsid w:val="001642FE"/>
    <w:rsid w:val="001662F0"/>
    <w:rsid w:val="00171266"/>
    <w:rsid w:val="0017170C"/>
    <w:rsid w:val="001852BD"/>
    <w:rsid w:val="00191F1C"/>
    <w:rsid w:val="00195BDD"/>
    <w:rsid w:val="001A16D7"/>
    <w:rsid w:val="001A1BED"/>
    <w:rsid w:val="001A3309"/>
    <w:rsid w:val="001B4276"/>
    <w:rsid w:val="001B5D45"/>
    <w:rsid w:val="001C4DA4"/>
    <w:rsid w:val="001C50AD"/>
    <w:rsid w:val="001C5DEA"/>
    <w:rsid w:val="001D06D3"/>
    <w:rsid w:val="001D174C"/>
    <w:rsid w:val="001E1BED"/>
    <w:rsid w:val="001E54AF"/>
    <w:rsid w:val="001E7C55"/>
    <w:rsid w:val="001F0210"/>
    <w:rsid w:val="00201894"/>
    <w:rsid w:val="002031AE"/>
    <w:rsid w:val="00207881"/>
    <w:rsid w:val="0021120F"/>
    <w:rsid w:val="00211E85"/>
    <w:rsid w:val="00213A58"/>
    <w:rsid w:val="00213F4C"/>
    <w:rsid w:val="0021796E"/>
    <w:rsid w:val="00224A0E"/>
    <w:rsid w:val="00232AE0"/>
    <w:rsid w:val="00234A2C"/>
    <w:rsid w:val="002369F1"/>
    <w:rsid w:val="00237BE7"/>
    <w:rsid w:val="00241F18"/>
    <w:rsid w:val="0024613D"/>
    <w:rsid w:val="00251E7D"/>
    <w:rsid w:val="002571F7"/>
    <w:rsid w:val="00265591"/>
    <w:rsid w:val="0026566F"/>
    <w:rsid w:val="00266584"/>
    <w:rsid w:val="002736B7"/>
    <w:rsid w:val="002739CA"/>
    <w:rsid w:val="0027691E"/>
    <w:rsid w:val="00281A69"/>
    <w:rsid w:val="00282103"/>
    <w:rsid w:val="002844B6"/>
    <w:rsid w:val="002846AA"/>
    <w:rsid w:val="002932A5"/>
    <w:rsid w:val="00295D91"/>
    <w:rsid w:val="00297787"/>
    <w:rsid w:val="00297CE7"/>
    <w:rsid w:val="002A16D6"/>
    <w:rsid w:val="002B38D6"/>
    <w:rsid w:val="002C14F1"/>
    <w:rsid w:val="002C1D72"/>
    <w:rsid w:val="002C615A"/>
    <w:rsid w:val="002C7F07"/>
    <w:rsid w:val="002E3DC9"/>
    <w:rsid w:val="00301230"/>
    <w:rsid w:val="00313881"/>
    <w:rsid w:val="00313DB7"/>
    <w:rsid w:val="0032612A"/>
    <w:rsid w:val="00326C6D"/>
    <w:rsid w:val="00332184"/>
    <w:rsid w:val="00333D28"/>
    <w:rsid w:val="00335D33"/>
    <w:rsid w:val="00340FFF"/>
    <w:rsid w:val="00344793"/>
    <w:rsid w:val="00346A8F"/>
    <w:rsid w:val="00346C8F"/>
    <w:rsid w:val="003500EF"/>
    <w:rsid w:val="00356692"/>
    <w:rsid w:val="00365145"/>
    <w:rsid w:val="00365E4B"/>
    <w:rsid w:val="00374658"/>
    <w:rsid w:val="003801EF"/>
    <w:rsid w:val="00393351"/>
    <w:rsid w:val="00393721"/>
    <w:rsid w:val="003953DF"/>
    <w:rsid w:val="0039540C"/>
    <w:rsid w:val="00397C61"/>
    <w:rsid w:val="003A087F"/>
    <w:rsid w:val="003A1278"/>
    <w:rsid w:val="003A2AD9"/>
    <w:rsid w:val="003A36EB"/>
    <w:rsid w:val="003A7792"/>
    <w:rsid w:val="003B2126"/>
    <w:rsid w:val="003B23A7"/>
    <w:rsid w:val="003B390F"/>
    <w:rsid w:val="003C08B9"/>
    <w:rsid w:val="003C12B7"/>
    <w:rsid w:val="003C2A89"/>
    <w:rsid w:val="003C50F3"/>
    <w:rsid w:val="003D0ECA"/>
    <w:rsid w:val="003D366E"/>
    <w:rsid w:val="003E072E"/>
    <w:rsid w:val="003F29DB"/>
    <w:rsid w:val="003F2CEE"/>
    <w:rsid w:val="003F3EE1"/>
    <w:rsid w:val="003F48E5"/>
    <w:rsid w:val="003F6E7C"/>
    <w:rsid w:val="003F7F49"/>
    <w:rsid w:val="00403FE2"/>
    <w:rsid w:val="004043A1"/>
    <w:rsid w:val="004049FD"/>
    <w:rsid w:val="0040639C"/>
    <w:rsid w:val="00406A55"/>
    <w:rsid w:val="0041583F"/>
    <w:rsid w:val="004223E9"/>
    <w:rsid w:val="00422ACA"/>
    <w:rsid w:val="00426954"/>
    <w:rsid w:val="00430B53"/>
    <w:rsid w:val="00433F80"/>
    <w:rsid w:val="0043783C"/>
    <w:rsid w:val="00437DE7"/>
    <w:rsid w:val="00442D77"/>
    <w:rsid w:val="004545B0"/>
    <w:rsid w:val="0045743D"/>
    <w:rsid w:val="00462B71"/>
    <w:rsid w:val="00470DF9"/>
    <w:rsid w:val="004715F0"/>
    <w:rsid w:val="0047236B"/>
    <w:rsid w:val="00473680"/>
    <w:rsid w:val="0047424E"/>
    <w:rsid w:val="00474AC5"/>
    <w:rsid w:val="00475077"/>
    <w:rsid w:val="004840D8"/>
    <w:rsid w:val="00484225"/>
    <w:rsid w:val="00491340"/>
    <w:rsid w:val="00491425"/>
    <w:rsid w:val="004958DD"/>
    <w:rsid w:val="004A167D"/>
    <w:rsid w:val="004A291E"/>
    <w:rsid w:val="004A2DA2"/>
    <w:rsid w:val="004A3135"/>
    <w:rsid w:val="004A5D51"/>
    <w:rsid w:val="004B0A25"/>
    <w:rsid w:val="004B5E60"/>
    <w:rsid w:val="004C1975"/>
    <w:rsid w:val="004C1BB5"/>
    <w:rsid w:val="004C2B95"/>
    <w:rsid w:val="004C3A7D"/>
    <w:rsid w:val="004D0142"/>
    <w:rsid w:val="004D4B79"/>
    <w:rsid w:val="004D77F7"/>
    <w:rsid w:val="004E0555"/>
    <w:rsid w:val="004E17A3"/>
    <w:rsid w:val="004E2AD6"/>
    <w:rsid w:val="004E2B7D"/>
    <w:rsid w:val="004E2BD5"/>
    <w:rsid w:val="004E3E5E"/>
    <w:rsid w:val="004E43E0"/>
    <w:rsid w:val="004E4828"/>
    <w:rsid w:val="004E6D87"/>
    <w:rsid w:val="004F200B"/>
    <w:rsid w:val="004F7B5C"/>
    <w:rsid w:val="005001EA"/>
    <w:rsid w:val="00500D5F"/>
    <w:rsid w:val="00500FF3"/>
    <w:rsid w:val="00501012"/>
    <w:rsid w:val="00502AEE"/>
    <w:rsid w:val="0051386A"/>
    <w:rsid w:val="005161F4"/>
    <w:rsid w:val="005244AB"/>
    <w:rsid w:val="00535657"/>
    <w:rsid w:val="005433FD"/>
    <w:rsid w:val="00544B60"/>
    <w:rsid w:val="0055116F"/>
    <w:rsid w:val="00554074"/>
    <w:rsid w:val="00562CC4"/>
    <w:rsid w:val="00567247"/>
    <w:rsid w:val="00570F1B"/>
    <w:rsid w:val="00580346"/>
    <w:rsid w:val="00582F0B"/>
    <w:rsid w:val="005832BE"/>
    <w:rsid w:val="00583CC8"/>
    <w:rsid w:val="00584C1A"/>
    <w:rsid w:val="00596CC3"/>
    <w:rsid w:val="005A2D98"/>
    <w:rsid w:val="005A5ADD"/>
    <w:rsid w:val="005A6213"/>
    <w:rsid w:val="005B1674"/>
    <w:rsid w:val="005B3D0B"/>
    <w:rsid w:val="005C16DE"/>
    <w:rsid w:val="005C7551"/>
    <w:rsid w:val="005D2A8F"/>
    <w:rsid w:val="005E099F"/>
    <w:rsid w:val="005F7529"/>
    <w:rsid w:val="005F7DC6"/>
    <w:rsid w:val="00601BA1"/>
    <w:rsid w:val="00604CB1"/>
    <w:rsid w:val="00610211"/>
    <w:rsid w:val="00611EBC"/>
    <w:rsid w:val="00612FBF"/>
    <w:rsid w:val="00614660"/>
    <w:rsid w:val="006168BE"/>
    <w:rsid w:val="0062067E"/>
    <w:rsid w:val="00620ECD"/>
    <w:rsid w:val="00626852"/>
    <w:rsid w:val="00626B1D"/>
    <w:rsid w:val="0064112A"/>
    <w:rsid w:val="0064709E"/>
    <w:rsid w:val="0065228A"/>
    <w:rsid w:val="00657988"/>
    <w:rsid w:val="006658FC"/>
    <w:rsid w:val="00665CE2"/>
    <w:rsid w:val="00667C39"/>
    <w:rsid w:val="0067677F"/>
    <w:rsid w:val="00676C5B"/>
    <w:rsid w:val="00681A5F"/>
    <w:rsid w:val="006919B2"/>
    <w:rsid w:val="006960FC"/>
    <w:rsid w:val="006962EB"/>
    <w:rsid w:val="006A27EC"/>
    <w:rsid w:val="006A4370"/>
    <w:rsid w:val="006A564A"/>
    <w:rsid w:val="006B5B2F"/>
    <w:rsid w:val="006C3F77"/>
    <w:rsid w:val="006C6EF3"/>
    <w:rsid w:val="006D2018"/>
    <w:rsid w:val="006E3C72"/>
    <w:rsid w:val="006E43C4"/>
    <w:rsid w:val="006E44EB"/>
    <w:rsid w:val="006F38CE"/>
    <w:rsid w:val="0070513C"/>
    <w:rsid w:val="007053E3"/>
    <w:rsid w:val="007071BE"/>
    <w:rsid w:val="0070743D"/>
    <w:rsid w:val="00714FC2"/>
    <w:rsid w:val="00720EDC"/>
    <w:rsid w:val="00722AA6"/>
    <w:rsid w:val="007247BE"/>
    <w:rsid w:val="007269F5"/>
    <w:rsid w:val="0073248A"/>
    <w:rsid w:val="007469FF"/>
    <w:rsid w:val="00762F26"/>
    <w:rsid w:val="00763EF7"/>
    <w:rsid w:val="00765847"/>
    <w:rsid w:val="007669A9"/>
    <w:rsid w:val="007741A7"/>
    <w:rsid w:val="00784CC0"/>
    <w:rsid w:val="00791924"/>
    <w:rsid w:val="007A75FD"/>
    <w:rsid w:val="007B4C2E"/>
    <w:rsid w:val="007B5272"/>
    <w:rsid w:val="007B7A8E"/>
    <w:rsid w:val="007C0521"/>
    <w:rsid w:val="007C10D9"/>
    <w:rsid w:val="007C5B53"/>
    <w:rsid w:val="007D08EC"/>
    <w:rsid w:val="007E3DEC"/>
    <w:rsid w:val="007E4153"/>
    <w:rsid w:val="007E5FC4"/>
    <w:rsid w:val="007E6B72"/>
    <w:rsid w:val="007F1A4B"/>
    <w:rsid w:val="00803D73"/>
    <w:rsid w:val="00806889"/>
    <w:rsid w:val="0080709D"/>
    <w:rsid w:val="00807133"/>
    <w:rsid w:val="00813F7E"/>
    <w:rsid w:val="008219DC"/>
    <w:rsid w:val="00821FB1"/>
    <w:rsid w:val="00825441"/>
    <w:rsid w:val="00832D38"/>
    <w:rsid w:val="008344C9"/>
    <w:rsid w:val="00842969"/>
    <w:rsid w:val="00843861"/>
    <w:rsid w:val="00843E7F"/>
    <w:rsid w:val="0084631C"/>
    <w:rsid w:val="00847D40"/>
    <w:rsid w:val="00850018"/>
    <w:rsid w:val="008502D8"/>
    <w:rsid w:val="00852804"/>
    <w:rsid w:val="00855F2F"/>
    <w:rsid w:val="008575A8"/>
    <w:rsid w:val="00861422"/>
    <w:rsid w:val="00861A57"/>
    <w:rsid w:val="0086617B"/>
    <w:rsid w:val="008712B4"/>
    <w:rsid w:val="008724B2"/>
    <w:rsid w:val="00872590"/>
    <w:rsid w:val="00874DE5"/>
    <w:rsid w:val="00875BAB"/>
    <w:rsid w:val="00875BE6"/>
    <w:rsid w:val="00876BC4"/>
    <w:rsid w:val="008847D4"/>
    <w:rsid w:val="00891166"/>
    <w:rsid w:val="00892459"/>
    <w:rsid w:val="0089255D"/>
    <w:rsid w:val="00893BED"/>
    <w:rsid w:val="00893E77"/>
    <w:rsid w:val="0089788B"/>
    <w:rsid w:val="008A249C"/>
    <w:rsid w:val="008A2609"/>
    <w:rsid w:val="008A5205"/>
    <w:rsid w:val="008A6AC8"/>
    <w:rsid w:val="008A7314"/>
    <w:rsid w:val="008B1C74"/>
    <w:rsid w:val="008B389E"/>
    <w:rsid w:val="008B5231"/>
    <w:rsid w:val="008B5D5B"/>
    <w:rsid w:val="008B6F26"/>
    <w:rsid w:val="008C3468"/>
    <w:rsid w:val="008C473F"/>
    <w:rsid w:val="008D0DD4"/>
    <w:rsid w:val="008D3576"/>
    <w:rsid w:val="008D464B"/>
    <w:rsid w:val="008D61C5"/>
    <w:rsid w:val="008E6858"/>
    <w:rsid w:val="008F0EA3"/>
    <w:rsid w:val="008F6234"/>
    <w:rsid w:val="008F6F37"/>
    <w:rsid w:val="008F7BB9"/>
    <w:rsid w:val="009047CA"/>
    <w:rsid w:val="00911E1F"/>
    <w:rsid w:val="009147E1"/>
    <w:rsid w:val="009176B2"/>
    <w:rsid w:val="00926512"/>
    <w:rsid w:val="00951A2E"/>
    <w:rsid w:val="00954A9E"/>
    <w:rsid w:val="00974E24"/>
    <w:rsid w:val="00981F98"/>
    <w:rsid w:val="00992947"/>
    <w:rsid w:val="00993D10"/>
    <w:rsid w:val="009941FE"/>
    <w:rsid w:val="00995A2A"/>
    <w:rsid w:val="009968DC"/>
    <w:rsid w:val="009B105B"/>
    <w:rsid w:val="009B6EEA"/>
    <w:rsid w:val="009B778B"/>
    <w:rsid w:val="009C32BD"/>
    <w:rsid w:val="009C4604"/>
    <w:rsid w:val="009C4B1D"/>
    <w:rsid w:val="009C6576"/>
    <w:rsid w:val="009D3820"/>
    <w:rsid w:val="009F2F4D"/>
    <w:rsid w:val="00A02B60"/>
    <w:rsid w:val="00A142EC"/>
    <w:rsid w:val="00A15A7A"/>
    <w:rsid w:val="00A16FF3"/>
    <w:rsid w:val="00A23399"/>
    <w:rsid w:val="00A25121"/>
    <w:rsid w:val="00A26B6E"/>
    <w:rsid w:val="00A3107A"/>
    <w:rsid w:val="00A36B80"/>
    <w:rsid w:val="00A41A31"/>
    <w:rsid w:val="00A45523"/>
    <w:rsid w:val="00A47171"/>
    <w:rsid w:val="00A52747"/>
    <w:rsid w:val="00A63583"/>
    <w:rsid w:val="00A649AC"/>
    <w:rsid w:val="00A66134"/>
    <w:rsid w:val="00A67D1B"/>
    <w:rsid w:val="00A67E07"/>
    <w:rsid w:val="00A70BE4"/>
    <w:rsid w:val="00A8089D"/>
    <w:rsid w:val="00A82D74"/>
    <w:rsid w:val="00A85561"/>
    <w:rsid w:val="00A900FF"/>
    <w:rsid w:val="00AA22AF"/>
    <w:rsid w:val="00AA28DD"/>
    <w:rsid w:val="00AA34BD"/>
    <w:rsid w:val="00AA4D4B"/>
    <w:rsid w:val="00AA6FEC"/>
    <w:rsid w:val="00AA79A6"/>
    <w:rsid w:val="00AB0534"/>
    <w:rsid w:val="00AB21F6"/>
    <w:rsid w:val="00AC2C7F"/>
    <w:rsid w:val="00AC3F45"/>
    <w:rsid w:val="00AC6350"/>
    <w:rsid w:val="00AC6E50"/>
    <w:rsid w:val="00AC7A56"/>
    <w:rsid w:val="00AD2FF1"/>
    <w:rsid w:val="00AD6B79"/>
    <w:rsid w:val="00AD71A0"/>
    <w:rsid w:val="00AE3EA4"/>
    <w:rsid w:val="00AF27BB"/>
    <w:rsid w:val="00AF4606"/>
    <w:rsid w:val="00AF4A62"/>
    <w:rsid w:val="00AF5659"/>
    <w:rsid w:val="00AF64E4"/>
    <w:rsid w:val="00B01489"/>
    <w:rsid w:val="00B034C6"/>
    <w:rsid w:val="00B03C3E"/>
    <w:rsid w:val="00B07A9D"/>
    <w:rsid w:val="00B10309"/>
    <w:rsid w:val="00B1090C"/>
    <w:rsid w:val="00B13743"/>
    <w:rsid w:val="00B14E01"/>
    <w:rsid w:val="00B24479"/>
    <w:rsid w:val="00B25D60"/>
    <w:rsid w:val="00B30E48"/>
    <w:rsid w:val="00B32204"/>
    <w:rsid w:val="00B32508"/>
    <w:rsid w:val="00B33A9F"/>
    <w:rsid w:val="00B36AA4"/>
    <w:rsid w:val="00B41551"/>
    <w:rsid w:val="00B471ED"/>
    <w:rsid w:val="00B47C68"/>
    <w:rsid w:val="00B54BD5"/>
    <w:rsid w:val="00B56625"/>
    <w:rsid w:val="00B61BDC"/>
    <w:rsid w:val="00B708DF"/>
    <w:rsid w:val="00B72422"/>
    <w:rsid w:val="00B7655A"/>
    <w:rsid w:val="00B765A9"/>
    <w:rsid w:val="00B80BBF"/>
    <w:rsid w:val="00B83E7A"/>
    <w:rsid w:val="00B84AB3"/>
    <w:rsid w:val="00B8512F"/>
    <w:rsid w:val="00B86311"/>
    <w:rsid w:val="00B91C87"/>
    <w:rsid w:val="00B92439"/>
    <w:rsid w:val="00B93565"/>
    <w:rsid w:val="00B96EC1"/>
    <w:rsid w:val="00B9715A"/>
    <w:rsid w:val="00B97A1E"/>
    <w:rsid w:val="00B97BF8"/>
    <w:rsid w:val="00BA0178"/>
    <w:rsid w:val="00BA1FBF"/>
    <w:rsid w:val="00BA546F"/>
    <w:rsid w:val="00BA5486"/>
    <w:rsid w:val="00BA6174"/>
    <w:rsid w:val="00BA6B0F"/>
    <w:rsid w:val="00BB0DFF"/>
    <w:rsid w:val="00BB197C"/>
    <w:rsid w:val="00BB1D43"/>
    <w:rsid w:val="00BB660B"/>
    <w:rsid w:val="00BB6A6C"/>
    <w:rsid w:val="00BB79D5"/>
    <w:rsid w:val="00BD1B03"/>
    <w:rsid w:val="00BD26DA"/>
    <w:rsid w:val="00BE447F"/>
    <w:rsid w:val="00BE5B6F"/>
    <w:rsid w:val="00BE7446"/>
    <w:rsid w:val="00BE7920"/>
    <w:rsid w:val="00BE7A13"/>
    <w:rsid w:val="00BF05B6"/>
    <w:rsid w:val="00BF17A0"/>
    <w:rsid w:val="00BF1D45"/>
    <w:rsid w:val="00BF4056"/>
    <w:rsid w:val="00BF5324"/>
    <w:rsid w:val="00C066E7"/>
    <w:rsid w:val="00C07671"/>
    <w:rsid w:val="00C136BB"/>
    <w:rsid w:val="00C14951"/>
    <w:rsid w:val="00C15C7E"/>
    <w:rsid w:val="00C270D2"/>
    <w:rsid w:val="00C41F38"/>
    <w:rsid w:val="00C4326D"/>
    <w:rsid w:val="00C47CD1"/>
    <w:rsid w:val="00C505B5"/>
    <w:rsid w:val="00C52983"/>
    <w:rsid w:val="00C56B11"/>
    <w:rsid w:val="00C6060A"/>
    <w:rsid w:val="00C62083"/>
    <w:rsid w:val="00C65B19"/>
    <w:rsid w:val="00C66063"/>
    <w:rsid w:val="00C6742B"/>
    <w:rsid w:val="00C71FC9"/>
    <w:rsid w:val="00C733A9"/>
    <w:rsid w:val="00C86E31"/>
    <w:rsid w:val="00C970DE"/>
    <w:rsid w:val="00CA1A8F"/>
    <w:rsid w:val="00CB055E"/>
    <w:rsid w:val="00CB12CF"/>
    <w:rsid w:val="00CB2D5D"/>
    <w:rsid w:val="00CC0F5B"/>
    <w:rsid w:val="00CC109B"/>
    <w:rsid w:val="00CC5CB1"/>
    <w:rsid w:val="00CD2F36"/>
    <w:rsid w:val="00CD34DE"/>
    <w:rsid w:val="00CD6CCF"/>
    <w:rsid w:val="00CF1102"/>
    <w:rsid w:val="00CF224A"/>
    <w:rsid w:val="00CF3120"/>
    <w:rsid w:val="00D00B60"/>
    <w:rsid w:val="00D01056"/>
    <w:rsid w:val="00D0267E"/>
    <w:rsid w:val="00D05A92"/>
    <w:rsid w:val="00D10FCD"/>
    <w:rsid w:val="00D1233A"/>
    <w:rsid w:val="00D1585C"/>
    <w:rsid w:val="00D16CB6"/>
    <w:rsid w:val="00D200AF"/>
    <w:rsid w:val="00D20AB0"/>
    <w:rsid w:val="00D24932"/>
    <w:rsid w:val="00D27554"/>
    <w:rsid w:val="00D31542"/>
    <w:rsid w:val="00D34583"/>
    <w:rsid w:val="00D36296"/>
    <w:rsid w:val="00D37CED"/>
    <w:rsid w:val="00D41C25"/>
    <w:rsid w:val="00D477DC"/>
    <w:rsid w:val="00D51BAB"/>
    <w:rsid w:val="00D526BA"/>
    <w:rsid w:val="00D55591"/>
    <w:rsid w:val="00D56797"/>
    <w:rsid w:val="00D623E8"/>
    <w:rsid w:val="00D652C9"/>
    <w:rsid w:val="00D71622"/>
    <w:rsid w:val="00D72BE5"/>
    <w:rsid w:val="00D779B7"/>
    <w:rsid w:val="00D82988"/>
    <w:rsid w:val="00DA0675"/>
    <w:rsid w:val="00DA193A"/>
    <w:rsid w:val="00DA28D4"/>
    <w:rsid w:val="00DA414C"/>
    <w:rsid w:val="00DA511F"/>
    <w:rsid w:val="00DA74EC"/>
    <w:rsid w:val="00DB348F"/>
    <w:rsid w:val="00DB392A"/>
    <w:rsid w:val="00DB3FCB"/>
    <w:rsid w:val="00DB4537"/>
    <w:rsid w:val="00DC25C8"/>
    <w:rsid w:val="00DC4342"/>
    <w:rsid w:val="00DC6456"/>
    <w:rsid w:val="00DD0ADB"/>
    <w:rsid w:val="00DD37AF"/>
    <w:rsid w:val="00DD5BC0"/>
    <w:rsid w:val="00DE2416"/>
    <w:rsid w:val="00DF0F4C"/>
    <w:rsid w:val="00DF42D6"/>
    <w:rsid w:val="00DF4D01"/>
    <w:rsid w:val="00DF4DDC"/>
    <w:rsid w:val="00E009A1"/>
    <w:rsid w:val="00E018B2"/>
    <w:rsid w:val="00E03014"/>
    <w:rsid w:val="00E0380D"/>
    <w:rsid w:val="00E07A60"/>
    <w:rsid w:val="00E12058"/>
    <w:rsid w:val="00E1384F"/>
    <w:rsid w:val="00E1391F"/>
    <w:rsid w:val="00E13CF0"/>
    <w:rsid w:val="00E1465B"/>
    <w:rsid w:val="00E215A8"/>
    <w:rsid w:val="00E254B1"/>
    <w:rsid w:val="00E32BF5"/>
    <w:rsid w:val="00E35CFD"/>
    <w:rsid w:val="00E37319"/>
    <w:rsid w:val="00E3757F"/>
    <w:rsid w:val="00E40881"/>
    <w:rsid w:val="00E46D45"/>
    <w:rsid w:val="00E50253"/>
    <w:rsid w:val="00E5033C"/>
    <w:rsid w:val="00E5220F"/>
    <w:rsid w:val="00E54181"/>
    <w:rsid w:val="00E6667C"/>
    <w:rsid w:val="00E7455D"/>
    <w:rsid w:val="00E749AC"/>
    <w:rsid w:val="00E76CFE"/>
    <w:rsid w:val="00E76FF2"/>
    <w:rsid w:val="00E863F3"/>
    <w:rsid w:val="00E86F59"/>
    <w:rsid w:val="00EA07EC"/>
    <w:rsid w:val="00EB4FB3"/>
    <w:rsid w:val="00EB78BA"/>
    <w:rsid w:val="00EC4775"/>
    <w:rsid w:val="00EC5DBD"/>
    <w:rsid w:val="00EC63FF"/>
    <w:rsid w:val="00ED7C8F"/>
    <w:rsid w:val="00EE050B"/>
    <w:rsid w:val="00EE0EAC"/>
    <w:rsid w:val="00EF1D55"/>
    <w:rsid w:val="00EF1E55"/>
    <w:rsid w:val="00EF2989"/>
    <w:rsid w:val="00EF6B25"/>
    <w:rsid w:val="00F004D4"/>
    <w:rsid w:val="00F01182"/>
    <w:rsid w:val="00F011DF"/>
    <w:rsid w:val="00F01712"/>
    <w:rsid w:val="00F0378C"/>
    <w:rsid w:val="00F065A4"/>
    <w:rsid w:val="00F07198"/>
    <w:rsid w:val="00F077ED"/>
    <w:rsid w:val="00F07CF9"/>
    <w:rsid w:val="00F207A5"/>
    <w:rsid w:val="00F26DBF"/>
    <w:rsid w:val="00F32EDC"/>
    <w:rsid w:val="00F333D7"/>
    <w:rsid w:val="00F339BE"/>
    <w:rsid w:val="00F33C02"/>
    <w:rsid w:val="00F42F6E"/>
    <w:rsid w:val="00F86BB9"/>
    <w:rsid w:val="00F86D14"/>
    <w:rsid w:val="00F91817"/>
    <w:rsid w:val="00F93FE9"/>
    <w:rsid w:val="00F94B9C"/>
    <w:rsid w:val="00F953AD"/>
    <w:rsid w:val="00F96A74"/>
    <w:rsid w:val="00FA2B20"/>
    <w:rsid w:val="00FB25CB"/>
    <w:rsid w:val="00FC0AA3"/>
    <w:rsid w:val="00FC29DE"/>
    <w:rsid w:val="00FC7591"/>
    <w:rsid w:val="00FD3378"/>
    <w:rsid w:val="00FF4355"/>
    <w:rsid w:val="00FF6F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434F9"/>
  <w15:docId w15:val="{E532334F-E8C9-4508-BD84-28873C3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fr-FR" w:eastAsia="en-US"/>
    </w:rPr>
  </w:style>
  <w:style w:type="character" w:styleId="CommentReference">
    <w:name w:val="annotation reference"/>
    <w:basedOn w:val="DefaultParagraphFont"/>
    <w:semiHidden/>
    <w:unhideWhenUsed/>
    <w:rsid w:val="00A67E07"/>
    <w:rPr>
      <w:sz w:val="16"/>
      <w:szCs w:val="16"/>
    </w:rPr>
  </w:style>
  <w:style w:type="paragraph" w:styleId="CommentText">
    <w:name w:val="annotation text"/>
    <w:basedOn w:val="Normal"/>
    <w:link w:val="CommentTextChar"/>
    <w:semiHidden/>
    <w:unhideWhenUsed/>
    <w:rsid w:val="00A67E07"/>
    <w:pPr>
      <w:spacing w:line="240" w:lineRule="auto"/>
    </w:pPr>
    <w:rPr>
      <w:sz w:val="20"/>
      <w:szCs w:val="20"/>
    </w:rPr>
  </w:style>
  <w:style w:type="character" w:customStyle="1" w:styleId="CommentTextChar">
    <w:name w:val="Comment Text Char"/>
    <w:basedOn w:val="DefaultParagraphFont"/>
    <w:link w:val="CommentText"/>
    <w:semiHidden/>
    <w:rsid w:val="00A67E07"/>
    <w:rPr>
      <w:rFonts w:eastAsia="Times New Roman"/>
      <w:lang w:eastAsia="en-US"/>
    </w:rPr>
  </w:style>
  <w:style w:type="paragraph" w:styleId="CommentSubject">
    <w:name w:val="annotation subject"/>
    <w:basedOn w:val="CommentText"/>
    <w:next w:val="CommentText"/>
    <w:link w:val="CommentSubjectChar"/>
    <w:semiHidden/>
    <w:unhideWhenUsed/>
    <w:rsid w:val="00A67E07"/>
    <w:rPr>
      <w:b/>
      <w:bCs/>
    </w:rPr>
  </w:style>
  <w:style w:type="character" w:customStyle="1" w:styleId="CommentSubjectChar">
    <w:name w:val="Comment Subject Char"/>
    <w:basedOn w:val="CommentTextChar"/>
    <w:link w:val="CommentSubject"/>
    <w:semiHidden/>
    <w:rsid w:val="00A67E07"/>
    <w:rPr>
      <w:rFonts w:eastAsia="Times New Roman"/>
      <w:b/>
      <w:bCs/>
      <w:lang w:eastAsia="en-US"/>
    </w:rPr>
  </w:style>
  <w:style w:type="paragraph" w:styleId="Revision">
    <w:name w:val="Revision"/>
    <w:hidden/>
    <w:uiPriority w:val="99"/>
    <w:semiHidden/>
    <w:rsid w:val="00A67E0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C:2013:133:SOM:FR:HTML" TargetMode="External"/><Relationship Id="rId1" Type="http://schemas.openxmlformats.org/officeDocument/2006/relationships/hyperlink" Target="https://eur-lex.europa.eu/LexUriServ/LexUriServ.do?uri=OJ:L:2017:117:SOM: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VV634QRNENMJ-2004427339-2222</_dlc_DocId>
    <_dlc_DocIdUrl xmlns="cda99570-6012-4083-bfeb-7d32ad1ce1a3">
      <Url>http://dm2016/eesc/2020/_layouts/15/DocIdRedir.aspx?ID=VV634QRNENMJ-2004427339-2222</Url>
      <Description>VV634QRNENMJ-2004427339-2222</Description>
    </_dlc_DocIdUrl>
    <Procedure xmlns="cda99570-6012-4083-bfeb-7d32ad1ce1a3">2020/0060(COD)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2020-04-13T12:00:00+00:00</ProductionDate>
    <FicheYear xmlns="cda99570-6012-4083-bfeb-7d32ad1ce1a3">2020</FicheYear>
    <DocumentNumber xmlns="0381fa04-922e-4f8c-89b0-7415d369da52">1752</DocumentNumber>
    <DocumentVersion xmlns="cda99570-6012-4083-bfeb-7d32ad1ce1a3">0</DocumentVersion>
    <DossierNumber xmlns="cda99570-6012-4083-bfeb-7d32ad1ce1a3">907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11</Value>
      <Value>10</Value>
      <Value>94</Value>
      <Value>36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HEINISCH</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3339</FicheNumber>
    <DocumentPart xmlns="cda99570-6012-4083-bfeb-7d32ad1ce1a3">0</DocumentPart>
    <AdoptionDate xmlns="cda99570-6012-4083-bfeb-7d32ad1ce1a3" xsi:nil="true"/>
    <RequestingService xmlns="cda99570-6012-4083-bfeb-7d32ad1ce1a3">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E5364-AE52-45DB-815F-8B6A3209B537}">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2.xml><?xml version="1.0" encoding="utf-8"?>
<ds:datastoreItem xmlns:ds="http://schemas.openxmlformats.org/officeDocument/2006/customXml" ds:itemID="{5BEE589F-60CC-41E2-8348-D999FEB47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5D7BD-A8F8-430C-9C26-D058F5517C47}">
  <ds:schemaRefs>
    <ds:schemaRef ds:uri="http://schemas.microsoft.com/sharepoint/events"/>
  </ds:schemaRefs>
</ds:datastoreItem>
</file>

<file path=customXml/itemProps4.xml><?xml version="1.0" encoding="utf-8"?>
<ds:datastoreItem xmlns:ds="http://schemas.openxmlformats.org/officeDocument/2006/customXml" ds:itemID="{CBD9337C-9534-4587-8200-9F5B1FA47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Dispositifs médicaux/dates dapplication</vt:lpstr>
      <vt:lpstr>NEW EESC MODEL  - PAC-CAT -C</vt:lpstr>
    </vt:vector>
  </TitlesOfParts>
  <Manager/>
  <Company>CESE-CdR</Company>
  <LinksUpToDate>false</LinksUpToDate>
  <CharactersWithSpaces>5530</CharactersWithSpaces>
  <SharedDoc>false</SharedDoc>
  <HyperlinkBase/>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Dispositifs médicaux/dates dapplication</dc:title>
  <dc:subject>Projet d'avis du comité</dc:subject>
  <dc:creator>Stefano Palmieri</dc:creator>
  <cp:keywords>EESC-2020-01752-00-00-PAC-TRA-EN</cp:keywords>
  <dc:description>Rapporteur: HEINISCH - Original language: EN - Date of document: 13/04/2020 - Date of meeting:  - External documents: COM(2020)144 - Administrator: Mme DREWES-WRAN Claudia Bettina</dc:description>
  <cp:lastModifiedBy>Nimal Muriel</cp:lastModifiedBy>
  <cp:revision>5</cp:revision>
  <cp:lastPrinted>2014-05-15T07:01:00Z</cp:lastPrinted>
  <dcterms:created xsi:type="dcterms:W3CDTF">2020-04-14T13:07:00Z</dcterms:created>
  <dcterms:modified xsi:type="dcterms:W3CDTF">2020-04-15T13:34:00Z</dcterms:modified>
  <cp:category>INT/907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09/04/2020, 23/03/2020, 12/05/2016, 12/05/2016</vt:lpwstr>
  </property>
  <property fmtid="{D5CDD505-2E9C-101B-9397-08002B2CF9AE}" pid="4" name="Pref_Time">
    <vt:lpwstr>17:20:31, 15:27:36, 14:28:24, 13:59:28</vt:lpwstr>
  </property>
  <property fmtid="{D5CDD505-2E9C-101B-9397-08002B2CF9AE}" pid="5" name="Pref_User">
    <vt:lpwstr>enied, hnic, jhvi, ssex</vt:lpwstr>
  </property>
  <property fmtid="{D5CDD505-2E9C-101B-9397-08002B2CF9AE}" pid="6" name="Pref_FileName">
    <vt:lpwstr>EESC-2020-01752-00-00-PAC-ORI.docx, EESC-2020-01535-00-00-PAC-ORI.docx, EESC-2016-02804-00-00-PAC-TRA-EN-CRR.docx, EESC-2016-02804-00-00-PAC-CRR-EN.docx</vt:lpwstr>
  </property>
  <property fmtid="{D5CDD505-2E9C-101B-9397-08002B2CF9AE}" pid="7" name="ContentTypeId">
    <vt:lpwstr>0x010100EA97B91038054C99906057A708A1480A0010FCE28FA6316941A8E63DE5CBD60CA0</vt:lpwstr>
  </property>
  <property fmtid="{D5CDD505-2E9C-101B-9397-08002B2CF9AE}" pid="8" name="_dlc_DocIdItemGuid">
    <vt:lpwstr>dc14f78d-7110-4e73-bd87-d583f5fe0e69</vt:lpwstr>
  </property>
  <property fmtid="{D5CDD505-2E9C-101B-9397-08002B2CF9AE}" pid="9" name="Procedure">
    <vt:lpwstr>2020/0060(COD)</vt:lpwstr>
  </property>
  <property fmtid="{D5CDD505-2E9C-101B-9397-08002B2CF9AE}" pid="10" name="AvailableTranslations">
    <vt:lpwstr>4;#EN|f2175f21-25d7-44a3-96da-d6a61b075e1b;#10;#DE|f6b31e5a-26fa-4935-b661-318e46daf27e;#36;#MT|7df99101-6854-4a26-b53a-b88c0da02c26;#11;#FR|d2afafd3-4c81-4f60-8f52-ee33f2f54ff3</vt:lpwstr>
  </property>
  <property fmtid="{D5CDD505-2E9C-101B-9397-08002B2CF9AE}" pid="11" name="DocumentType_0">
    <vt:lpwstr>PAC|719e5324-e7b4-48f6-9bbb-a2f1f3496a94</vt:lpwstr>
  </property>
  <property fmtid="{D5CDD505-2E9C-101B-9397-08002B2CF9AE}" pid="12" name="DossierName_0">
    <vt:lpwstr>INT|e1edfecb-ed43-427b-bb02-d45fe6645386</vt:lpwstr>
  </property>
  <property fmtid="{D5CDD505-2E9C-101B-9397-08002B2CF9AE}" pid="13" name="DocumentSource_0">
    <vt:lpwstr>EESC|422833ec-8d7e-4e65-8e4e-8bed07ffb729</vt:lpwstr>
  </property>
  <property fmtid="{D5CDD505-2E9C-101B-9397-08002B2CF9AE}" pid="14" name="DocumentNumber">
    <vt:i4>1752</vt:i4>
  </property>
  <property fmtid="{D5CDD505-2E9C-101B-9397-08002B2CF9AE}" pid="15" name="FicheYear">
    <vt:i4>2020</vt:i4>
  </property>
  <property fmtid="{D5CDD505-2E9C-101B-9397-08002B2CF9AE}" pid="16" name="DocumentVersion">
    <vt:i4>0</vt:i4>
  </property>
  <property fmtid="{D5CDD505-2E9C-101B-9397-08002B2CF9AE}" pid="17" name="DossierNumber">
    <vt:i4>907</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94;#INT|e1edfecb-ed43-427b-bb02-d45fe6645386</vt:lpwstr>
  </property>
  <property fmtid="{D5CDD505-2E9C-101B-9397-08002B2CF9AE}" pid="21" name="DocumentSource">
    <vt:lpwstr>1;#EESC|422833ec-8d7e-4e65-8e4e-8bed07ffb729</vt:lpwstr>
  </property>
  <property fmtid="{D5CDD505-2E9C-101B-9397-08002B2CF9AE}" pid="22" name="DocumentType">
    <vt:lpwstr>50;#PAC|719e5324-e7b4-48f6-9bbb-a2f1f3496a94</vt:lpwstr>
  </property>
  <property fmtid="{D5CDD505-2E9C-101B-9397-08002B2CF9AE}" pid="23" name="RequestingService">
    <vt:lpwstr>Marché unique, production, consommation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50;#PAC|719e5324-e7b4-48f6-9bbb-a2f1f3496a94;#10;#DE|f6b31e5a-26fa-4935-b661-318e46daf27e;#94;#INT|e1edfecb-ed43-427b-bb02-d45fe6645386;#6;#Final|ea5e6674-7b27-4bac-b091-73adbb394efe;#5;#Unrestricted|826e22d7-d029-4ec0-a450-0c28ff673572;#4;#EN|f2175f21-25</vt:lpwstr>
  </property>
  <property fmtid="{D5CDD505-2E9C-101B-9397-08002B2CF9AE}" pid="33" name="Rapporteur">
    <vt:lpwstr>HEINISCH</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3339</vt:i4>
  </property>
  <property fmtid="{D5CDD505-2E9C-101B-9397-08002B2CF9AE}" pid="38" name="DocumentLanguage">
    <vt:lpwstr>11;#FR|d2afafd3-4c81-4f60-8f52-ee33f2f54ff3</vt:lpwstr>
  </property>
  <property fmtid="{D5CDD505-2E9C-101B-9397-08002B2CF9AE}" pid="39" name="_docset_NoMedatataSyncRequired">
    <vt:lpwstr>False</vt:lpwstr>
  </property>
</Properties>
</file>