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9B5" w:rsidRPr="00C3394F" w:rsidRDefault="007D0E35" w:rsidP="00EA79B5">
      <w:pPr>
        <w:spacing w:after="0" w:line="288" w:lineRule="auto"/>
        <w:rPr>
          <w:rFonts w:ascii="Times New Roman" w:hAnsi="Times New Roman" w:cs="Times New Roman"/>
        </w:rPr>
      </w:pPr>
      <w:bookmarkStart w:id="0" w:name="_GoBack"/>
      <w:bookmarkEnd w:id="0"/>
      <w:r>
        <w:rPr>
          <w:noProof/>
          <w:lang w:val="fr-BE" w:eastAsia="fr-BE"/>
        </w:rPr>
        <w:drawing>
          <wp:inline distT="0" distB="0" distL="0" distR="0" wp14:anchorId="5BA7D4F7" wp14:editId="5F03E75C">
            <wp:extent cx="5745375" cy="1555115"/>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81497" cy="1564892"/>
                    </a:xfrm>
                    <a:prstGeom prst="rect">
                      <a:avLst/>
                    </a:prstGeom>
                  </pic:spPr>
                </pic:pic>
              </a:graphicData>
            </a:graphic>
          </wp:inline>
        </w:drawing>
      </w:r>
      <w:r>
        <w:rPr>
          <w:rFonts w:ascii="Times New Roman" w:hAnsi="Times New Roman"/>
          <w:noProof/>
          <w:lang w:val="fr-BE" w:eastAsia="fr-BE"/>
        </w:rPr>
        <mc:AlternateContent>
          <mc:Choice Requires="wps">
            <w:drawing>
              <wp:anchor distT="0" distB="0" distL="114300" distR="114300" simplePos="0" relativeHeight="251660288" behindDoc="1" locked="0" layoutInCell="0" allowOverlap="1" wp14:anchorId="48C1079E" wp14:editId="304E1F5A">
                <wp:simplePos x="0" y="0"/>
                <wp:positionH relativeFrom="page">
                  <wp:posOffset>6769100</wp:posOffset>
                </wp:positionH>
                <wp:positionV relativeFrom="page">
                  <wp:posOffset>10081260</wp:posOffset>
                </wp:positionV>
                <wp:extent cx="647700" cy="396240"/>
                <wp:effectExtent l="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9B5" w:rsidRPr="00EB31FE" w:rsidRDefault="00EB31FE" w:rsidP="00EA79B5">
                            <w:pPr>
                              <w:jc w:val="center"/>
                              <w:rPr>
                                <w:rFonts w:ascii="Arial" w:hAnsi="Arial" w:cs="Arial"/>
                                <w:b/>
                                <w:bCs/>
                                <w:sz w:val="48"/>
                              </w:rPr>
                            </w:pPr>
                            <w:r>
                              <w:rPr>
                                <w:rFonts w:ascii="Arial" w:hAnsi="Arial"/>
                                <w:b/>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1079E" id="_x0000_t202" coordsize="21600,21600" o:spt="202" path="m,l,21600r21600,l21600,xe">
                <v:stroke joinstyle="miter"/>
                <v:path gradientshapeok="t" o:connecttype="rect"/>
              </v:shapetype>
              <v:shape id="Text Box 20" o:spid="_x0000_s1026" type="#_x0000_t202" style="position:absolute;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LM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jKI2gHPXpko0F3ckRwBPUZep2C20MPjmaEc+izy1X397L8ppGQq4aKLbtVSg4NoxXwC+1N/+Lq&#10;hKMtyGb4KCuIQ3dGOqCxVp0tHpQDAToQeTr1xnIp4TAm83kAlhJM75I4Io6b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nP7ttSlZXNpoaIEqAwbjKblykwTatcr&#10;vm0g0vTehLyFF1Nzp+Yzq8M7gwHhkjoMMzuBLvfO6zxy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MhsCzLYCAAC6&#10;BQAADgAAAAAAAAAAAAAAAAAuAgAAZHJzL2Uyb0RvYy54bWxQSwECLQAUAAYACAAAACEA61QxWt4A&#10;AAAPAQAADwAAAAAAAAAAAAAAAAAQBQAAZHJzL2Rvd25yZXYueG1sUEsFBgAAAAAEAAQA8wAAABsG&#10;AAAAAA==&#10;" o:allowincell="f" filled="f" stroked="f">
                <v:textbox>
                  <w:txbxContent>
                    <w:p w:rsidR="00EA79B5" w:rsidRPr="00EB31FE" w:rsidRDefault="00EB31FE" w:rsidP="00EA79B5">
                      <w:pPr>
                        <w:jc w:val="center"/>
                        <w:rPr>
                          <w:rFonts w:ascii="Arial" w:hAnsi="Arial" w:cs="Arial"/>
                          <w:b/>
                          <w:bCs/>
                          <w:sz w:val="48"/>
                        </w:rPr>
                      </w:pPr>
                      <w:r>
                        <w:rPr>
                          <w:rFonts w:ascii="Arial" w:hAnsi="Arial"/>
                          <w:b/>
                          <w:sz w:val="48"/>
                        </w:rPr>
                        <w:t>ET</w:t>
                      </w:r>
                    </w:p>
                  </w:txbxContent>
                </v:textbox>
                <w10:wrap anchorx="page" anchory="page"/>
              </v:shape>
            </w:pict>
          </mc:Fallback>
        </mc:AlternateContent>
      </w:r>
    </w:p>
    <w:p w:rsidR="00EA79B5" w:rsidRPr="00C3394F" w:rsidRDefault="00EA79B5" w:rsidP="00EA79B5">
      <w:pPr>
        <w:spacing w:after="0" w:line="288" w:lineRule="auto"/>
        <w:jc w:val="center"/>
        <w:rPr>
          <w:rFonts w:ascii="Times New Roman" w:hAnsi="Times New Roman" w:cs="Times New Roman"/>
          <w:lang w:val="fr-BE"/>
        </w:rPr>
      </w:pPr>
    </w:p>
    <w:p w:rsidR="00EA79B5" w:rsidRPr="00C3394F" w:rsidRDefault="00EA79B5" w:rsidP="00EA79B5">
      <w:pPr>
        <w:spacing w:after="0" w:line="288" w:lineRule="auto"/>
        <w:jc w:val="center"/>
        <w:rPr>
          <w:rFonts w:ascii="Times New Roman" w:hAnsi="Times New Roman" w:cs="Times New Roman"/>
          <w:lang w:val="fr-BE"/>
        </w:rPr>
      </w:pPr>
    </w:p>
    <w:p w:rsidR="007E000B" w:rsidRPr="002645D0" w:rsidRDefault="007E000B" w:rsidP="007E000B">
      <w:pPr>
        <w:spacing w:after="0" w:line="288" w:lineRule="auto"/>
        <w:jc w:val="center"/>
        <w:rPr>
          <w:rFonts w:ascii="Times New Roman" w:hAnsi="Times New Roman" w:cs="Times New Roman"/>
          <w:b/>
        </w:rPr>
      </w:pPr>
      <w:r>
        <w:rPr>
          <w:rFonts w:ascii="Times New Roman" w:hAnsi="Times New Roman"/>
          <w:b/>
        </w:rPr>
        <w:t>EMSK presidendi ja peasekretäri ning ELi majandus- ja sotsiaalnõukogude esimeeste iga-aastane koosolek</w:t>
      </w:r>
    </w:p>
    <w:p w:rsidR="007E000B" w:rsidRPr="002645D0" w:rsidRDefault="007D0E35" w:rsidP="007E000B">
      <w:pPr>
        <w:spacing w:after="0" w:line="288" w:lineRule="auto"/>
        <w:jc w:val="center"/>
        <w:rPr>
          <w:rFonts w:ascii="Times New Roman" w:hAnsi="Times New Roman" w:cs="Times New Roman"/>
          <w:b/>
        </w:rPr>
      </w:pPr>
      <w:r>
        <w:rPr>
          <w:rFonts w:ascii="Times New Roman" w:hAnsi="Times New Roman"/>
          <w:b/>
        </w:rPr>
        <w:t>Pariis, 22.–23. november 2021</w:t>
      </w:r>
    </w:p>
    <w:p w:rsidR="00EA79B5" w:rsidRPr="002645D0" w:rsidRDefault="00EA79B5" w:rsidP="007E000B">
      <w:pPr>
        <w:spacing w:after="0" w:line="288" w:lineRule="auto"/>
        <w:jc w:val="center"/>
        <w:rPr>
          <w:rFonts w:ascii="Times New Roman" w:hAnsi="Times New Roman" w:cs="Times New Roman"/>
          <w:b/>
          <w:lang w:val="en-US"/>
        </w:rPr>
      </w:pPr>
    </w:p>
    <w:p w:rsidR="00EA79B5" w:rsidRPr="001C28D1" w:rsidRDefault="00EA79B5" w:rsidP="00EA79B5">
      <w:pPr>
        <w:spacing w:after="0" w:line="288" w:lineRule="auto"/>
        <w:jc w:val="center"/>
        <w:rPr>
          <w:rFonts w:ascii="Times New Roman" w:hAnsi="Times New Roman" w:cs="Times New Roman"/>
          <w:i/>
          <w:color w:val="000099"/>
          <w:lang w:val="en-US"/>
        </w:rPr>
      </w:pPr>
    </w:p>
    <w:p w:rsidR="00824453" w:rsidRPr="001C28D1" w:rsidRDefault="007E000B" w:rsidP="007E000B">
      <w:pPr>
        <w:spacing w:after="0" w:line="288" w:lineRule="auto"/>
        <w:jc w:val="center"/>
        <w:rPr>
          <w:rFonts w:ascii="Times New Roman" w:hAnsi="Times New Roman" w:cs="Times New Roman"/>
          <w:b/>
          <w:color w:val="000099"/>
        </w:rPr>
      </w:pPr>
      <w:r>
        <w:rPr>
          <w:rFonts w:ascii="Times New Roman" w:hAnsi="Times New Roman"/>
          <w:b/>
          <w:color w:val="000099"/>
        </w:rPr>
        <w:t>Osalusdemokraatia ning selle roll ELi vastupanuvõimeliseks ja tulevikukindlaks muutmisel.</w:t>
      </w:r>
    </w:p>
    <w:p w:rsidR="00824453" w:rsidRPr="001C28D1" w:rsidRDefault="00824453" w:rsidP="007E000B">
      <w:pPr>
        <w:spacing w:after="0" w:line="288" w:lineRule="auto"/>
        <w:jc w:val="center"/>
        <w:rPr>
          <w:rFonts w:ascii="Times New Roman" w:hAnsi="Times New Roman" w:cs="Times New Roman"/>
          <w:b/>
          <w:color w:val="000099"/>
        </w:rPr>
      </w:pPr>
      <w:r>
        <w:rPr>
          <w:rFonts w:ascii="Times New Roman" w:hAnsi="Times New Roman"/>
          <w:b/>
          <w:color w:val="000099"/>
        </w:rPr>
        <w:t>Euroopa Majandus- ja Sotsiaalkomitee ning riiklike majandus- ja sotsiaalnõukogude panus Euroopa tuleviku konverentsi</w:t>
      </w:r>
    </w:p>
    <w:p w:rsidR="00EA79B5" w:rsidRPr="002645D0" w:rsidRDefault="00EA79B5" w:rsidP="00EA79B5">
      <w:pPr>
        <w:spacing w:after="0" w:line="288" w:lineRule="auto"/>
        <w:jc w:val="center"/>
        <w:rPr>
          <w:rFonts w:ascii="Times New Roman" w:hAnsi="Times New Roman" w:cs="Times New Roman"/>
          <w:b/>
          <w:bCs/>
          <w:shd w:val="clear" w:color="auto" w:fill="FFFFFF"/>
          <w:lang w:val="en-US"/>
        </w:rPr>
      </w:pPr>
    </w:p>
    <w:p w:rsidR="00EA79B5" w:rsidRPr="002645D0" w:rsidRDefault="00EA79B5" w:rsidP="00EA79B5">
      <w:pPr>
        <w:spacing w:after="0" w:line="288" w:lineRule="auto"/>
        <w:jc w:val="center"/>
        <w:rPr>
          <w:rFonts w:ascii="Times New Roman" w:hAnsi="Times New Roman" w:cs="Times New Roman"/>
          <w:b/>
          <w:bCs/>
          <w:shd w:val="clear" w:color="auto" w:fill="FFFFFF"/>
          <w:lang w:val="en-US"/>
        </w:rPr>
      </w:pPr>
    </w:p>
    <w:p w:rsidR="00EA79B5" w:rsidRPr="002645D0" w:rsidRDefault="00EA79B5" w:rsidP="00EA79B5">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hd w:val="clear" w:color="auto" w:fill="FFFFFF"/>
          <w:lang w:val="en-US"/>
        </w:rPr>
      </w:pPr>
    </w:p>
    <w:p w:rsidR="00EA79B5" w:rsidRPr="002645D0" w:rsidRDefault="00EA79B5" w:rsidP="00EA79B5">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hd w:val="clear" w:color="auto" w:fill="FFFFFF"/>
        </w:rPr>
      </w:pPr>
      <w:r>
        <w:rPr>
          <w:rFonts w:ascii="Times New Roman" w:hAnsi="Times New Roman"/>
          <w:b/>
          <w:shd w:val="clear" w:color="auto" w:fill="FFFFFF"/>
        </w:rPr>
        <w:t>KOKKUVÕTE</w:t>
      </w:r>
    </w:p>
    <w:p w:rsidR="00EA79B5" w:rsidRPr="002645D0" w:rsidRDefault="00EA79B5" w:rsidP="00EA79B5">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hd w:val="clear" w:color="auto" w:fill="FFFFFF"/>
          <w:lang w:val="en-US"/>
        </w:rPr>
      </w:pPr>
    </w:p>
    <w:p w:rsidR="00EA79B5" w:rsidRPr="002645D0" w:rsidRDefault="00EA79B5" w:rsidP="00EA79B5">
      <w:pPr>
        <w:spacing w:after="0" w:line="288" w:lineRule="auto"/>
        <w:jc w:val="both"/>
        <w:rPr>
          <w:rFonts w:ascii="Times New Roman" w:hAnsi="Times New Roman" w:cs="Times New Roman"/>
          <w:b/>
          <w:bCs/>
          <w:i/>
          <w:iCs/>
          <w:shd w:val="clear" w:color="auto" w:fill="FFFFFF"/>
          <w:lang w:val="en-US"/>
        </w:rPr>
      </w:pPr>
    </w:p>
    <w:p w:rsidR="002854C4" w:rsidRPr="002645D0" w:rsidRDefault="002854C4" w:rsidP="00EA79B5">
      <w:pPr>
        <w:spacing w:after="0" w:line="288" w:lineRule="auto"/>
        <w:jc w:val="both"/>
        <w:rPr>
          <w:rFonts w:ascii="Times New Roman" w:hAnsi="Times New Roman" w:cs="Times New Roman"/>
          <w:b/>
          <w:bCs/>
          <w:i/>
          <w:iCs/>
          <w:shd w:val="clear" w:color="auto" w:fill="FFFFFF"/>
          <w:lang w:val="en-US"/>
        </w:rPr>
      </w:pPr>
    </w:p>
    <w:p w:rsidR="00EA79B5" w:rsidRPr="002645D0" w:rsidRDefault="00EA79B5" w:rsidP="00EA79B5">
      <w:pPr>
        <w:spacing w:after="0" w:line="288" w:lineRule="auto"/>
        <w:jc w:val="both"/>
        <w:rPr>
          <w:rFonts w:ascii="Times New Roman" w:hAnsi="Times New Roman" w:cs="Times New Roman"/>
          <w:b/>
          <w:bCs/>
          <w:i/>
          <w:iCs/>
          <w:shd w:val="clear" w:color="auto" w:fill="FFFFFF"/>
          <w:lang w:val="en-US"/>
        </w:rPr>
      </w:pPr>
    </w:p>
    <w:p w:rsidR="00824453" w:rsidRPr="002645D0" w:rsidRDefault="00824453" w:rsidP="00824453">
      <w:pPr>
        <w:spacing w:after="0" w:line="288" w:lineRule="auto"/>
        <w:jc w:val="both"/>
        <w:rPr>
          <w:rFonts w:ascii="Times New Roman" w:hAnsi="Times New Roman" w:cs="Times New Roman"/>
          <w:b/>
          <w:bCs/>
          <w:i/>
          <w:iCs/>
          <w:shd w:val="clear" w:color="auto" w:fill="FFFFFF"/>
        </w:rPr>
      </w:pPr>
      <w:r>
        <w:rPr>
          <w:rFonts w:ascii="Times New Roman" w:hAnsi="Times New Roman"/>
          <w:b/>
          <w:i/>
          <w:shd w:val="clear" w:color="auto" w:fill="FFFFFF"/>
        </w:rPr>
        <w:t>Euroopa Majandus- ja Sotsiaalkomitee president ja peasekretär ning ELi riiklike majandus- ja sotsiaalnõukogude esimehed kohtusid 22. ja 23. novembril 2021 Pariisis.</w:t>
      </w:r>
    </w:p>
    <w:p w:rsidR="00824453" w:rsidRPr="002645D0" w:rsidRDefault="00824453" w:rsidP="00824453">
      <w:pPr>
        <w:spacing w:after="0" w:line="288" w:lineRule="auto"/>
        <w:jc w:val="both"/>
        <w:rPr>
          <w:rFonts w:ascii="Times New Roman" w:hAnsi="Times New Roman" w:cs="Times New Roman"/>
          <w:b/>
          <w:bCs/>
          <w:i/>
          <w:iCs/>
          <w:shd w:val="clear" w:color="auto" w:fill="FFFFFF"/>
          <w:lang w:val="en-US"/>
        </w:rPr>
      </w:pPr>
    </w:p>
    <w:p w:rsidR="00824453" w:rsidRPr="002645D0" w:rsidRDefault="00824453" w:rsidP="00824453">
      <w:pPr>
        <w:spacing w:after="0" w:line="288" w:lineRule="auto"/>
        <w:jc w:val="both"/>
        <w:rPr>
          <w:rFonts w:ascii="Times New Roman" w:hAnsi="Times New Roman" w:cs="Times New Roman"/>
          <w:b/>
          <w:bCs/>
          <w:i/>
          <w:iCs/>
          <w:shd w:val="clear" w:color="auto" w:fill="FFFFFF"/>
        </w:rPr>
      </w:pPr>
      <w:r>
        <w:rPr>
          <w:rFonts w:ascii="Times New Roman" w:hAnsi="Times New Roman"/>
          <w:b/>
          <w:i/>
          <w:shd w:val="clear" w:color="auto" w:fill="FFFFFF"/>
        </w:rPr>
        <w:t>Pärast põhjalikku ja sisukat arutelu esitavad nad järgmised järeldused, mis kajastavad täielikku toetust ambitsioonikale Euroopa tuleviku konverentsile, mis annab käegakatsutavaid tulemusi, et muuta Euroopa Liit tugevamaks, tulevikukindlamaks ja selle kodanikele lähedasemaks. Selle saavutamiseks peab EL kuulda võtma Euroopa ja liikmesriigi tasandi organiseeritud kodanikuühiskonna sõnumeid ja ettepanekuid ning tegutsema nende kohaselt.</w:t>
      </w:r>
    </w:p>
    <w:p w:rsidR="00824453" w:rsidRPr="002645D0" w:rsidRDefault="00824453" w:rsidP="00824453">
      <w:pPr>
        <w:spacing w:after="0" w:line="288" w:lineRule="auto"/>
        <w:jc w:val="both"/>
        <w:rPr>
          <w:rFonts w:ascii="Times New Roman" w:hAnsi="Times New Roman" w:cs="Times New Roman"/>
          <w:b/>
          <w:bCs/>
          <w:i/>
          <w:iCs/>
          <w:shd w:val="clear" w:color="auto" w:fill="FFFFFF"/>
          <w:lang w:val="en-US"/>
        </w:rPr>
      </w:pPr>
    </w:p>
    <w:p w:rsidR="00EA79B5" w:rsidRDefault="00EA79B5"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Pr="002645D0" w:rsidRDefault="00975673" w:rsidP="00EA79B5">
      <w:pPr>
        <w:spacing w:after="0" w:line="288" w:lineRule="auto"/>
        <w:jc w:val="both"/>
        <w:rPr>
          <w:rFonts w:ascii="Times New Roman" w:hAnsi="Times New Roman" w:cs="Times New Roman"/>
          <w:b/>
          <w:bCs/>
          <w:i/>
          <w:iCs/>
          <w:shd w:val="clear" w:color="auto" w:fill="FFFFFF"/>
          <w:lang w:val="en-US"/>
        </w:rPr>
      </w:pPr>
    </w:p>
    <w:p w:rsidR="003A15CF" w:rsidRDefault="003A15CF" w:rsidP="00EA79B5">
      <w:pPr>
        <w:spacing w:after="0" w:line="288" w:lineRule="auto"/>
        <w:jc w:val="both"/>
        <w:rPr>
          <w:rFonts w:ascii="Times New Roman" w:hAnsi="Times New Roman" w:cs="Times New Roman"/>
          <w:b/>
          <w:bCs/>
          <w:i/>
          <w:iCs/>
          <w:shd w:val="clear" w:color="auto" w:fill="FFFFFF"/>
          <w:lang w:val="en-US"/>
        </w:rPr>
      </w:pPr>
    </w:p>
    <w:p w:rsidR="003A15CF" w:rsidRPr="002645D0" w:rsidRDefault="003A15CF" w:rsidP="00EA79B5">
      <w:pPr>
        <w:spacing w:after="0" w:line="288" w:lineRule="auto"/>
        <w:jc w:val="both"/>
        <w:rPr>
          <w:rFonts w:ascii="Times New Roman" w:hAnsi="Times New Roman" w:cs="Times New Roman"/>
          <w:b/>
          <w:bCs/>
          <w:i/>
          <w:iCs/>
          <w:shd w:val="clear" w:color="auto" w:fill="FFFFFF"/>
          <w:lang w:val="en-US"/>
        </w:rPr>
      </w:pPr>
    </w:p>
    <w:p w:rsidR="003A15CF" w:rsidRPr="001C28D1" w:rsidRDefault="001C28D1" w:rsidP="00EA79B5">
      <w:pPr>
        <w:spacing w:after="0" w:line="288" w:lineRule="auto"/>
        <w:jc w:val="both"/>
        <w:rPr>
          <w:rFonts w:ascii="Times New Roman" w:hAnsi="Times New Roman" w:cs="Times New Roman"/>
          <w:b/>
          <w:bCs/>
          <w:i/>
          <w:iCs/>
          <w:color w:val="000099"/>
          <w:sz w:val="28"/>
          <w:szCs w:val="28"/>
          <w:shd w:val="clear" w:color="auto" w:fill="FFFFFF"/>
        </w:rPr>
      </w:pPr>
      <w:r>
        <w:rPr>
          <w:rFonts w:ascii="Times New Roman" w:hAnsi="Times New Roman"/>
          <w:b/>
          <w:color w:val="000099"/>
          <w:sz w:val="28"/>
        </w:rPr>
        <w:lastRenderedPageBreak/>
        <w:t>Ülevaade</w:t>
      </w:r>
    </w:p>
    <w:p w:rsidR="003A15CF" w:rsidRDefault="003A15CF" w:rsidP="00EA79B5">
      <w:pPr>
        <w:spacing w:after="0" w:line="288" w:lineRule="auto"/>
        <w:jc w:val="both"/>
        <w:rPr>
          <w:rFonts w:ascii="Times New Roman" w:hAnsi="Times New Roman" w:cs="Times New Roman"/>
          <w:b/>
          <w:bCs/>
          <w:i/>
          <w:iCs/>
          <w:shd w:val="clear" w:color="auto" w:fill="FFFFFF"/>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1C28D1" w:rsidTr="001C28D1">
        <w:tc>
          <w:tcPr>
            <w:tcW w:w="9062" w:type="dxa"/>
            <w:shd w:val="clear" w:color="auto" w:fill="BDD6EE" w:themeFill="accent1" w:themeFillTint="66"/>
            <w:tcMar>
              <w:top w:w="113" w:type="dxa"/>
              <w:bottom w:w="113" w:type="dxa"/>
            </w:tcMar>
            <w:vAlign w:val="center"/>
          </w:tcPr>
          <w:p w:rsidR="001C28D1" w:rsidRPr="001C28D1" w:rsidRDefault="001C28D1" w:rsidP="001C28D1">
            <w:pPr>
              <w:pStyle w:val="ListParagraph"/>
              <w:numPr>
                <w:ilvl w:val="0"/>
                <w:numId w:val="8"/>
              </w:numPr>
              <w:rPr>
                <w:b/>
                <w:bCs/>
                <w:i/>
                <w:iCs/>
                <w:shd w:val="clear" w:color="auto" w:fill="FFFFFF"/>
              </w:rPr>
            </w:pPr>
            <w:r>
              <w:t xml:space="preserve">Euroopa Majandus- ja Sotsiaalkomitee (edaspidi: komitee) ning riiklikud majandus- ja sotsiaalnõukogud näevad pandeemiast väljumises võimalust </w:t>
            </w:r>
            <w:r>
              <w:rPr>
                <w:b/>
                <w:bCs/>
              </w:rPr>
              <w:t>edasiliikumiseks ja meie ühiskonna parandamiseks</w:t>
            </w:r>
            <w:r>
              <w:t xml:space="preserve">, et luua tugevam Euroopa Liit, mis soodustab ülespoole suunatud majanduslikku ja sotsiaalset lähenemist, paremat ühtekuuluvust ja solidaarsust, mis tagavad Euroopa kodaniku identiteedi tugevdamise. </w:t>
            </w:r>
            <w:r>
              <w:rPr>
                <w:b/>
              </w:rPr>
              <w:t>Selles visioonis Euroopa kohta on ühendatud jätkusuutlik heaolu, sotsiaalne õiglus, kaasatus ning õiglane rohe- ja digiüleminek, edendades samal ajal põhiõiguste ja õigusriigi põhimõtte järgimist.</w:t>
            </w:r>
          </w:p>
        </w:tc>
      </w:tr>
    </w:tbl>
    <w:p w:rsidR="003A15CF" w:rsidRPr="002645D0" w:rsidRDefault="003A15CF" w:rsidP="00EA79B5">
      <w:pPr>
        <w:spacing w:after="0" w:line="288" w:lineRule="auto"/>
        <w:jc w:val="both"/>
        <w:rPr>
          <w:rFonts w:ascii="Times New Roman" w:hAnsi="Times New Roman" w:cs="Times New Roman"/>
          <w:b/>
          <w:bCs/>
          <w:i/>
          <w:iCs/>
          <w:shd w:val="clear" w:color="auto" w:fill="FFFFFF"/>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975673" w:rsidTr="00975673">
        <w:tc>
          <w:tcPr>
            <w:tcW w:w="9062" w:type="dxa"/>
            <w:shd w:val="clear" w:color="auto" w:fill="BDD6EE" w:themeFill="accent1" w:themeFillTint="66"/>
            <w:tcMar>
              <w:top w:w="113" w:type="dxa"/>
              <w:bottom w:w="113" w:type="dxa"/>
            </w:tcMar>
            <w:vAlign w:val="center"/>
          </w:tcPr>
          <w:p w:rsidR="00975673" w:rsidRPr="00975673" w:rsidRDefault="00975673" w:rsidP="00975673">
            <w:pPr>
              <w:pStyle w:val="ListParagraph"/>
              <w:numPr>
                <w:ilvl w:val="0"/>
                <w:numId w:val="8"/>
              </w:numPr>
            </w:pPr>
            <w:r>
              <w:t xml:space="preserve">Selle saavutamisel saab Euroopa Liit toetuda </w:t>
            </w:r>
            <w:r>
              <w:rPr>
                <w:b/>
                <w:bCs/>
              </w:rPr>
              <w:t>peamistele tugevustele</w:t>
            </w:r>
            <w:r>
              <w:t xml:space="preserve">, näiteks </w:t>
            </w:r>
            <w:r>
              <w:rPr>
                <w:b/>
                <w:bCs/>
              </w:rPr>
              <w:t>suur siseturg, tugev tööstusbaas, roll rahvusvahelisel majandusareenil, jõudsalt arenev kodanikuühiskond ja enneolematu solidaarsus</w:t>
            </w:r>
            <w:r>
              <w:t xml:space="preserve">, mida kajastab uue </w:t>
            </w:r>
            <w:r>
              <w:rPr>
                <w:b/>
                <w:bCs/>
              </w:rPr>
              <w:t>taasterahastu „NextGenerationEU“</w:t>
            </w:r>
            <w:r>
              <w:t xml:space="preserve"> vastuvõtmine. Komitee ning riiklikud majandus- ja sotsiaalnõukogud rõhutavad, et on oluline organiseeritud kodanikuühiskond konkreetsel viisil kaasata riiklike taaste- ja vastupidavuskavade elluviimisse ja hindamisse. Nad rõhutavad vajadust seada oma poliitikas kesksele kohale sotsiaalne mõõde ja eelkõige Euroopa tervishoiu arendamine selle kõigis mõõtmetes.</w:t>
            </w:r>
          </w:p>
          <w:p w:rsidR="00975673" w:rsidRPr="00975673" w:rsidRDefault="00975673" w:rsidP="00975673">
            <w:pPr>
              <w:pStyle w:val="ListParagraph"/>
              <w:ind w:left="360"/>
              <w:rPr>
                <w:lang w:val="en-US"/>
              </w:rPr>
            </w:pPr>
          </w:p>
          <w:p w:rsidR="00975673" w:rsidRDefault="00975673" w:rsidP="00975673">
            <w:pPr>
              <w:spacing w:line="288" w:lineRule="auto"/>
              <w:ind w:left="360"/>
              <w:jc w:val="both"/>
            </w:pPr>
            <w:r>
              <w:rPr>
                <w:rFonts w:ascii="Times New Roman" w:hAnsi="Times New Roman"/>
                <w:b/>
                <w:bCs/>
              </w:rPr>
              <w:t>Euroopa roheline kokkulepe</w:t>
            </w:r>
            <w:r>
              <w:rPr>
                <w:rFonts w:ascii="Times New Roman" w:hAnsi="Times New Roman"/>
              </w:rPr>
              <w:t>, mille eesmärk on saavutada 2050. aastaks CO</w:t>
            </w:r>
            <w:r>
              <w:rPr>
                <w:rFonts w:ascii="Times New Roman" w:hAnsi="Times New Roman"/>
                <w:vertAlign w:val="subscript"/>
              </w:rPr>
              <w:t>2</w:t>
            </w:r>
            <w:r>
              <w:rPr>
                <w:rFonts w:ascii="Times New Roman" w:hAnsi="Times New Roman"/>
              </w:rPr>
              <w:t xml:space="preserve">-neutraalsus, on uus Euroopa majanduskasvu strateegia, mille keskmes on heaolu, kestlikkus ja sotsiaalne õiglus. </w:t>
            </w:r>
            <w:r>
              <w:rPr>
                <w:rFonts w:ascii="Times New Roman" w:hAnsi="Times New Roman"/>
                <w:b/>
                <w:bCs/>
              </w:rPr>
              <w:t>Digiülemineku</w:t>
            </w:r>
            <w:r>
              <w:rPr>
                <w:rFonts w:ascii="Times New Roman" w:hAnsi="Times New Roman"/>
              </w:rPr>
              <w:t xml:space="preserve"> kontekstis tähendab see ka inimeste ja ettevõtete võimestamist võtma omaks inimkeskset, kestlikku ja jõukamat digitulevikku. </w:t>
            </w:r>
            <w:r>
              <w:rPr>
                <w:rFonts w:ascii="Times New Roman" w:hAnsi="Times New Roman"/>
                <w:b/>
                <w:bCs/>
              </w:rPr>
              <w:t>Euroopa sotsiaalõiguste samba kakskümmend põhimõtet</w:t>
            </w:r>
            <w:r>
              <w:rPr>
                <w:rFonts w:ascii="Times New Roman" w:hAnsi="Times New Roman"/>
              </w:rPr>
              <w:t xml:space="preserve"> on majakas, mis juhatab meid kaasava ja võimalusterohke sotsiaalse Euroopa suunas.</w:t>
            </w:r>
          </w:p>
        </w:tc>
      </w:tr>
    </w:tbl>
    <w:p w:rsidR="003A15CF" w:rsidRDefault="003A15CF" w:rsidP="00EA79B5">
      <w:pPr>
        <w:spacing w:after="0" w:line="288" w:lineRule="auto"/>
        <w:jc w:val="both"/>
        <w:rPr>
          <w:rFonts w:ascii="Times New Roman" w:hAnsi="Times New Roman" w:cs="Times New Roman"/>
          <w:b/>
          <w:bCs/>
          <w:i/>
          <w:iCs/>
          <w:shd w:val="clear" w:color="auto" w:fill="FFFFFF"/>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975673" w:rsidTr="00975673">
        <w:tc>
          <w:tcPr>
            <w:tcW w:w="9062" w:type="dxa"/>
            <w:shd w:val="clear" w:color="auto" w:fill="BDD6EE" w:themeFill="accent1" w:themeFillTint="66"/>
            <w:tcMar>
              <w:top w:w="113" w:type="dxa"/>
              <w:bottom w:w="113" w:type="dxa"/>
            </w:tcMar>
            <w:vAlign w:val="center"/>
          </w:tcPr>
          <w:p w:rsidR="00975673" w:rsidRPr="00975673" w:rsidRDefault="00975673" w:rsidP="00975673">
            <w:pPr>
              <w:pStyle w:val="ListParagraph"/>
              <w:numPr>
                <w:ilvl w:val="0"/>
                <w:numId w:val="8"/>
              </w:numPr>
              <w:spacing w:line="276" w:lineRule="auto"/>
              <w:rPr>
                <w:b/>
                <w:bCs/>
              </w:rPr>
            </w:pPr>
            <w:r>
              <w:t xml:space="preserve">Ajal, mil Euroopa Liitu tuleb uuesti üles ehitada ja tulevikuks ette valmistada, on </w:t>
            </w:r>
            <w:r>
              <w:rPr>
                <w:b/>
                <w:bCs/>
              </w:rPr>
              <w:t>peamisteks osalejateks sotsiaalpartnerid ja kodanikuühiskonna organisatsioonid, samuti komitee ning liikmesriikide majandus- ja sotsiaalnõukogud</w:t>
            </w:r>
            <w:r>
              <w:t>.</w:t>
            </w:r>
          </w:p>
          <w:p w:rsidR="00975673" w:rsidRPr="00975673" w:rsidRDefault="00975673" w:rsidP="00975673">
            <w:pPr>
              <w:pStyle w:val="ListParagraph"/>
              <w:spacing w:line="276" w:lineRule="auto"/>
              <w:ind w:left="360"/>
              <w:rPr>
                <w:lang w:val="en-US"/>
              </w:rPr>
            </w:pPr>
          </w:p>
          <w:p w:rsidR="00975673" w:rsidRDefault="00975673" w:rsidP="00975673">
            <w:pPr>
              <w:spacing w:line="288" w:lineRule="auto"/>
              <w:ind w:left="360"/>
              <w:jc w:val="both"/>
              <w:rPr>
                <w:rFonts w:ascii="Times New Roman" w:hAnsi="Times New Roman" w:cs="Times New Roman"/>
                <w:b/>
                <w:bCs/>
                <w:i/>
                <w:iCs/>
                <w:shd w:val="clear" w:color="auto" w:fill="FFFFFF"/>
              </w:rPr>
            </w:pPr>
            <w:r>
              <w:rPr>
                <w:rFonts w:ascii="Times New Roman" w:hAnsi="Times New Roman"/>
              </w:rPr>
              <w:t xml:space="preserve">Komitee ning liikmesriikide majandus- ja sotsiaalnõukogud kinnitavad veel kord oma </w:t>
            </w:r>
            <w:r>
              <w:rPr>
                <w:rFonts w:ascii="Times New Roman" w:hAnsi="Times New Roman"/>
                <w:b/>
                <w:bCs/>
              </w:rPr>
              <w:t>valmisolekut aktiivselt osaleda praeguste reformide kavandamis-, sõnastamis- ja elluviimisprotsessides</w:t>
            </w:r>
            <w:r>
              <w:rPr>
                <w:rFonts w:ascii="Times New Roman" w:hAnsi="Times New Roman"/>
              </w:rPr>
              <w:t xml:space="preserve">, et tagada poliitika täielik kooskõla kodanike vajaduste ja ootustega ning luua suurem ühisvastutuse tunne. Nad rõhutavad vajadust tugevdada avalikku poliitikat kõige haavatavamate inimeste kasuks ja ühtlustada Euroopas noortepoliitikat. Komiteel ning riiklikel majandus- ja sotsiaalnõukogudel on selles valdkonnas sügavad teadmised ja need on ainulaadsed alalised kodanikuühiskonnaga peetava dialoogi foorumid, mille eeliseks on eri sidusrühmade </w:t>
            </w:r>
            <w:r>
              <w:rPr>
                <w:rFonts w:ascii="Times New Roman" w:hAnsi="Times New Roman"/>
                <w:b/>
                <w:bCs/>
              </w:rPr>
              <w:t>konsensusel põhinevate lahenduste</w:t>
            </w:r>
            <w:r>
              <w:rPr>
                <w:rFonts w:ascii="Times New Roman" w:hAnsi="Times New Roman"/>
              </w:rPr>
              <w:t xml:space="preserve"> pakkumine.</w:t>
            </w:r>
            <w:r>
              <w:rPr>
                <w:rFonts w:ascii="Times New Roman" w:hAnsi="Times New Roman"/>
                <w:b/>
              </w:rPr>
              <w:t xml:space="preserve">  </w:t>
            </w:r>
          </w:p>
        </w:tc>
      </w:tr>
    </w:tbl>
    <w:p w:rsidR="00975673" w:rsidRPr="002645D0" w:rsidRDefault="00975673" w:rsidP="00EA79B5">
      <w:pPr>
        <w:spacing w:after="0" w:line="288" w:lineRule="auto"/>
        <w:jc w:val="both"/>
        <w:rPr>
          <w:rFonts w:ascii="Times New Roman" w:hAnsi="Times New Roman" w:cs="Times New Roman"/>
          <w:b/>
          <w:bCs/>
          <w:i/>
          <w:iCs/>
          <w:shd w:val="clear" w:color="auto" w:fill="FFFFFF"/>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975673" w:rsidTr="00975673">
        <w:tc>
          <w:tcPr>
            <w:tcW w:w="9062" w:type="dxa"/>
            <w:shd w:val="clear" w:color="auto" w:fill="BDD6EE" w:themeFill="accent1" w:themeFillTint="66"/>
            <w:tcMar>
              <w:top w:w="113" w:type="dxa"/>
              <w:bottom w:w="113" w:type="dxa"/>
            </w:tcMar>
            <w:vAlign w:val="center"/>
          </w:tcPr>
          <w:p w:rsidR="00975673" w:rsidRDefault="00975673" w:rsidP="00975673">
            <w:pPr>
              <w:pStyle w:val="ListParagraph"/>
              <w:numPr>
                <w:ilvl w:val="0"/>
                <w:numId w:val="8"/>
              </w:numPr>
              <w:spacing w:line="276" w:lineRule="auto"/>
            </w:pPr>
            <w:r>
              <w:t xml:space="preserve">Komitee ning riiklikud majandus- ja sotsiaalnõukogud leiavad, et </w:t>
            </w:r>
            <w:r>
              <w:rPr>
                <w:b/>
                <w:bCs/>
              </w:rPr>
              <w:t>Euroopa tuleviku konverents on ajalooline võimalus</w:t>
            </w:r>
            <w:r>
              <w:t xml:space="preserve"> dünaamika loomiseks, et taaskäivitada Euroopa integratsiooniprojekt ja arendada osalusdemokraatiat. Nad leiavad, et konverents peab eurooplased tooma tähelepanu </w:t>
            </w:r>
            <w:r>
              <w:lastRenderedPageBreak/>
              <w:t>keskpunkti, tagama, et 27 liikmesriigi kodanikud ja kodanikuühiskonna organisatsioonid osaleksid aruteludes ning saavutaksid konkreetseid, nähtavaid ja mõõdetavaid tulemusi.</w:t>
            </w:r>
          </w:p>
          <w:p w:rsidR="00975673" w:rsidRPr="00983B86" w:rsidRDefault="00975673" w:rsidP="00975673">
            <w:pPr>
              <w:pStyle w:val="ListParagraph"/>
              <w:spacing w:after="240" w:line="360" w:lineRule="auto"/>
              <w:ind w:left="360"/>
              <w:rPr>
                <w:lang w:val="en-US"/>
              </w:rPr>
            </w:pPr>
          </w:p>
          <w:p w:rsidR="00975673" w:rsidRPr="003240E1" w:rsidRDefault="00975673" w:rsidP="00975673">
            <w:pPr>
              <w:pStyle w:val="ListParagraph"/>
              <w:spacing w:line="276" w:lineRule="auto"/>
              <w:ind w:left="360"/>
              <w:rPr>
                <w:spacing w:val="-2"/>
              </w:rPr>
            </w:pPr>
            <w:r>
              <w:t xml:space="preserve">Konverents peab tuginema </w:t>
            </w:r>
            <w:r>
              <w:rPr>
                <w:b/>
                <w:bCs/>
              </w:rPr>
              <w:t>läbipaistvale alt-üles protsessile ja andma käegakatsutavaid tulemusi</w:t>
            </w:r>
            <w:r>
              <w:t xml:space="preserve">. Läbipaistvuse ja vastutavuse tagamiseks töötatakse välja veebipõhine </w:t>
            </w:r>
            <w:r>
              <w:rPr>
                <w:b/>
                <w:bCs/>
              </w:rPr>
              <w:t>tulemustabel</w:t>
            </w:r>
            <w:r>
              <w:t>, mille kaudu teavitatakse kodanikke sellest, kuidas ELi institutsioonid nende taotlusi edasi menetlevad, kas Euroopa tuleviku konverentsist tulenevad reformimeetmed ja milline on asjakohaste meetmete rakendamise ajakava. Kui mõne ideega seonduvalt midagi ette ei võeta, tuleb selle põhjuseid selgitada.</w:t>
            </w:r>
          </w:p>
          <w:p w:rsidR="00975673" w:rsidRPr="0065623F" w:rsidRDefault="00975673" w:rsidP="00975673">
            <w:pPr>
              <w:pStyle w:val="ListParagraph"/>
              <w:spacing w:line="276" w:lineRule="auto"/>
              <w:ind w:left="360"/>
              <w:rPr>
                <w:lang w:val="en-US"/>
              </w:rPr>
            </w:pPr>
          </w:p>
          <w:p w:rsidR="00975673" w:rsidRPr="00975673" w:rsidRDefault="00975673" w:rsidP="00975673">
            <w:pPr>
              <w:spacing w:line="288" w:lineRule="auto"/>
              <w:ind w:left="360"/>
              <w:jc w:val="both"/>
              <w:rPr>
                <w:rFonts w:ascii="Times New Roman" w:hAnsi="Times New Roman" w:cs="Times New Roman"/>
                <w:b/>
                <w:bCs/>
                <w:i/>
                <w:iCs/>
                <w:shd w:val="clear" w:color="auto" w:fill="FFFFFF"/>
              </w:rPr>
            </w:pPr>
            <w:r>
              <w:rPr>
                <w:rFonts w:ascii="Times New Roman" w:hAnsi="Times New Roman"/>
              </w:rPr>
              <w:t xml:space="preserve">Komitee ning riiklikud majandus- ja sotsiaalnõukogud on oma liikmeskonnast ja võrgustikest tulenevalt väga heal positsioonil </w:t>
            </w:r>
            <w:r>
              <w:rPr>
                <w:rFonts w:ascii="Times New Roman" w:hAnsi="Times New Roman"/>
                <w:b/>
                <w:bCs/>
              </w:rPr>
              <w:t>kodanikega suhtlemiseks</w:t>
            </w:r>
            <w:r>
              <w:rPr>
                <w:rFonts w:ascii="Times New Roman" w:hAnsi="Times New Roman"/>
              </w:rPr>
              <w:t xml:space="preserve"> ja konverentsi juhtorganitele nende ettepanekutele tähelepanu juhtimiseks. Nüüd on oluline ühisvisioonilt liikuda Euroopa organiseeritud kodanikuühiskonna rakendatavate konkreetsete meetmete suunas, mis on ELi tulevikku uskumise põhiaspekt.</w:t>
            </w:r>
          </w:p>
        </w:tc>
      </w:tr>
    </w:tbl>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7366DC" w:rsidRPr="007D0E35" w:rsidRDefault="007366DC" w:rsidP="007366DC">
      <w:pPr>
        <w:pStyle w:val="ListParagraph"/>
        <w:numPr>
          <w:ilvl w:val="0"/>
          <w:numId w:val="1"/>
        </w:numPr>
        <w:spacing w:line="276" w:lineRule="auto"/>
        <w:rPr>
          <w:b/>
          <w:bCs/>
          <w:smallCaps/>
          <w:color w:val="000099"/>
          <w:u w:val="single"/>
        </w:rPr>
      </w:pPr>
      <w:r>
        <w:rPr>
          <w:b/>
          <w:smallCaps/>
          <w:color w:val="000099"/>
          <w:u w:val="single"/>
        </w:rPr>
        <w:t>Euroopa tulevik: komitee ning riiklike majandus- ja sotsiaalnõukogude visioon</w:t>
      </w:r>
    </w:p>
    <w:p w:rsidR="007366DC" w:rsidRPr="002645D0" w:rsidRDefault="007366DC" w:rsidP="00EA79B5">
      <w:pPr>
        <w:spacing w:after="0" w:line="276" w:lineRule="auto"/>
        <w:jc w:val="both"/>
        <w:rPr>
          <w:rFonts w:ascii="Times New Roman" w:hAnsi="Times New Roman" w:cs="Times New Roman"/>
          <w:lang w:val="en-US"/>
        </w:rPr>
      </w:pPr>
    </w:p>
    <w:p w:rsidR="00EA79B5" w:rsidRPr="002645D0" w:rsidRDefault="000C2CB8" w:rsidP="00EA79B5">
      <w:pPr>
        <w:spacing w:after="0" w:line="276" w:lineRule="auto"/>
        <w:jc w:val="both"/>
        <w:rPr>
          <w:rFonts w:ascii="Times New Roman" w:hAnsi="Times New Roman" w:cs="Times New Roman"/>
        </w:rPr>
      </w:pPr>
      <w:r>
        <w:rPr>
          <w:rFonts w:ascii="Times New Roman" w:hAnsi="Times New Roman"/>
        </w:rPr>
        <w:t xml:space="preserve">Taastumisel tuleb tegeleda pandeemia tagajärgede ning meie ees seisvate </w:t>
      </w:r>
      <w:r>
        <w:rPr>
          <w:rFonts w:ascii="Times New Roman" w:hAnsi="Times New Roman"/>
          <w:b/>
          <w:bCs/>
        </w:rPr>
        <w:t>probleemide ja ümberkujundamistega</w:t>
      </w:r>
      <w:r>
        <w:rPr>
          <w:rFonts w:ascii="Times New Roman" w:hAnsi="Times New Roman"/>
        </w:rPr>
        <w:t>, näiteks rohe- ja digiüleminek, rahvastiku vananemine ja globaliseerumine.</w:t>
      </w:r>
    </w:p>
    <w:p w:rsidR="00EA79B5" w:rsidRPr="002645D0" w:rsidRDefault="00EA79B5" w:rsidP="00EA79B5">
      <w:pPr>
        <w:spacing w:after="0" w:line="276" w:lineRule="auto"/>
        <w:jc w:val="both"/>
        <w:rPr>
          <w:rFonts w:ascii="Times New Roman" w:hAnsi="Times New Roman" w:cs="Times New Roman"/>
          <w:lang w:val="en-US"/>
        </w:rPr>
      </w:pPr>
    </w:p>
    <w:p w:rsidR="000C2CB8" w:rsidRPr="002645D0" w:rsidRDefault="000C2CB8" w:rsidP="00EA79B5">
      <w:pPr>
        <w:spacing w:after="0" w:line="276" w:lineRule="auto"/>
        <w:jc w:val="both"/>
        <w:rPr>
          <w:rFonts w:ascii="Times New Roman" w:hAnsi="Times New Roman" w:cs="Times New Roman"/>
          <w:b/>
          <w:bCs/>
        </w:rPr>
      </w:pPr>
      <w:r>
        <w:rPr>
          <w:rFonts w:ascii="Times New Roman" w:hAnsi="Times New Roman"/>
        </w:rPr>
        <w:t xml:space="preserve">Me ei saa niisama lihtsalt taastada kriisieelset olukorda: peame </w:t>
      </w:r>
      <w:r>
        <w:rPr>
          <w:rFonts w:ascii="Times New Roman" w:hAnsi="Times New Roman"/>
          <w:b/>
          <w:bCs/>
        </w:rPr>
        <w:t>edasi liikuma</w:t>
      </w:r>
      <w:r>
        <w:rPr>
          <w:rFonts w:ascii="Times New Roman" w:hAnsi="Times New Roman"/>
        </w:rPr>
        <w:t xml:space="preserve">, oma ühiskonda ümber korraldama ja täiustama. Meie jõupingutused peavad olema suunatud tugevama Euroopa Liidu loomisele, kus edendatakse </w:t>
      </w:r>
      <w:r>
        <w:rPr>
          <w:rFonts w:ascii="Times New Roman" w:hAnsi="Times New Roman"/>
          <w:b/>
          <w:bCs/>
        </w:rPr>
        <w:t>ülespoole suunatud majanduslikku ja sotsiaalset lähenemist ning suuremat ühtekuuluvust ja solidaarsust</w:t>
      </w:r>
      <w:r>
        <w:rPr>
          <w:rFonts w:ascii="Times New Roman" w:hAnsi="Times New Roman"/>
        </w:rPr>
        <w:t>. Selles visioonis Euroopa kohta on ühendatud jätkusuutlik heaolu</w:t>
      </w:r>
      <w:r>
        <w:rPr>
          <w:rFonts w:ascii="Times New Roman" w:hAnsi="Times New Roman"/>
          <w:b/>
        </w:rPr>
        <w:t>, sotsiaalne õiglus, kaasatus ning õiglane rohe- ja digiüleminek, edendades samal ajal põhiõiguste ja õigusriigi põhimõtte järgimist.</w:t>
      </w:r>
    </w:p>
    <w:p w:rsidR="00EA79B5" w:rsidRPr="002645D0" w:rsidRDefault="00EA79B5" w:rsidP="00EA79B5">
      <w:pPr>
        <w:spacing w:after="0" w:line="276" w:lineRule="auto"/>
        <w:jc w:val="both"/>
        <w:rPr>
          <w:rFonts w:ascii="Times New Roman" w:hAnsi="Times New Roman" w:cs="Times New Roman"/>
          <w:lang w:val="en-US"/>
        </w:rPr>
      </w:pPr>
    </w:p>
    <w:p w:rsidR="00EA79B5" w:rsidRPr="002645D0" w:rsidRDefault="000C2CB8" w:rsidP="00EA79B5">
      <w:pPr>
        <w:spacing w:after="0" w:line="276" w:lineRule="auto"/>
        <w:jc w:val="both"/>
        <w:rPr>
          <w:rFonts w:ascii="Times New Roman" w:hAnsi="Times New Roman" w:cs="Times New Roman"/>
        </w:rPr>
      </w:pPr>
      <w:r>
        <w:rPr>
          <w:rFonts w:ascii="Times New Roman" w:hAnsi="Times New Roman"/>
        </w:rPr>
        <w:t xml:space="preserve">Selleks peaksid liikmesriigid toetama Euroopa majanduse ning mis tahes suuruses ja ettevõtlusvormis tegutsevate ettevõtete, eelkõige VKEde ja sotsiaalmajanduse </w:t>
      </w:r>
      <w:r>
        <w:rPr>
          <w:rFonts w:ascii="Times New Roman" w:hAnsi="Times New Roman"/>
          <w:b/>
          <w:bCs/>
        </w:rPr>
        <w:t>konkurentsivõimet</w:t>
      </w:r>
      <w:r>
        <w:rPr>
          <w:rFonts w:ascii="Times New Roman" w:hAnsi="Times New Roman"/>
        </w:rPr>
        <w:t xml:space="preserve"> ja </w:t>
      </w:r>
      <w:r>
        <w:rPr>
          <w:rFonts w:ascii="Times New Roman" w:hAnsi="Times New Roman"/>
          <w:b/>
          <w:bCs/>
        </w:rPr>
        <w:t>ettevõtlikkust</w:t>
      </w:r>
      <w:r>
        <w:rPr>
          <w:rFonts w:ascii="Times New Roman" w:hAnsi="Times New Roman"/>
        </w:rPr>
        <w:t>, mis peaks samuti kaasa aitama kvaliteetsete töökohtade loomisele.</w:t>
      </w:r>
    </w:p>
    <w:p w:rsidR="00EA79B5" w:rsidRPr="002645D0" w:rsidRDefault="00EA79B5" w:rsidP="00EA79B5">
      <w:pPr>
        <w:spacing w:after="0" w:line="276" w:lineRule="auto"/>
        <w:jc w:val="both"/>
        <w:rPr>
          <w:rFonts w:ascii="Times New Roman" w:hAnsi="Times New Roman" w:cs="Times New Roman"/>
          <w:lang w:val="en-US"/>
        </w:rPr>
      </w:pPr>
    </w:p>
    <w:p w:rsidR="00EA79B5" w:rsidRPr="002645D0" w:rsidRDefault="000C2CB8" w:rsidP="00EA79B5">
      <w:pPr>
        <w:spacing w:after="0" w:line="276" w:lineRule="auto"/>
        <w:jc w:val="both"/>
        <w:rPr>
          <w:rFonts w:ascii="Times New Roman" w:hAnsi="Times New Roman" w:cs="Times New Roman"/>
        </w:rPr>
      </w:pPr>
      <w:r>
        <w:rPr>
          <w:rFonts w:ascii="Times New Roman" w:hAnsi="Times New Roman"/>
        </w:rPr>
        <w:t xml:space="preserve">Samal ajal on aga Euroopal vaja </w:t>
      </w:r>
      <w:r>
        <w:rPr>
          <w:rFonts w:ascii="Times New Roman" w:hAnsi="Times New Roman"/>
          <w:b/>
          <w:bCs/>
        </w:rPr>
        <w:t>sotsiaalset lähenemisviisi, mis ei jäta kedagi kõrvale ja mille abil võideldakse vaesuse vastu</w:t>
      </w:r>
      <w:r>
        <w:rPr>
          <w:rFonts w:ascii="Times New Roman" w:hAnsi="Times New Roman"/>
        </w:rPr>
        <w:t>. Selleks vajame suuremaid taristu- ja sotsiaalseid investeeringuid, sealhulgas sotsiaalkaitsesse ning innovatsiooni ja tulevikukindlate oskuste toetamisse.</w:t>
      </w:r>
    </w:p>
    <w:p w:rsidR="00EA79B5" w:rsidRPr="002645D0" w:rsidRDefault="00EA79B5" w:rsidP="00EA79B5">
      <w:pPr>
        <w:spacing w:after="0" w:line="276" w:lineRule="auto"/>
        <w:jc w:val="both"/>
        <w:rPr>
          <w:rFonts w:ascii="Times New Roman" w:hAnsi="Times New Roman" w:cs="Times New Roman"/>
          <w:lang w:val="en-US"/>
        </w:rPr>
      </w:pPr>
    </w:p>
    <w:p w:rsidR="000C2CB8" w:rsidRPr="002645D0" w:rsidRDefault="000C2CB8" w:rsidP="00EA79B5">
      <w:pPr>
        <w:spacing w:after="0" w:line="276" w:lineRule="auto"/>
        <w:jc w:val="both"/>
        <w:rPr>
          <w:rFonts w:ascii="Times New Roman" w:hAnsi="Times New Roman" w:cs="Times New Roman"/>
        </w:rPr>
      </w:pPr>
      <w:r>
        <w:rPr>
          <w:rFonts w:ascii="Times New Roman" w:hAnsi="Times New Roman"/>
        </w:rPr>
        <w:t xml:space="preserve">Eelkõige tuleb meil </w:t>
      </w:r>
      <w:r>
        <w:rPr>
          <w:rFonts w:ascii="Times New Roman" w:hAnsi="Times New Roman"/>
          <w:b/>
          <w:bCs/>
        </w:rPr>
        <w:t>kaitsta meie ühiskonna kõige haavatavamaid inimesi</w:t>
      </w:r>
      <w:r>
        <w:rPr>
          <w:rFonts w:ascii="Times New Roman" w:hAnsi="Times New Roman"/>
        </w:rPr>
        <w:t>, keda COVID-19 kriis on iseäranis mõjutanud (nt puuetega inimesed ja rändaja või etnilise vähemuse taustaga inimesed). Põlvkondadevahelise võrdsuse vaimus tuleks erilist tähelepanu pöörata noortele, kes väärivad helgemat tulevikku. Komitee ning riiklikud majandus- ja sotsiaalnõukogud peavad kiiduväärseks tähelepanu, mida Euroopa tuleviku konverentsil pööratakse noortele, ja asjaolu, et 2022. aasta on kuulutatud Euroopa noorteaastaks.</w:t>
      </w:r>
    </w:p>
    <w:p w:rsidR="00EA79B5" w:rsidRPr="002645D0" w:rsidRDefault="00EA79B5" w:rsidP="00EA79B5">
      <w:pPr>
        <w:spacing w:after="0" w:line="276" w:lineRule="auto"/>
        <w:jc w:val="both"/>
        <w:rPr>
          <w:rFonts w:ascii="Times New Roman" w:hAnsi="Times New Roman" w:cs="Times New Roman"/>
          <w:lang w:val="en-US"/>
        </w:rPr>
      </w:pPr>
    </w:p>
    <w:p w:rsidR="00456709" w:rsidRPr="002645D0" w:rsidRDefault="00456709" w:rsidP="00456709">
      <w:pPr>
        <w:spacing w:after="0" w:line="276" w:lineRule="auto"/>
        <w:jc w:val="both"/>
        <w:rPr>
          <w:rFonts w:ascii="Times New Roman" w:hAnsi="Times New Roman" w:cs="Times New Roman"/>
          <w:color w:val="424242"/>
          <w:shd w:val="clear" w:color="auto" w:fill="FFFFFF"/>
        </w:rPr>
      </w:pPr>
      <w:r>
        <w:rPr>
          <w:rFonts w:ascii="Times New Roman" w:hAnsi="Times New Roman"/>
          <w:color w:val="424242"/>
          <w:shd w:val="clear" w:color="auto" w:fill="FFFFFF"/>
        </w:rPr>
        <w:t xml:space="preserve">Oluline on tugevdada liikmesriikide </w:t>
      </w:r>
      <w:r>
        <w:rPr>
          <w:rFonts w:ascii="Times New Roman" w:hAnsi="Times New Roman"/>
          <w:b/>
          <w:bCs/>
          <w:color w:val="424242"/>
          <w:shd w:val="clear" w:color="auto" w:fill="FFFFFF"/>
        </w:rPr>
        <w:t>tervishoiusüsteeme</w:t>
      </w:r>
      <w:r>
        <w:rPr>
          <w:rFonts w:ascii="Times New Roman" w:hAnsi="Times New Roman"/>
          <w:color w:val="424242"/>
          <w:shd w:val="clear" w:color="auto" w:fill="FFFFFF"/>
        </w:rPr>
        <w:t xml:space="preserve">, et veelgi parandada kogu ELi hõlmavat tervishoiualast kooskõlastamist ja et tõhusamalt ennetada piiriüleseid terviseohte. EL peaks üles </w:t>
      </w:r>
      <w:r>
        <w:rPr>
          <w:rFonts w:ascii="Times New Roman" w:hAnsi="Times New Roman"/>
          <w:color w:val="424242"/>
          <w:shd w:val="clear" w:color="auto" w:fill="FFFFFF"/>
        </w:rPr>
        <w:lastRenderedPageBreak/>
        <w:t xml:space="preserve">näitama ambitsioonikust Euroopa terviseliidu ning ELi tervisealasteks hädaolukordadeks valmisoleku ja neile reageerimise asutuse suhtes. </w:t>
      </w:r>
    </w:p>
    <w:p w:rsidR="00456709" w:rsidRPr="001216E0" w:rsidRDefault="00456709" w:rsidP="00456709">
      <w:pPr>
        <w:spacing w:after="0" w:line="276" w:lineRule="auto"/>
        <w:jc w:val="both"/>
        <w:rPr>
          <w:rFonts w:ascii="Times New Roman" w:hAnsi="Times New Roman" w:cs="Times New Roman"/>
        </w:rPr>
      </w:pPr>
    </w:p>
    <w:p w:rsidR="00456709" w:rsidRPr="001216E0" w:rsidRDefault="00456709" w:rsidP="00456709">
      <w:pPr>
        <w:spacing w:after="0" w:line="276" w:lineRule="auto"/>
        <w:jc w:val="both"/>
        <w:rPr>
          <w:rFonts w:ascii="Times New Roman" w:hAnsi="Times New Roman" w:cs="Times New Roman"/>
        </w:rPr>
      </w:pPr>
      <w:r>
        <w:rPr>
          <w:rFonts w:ascii="Times New Roman" w:hAnsi="Times New Roman"/>
        </w:rPr>
        <w:t>Komitee ning riiklikud majandus- ja sotsiaalnõukogud kordavad samuti tungivat vajadust rakendada meetmeid seoses kliimakriisiga, mis on põhjustatud inimtegevusest ja mis mõjutab kahtlusteta kõiki planeedi maismaa, õhuruumi ja merega seotud aspekte, eesmärgiga saavutada 2050. aastaks CO</w:t>
      </w:r>
      <w:r>
        <w:rPr>
          <w:rFonts w:ascii="Times New Roman" w:hAnsi="Times New Roman"/>
          <w:vertAlign w:val="subscript"/>
        </w:rPr>
        <w:t>2</w:t>
      </w:r>
      <w:r>
        <w:rPr>
          <w:rFonts w:ascii="Times New Roman" w:hAnsi="Times New Roman"/>
        </w:rPr>
        <w:t>-neutraalsus. Heaolumajandus peaks aitama kaitsta ökosüsteeme, säilitada bioloogilist mitmekesisust, viia ellu õiglast üleminekut kliimaneutraalsele eluviisile kogu ELis ja soodustada jätkusuutlikku ettevõtlust.</w:t>
      </w:r>
    </w:p>
    <w:p w:rsidR="00456709" w:rsidRPr="001216E0" w:rsidRDefault="00456709" w:rsidP="00456709">
      <w:pPr>
        <w:spacing w:after="0" w:line="276" w:lineRule="auto"/>
        <w:jc w:val="both"/>
        <w:rPr>
          <w:rFonts w:ascii="Times New Roman" w:hAnsi="Times New Roman" w:cs="Times New Roman"/>
        </w:rPr>
      </w:pPr>
    </w:p>
    <w:p w:rsidR="00456709" w:rsidRPr="002645D0" w:rsidRDefault="00456709" w:rsidP="00EA79B5">
      <w:pPr>
        <w:spacing w:after="0" w:line="276" w:lineRule="auto"/>
        <w:jc w:val="both"/>
        <w:rPr>
          <w:rFonts w:ascii="Times New Roman" w:hAnsi="Times New Roman" w:cs="Times New Roman"/>
        </w:rPr>
      </w:pPr>
      <w:r>
        <w:rPr>
          <w:rFonts w:ascii="Times New Roman" w:hAnsi="Times New Roman"/>
        </w:rPr>
        <w:t xml:space="preserve">Sama oluline on ka, et Euroopa Liidus kaitstaks </w:t>
      </w:r>
      <w:r>
        <w:rPr>
          <w:rFonts w:ascii="Times New Roman" w:hAnsi="Times New Roman"/>
          <w:b/>
          <w:bCs/>
        </w:rPr>
        <w:t>soolist võrdõiguslikkust, mitmekesisust, rahu, põhiõigusi, õigusriigi põhimõtet, demokraatiat, sotsiaaldialoogi ja kaasavat valitsemist</w:t>
      </w:r>
      <w:r>
        <w:rPr>
          <w:rFonts w:ascii="Times New Roman" w:hAnsi="Times New Roman"/>
        </w:rPr>
        <w:t>.</w:t>
      </w:r>
    </w:p>
    <w:p w:rsidR="007D0E35" w:rsidRPr="002645D0" w:rsidRDefault="007D0E35" w:rsidP="00EA79B5">
      <w:pPr>
        <w:spacing w:after="0" w:line="276" w:lineRule="auto"/>
        <w:rPr>
          <w:rFonts w:ascii="Times New Roman" w:hAnsi="Times New Roman" w:cs="Times New Roman"/>
          <w:lang w:val="en-US"/>
        </w:rPr>
      </w:pPr>
    </w:p>
    <w:p w:rsidR="00EA79B5" w:rsidRPr="007D0E35" w:rsidRDefault="00456709" w:rsidP="00CA21FC">
      <w:pPr>
        <w:pStyle w:val="ListParagraph"/>
        <w:numPr>
          <w:ilvl w:val="0"/>
          <w:numId w:val="1"/>
        </w:numPr>
        <w:spacing w:line="276" w:lineRule="auto"/>
        <w:rPr>
          <w:b/>
          <w:bCs/>
          <w:smallCaps/>
          <w:color w:val="000099"/>
          <w:u w:val="single"/>
        </w:rPr>
      </w:pPr>
      <w:r>
        <w:rPr>
          <w:b/>
          <w:smallCaps/>
          <w:color w:val="000099"/>
          <w:u w:val="single"/>
        </w:rPr>
        <w:t xml:space="preserve">Ühisvisiooni saavutamiseks kasutame oma tugevaid külgi </w:t>
      </w:r>
    </w:p>
    <w:p w:rsidR="00456709" w:rsidRPr="002645D0" w:rsidRDefault="00456709" w:rsidP="00456709">
      <w:pPr>
        <w:pStyle w:val="ListParagraph"/>
        <w:spacing w:line="276" w:lineRule="auto"/>
        <w:ind w:left="360"/>
        <w:rPr>
          <w:lang w:val="en-US"/>
        </w:rPr>
      </w:pPr>
    </w:p>
    <w:p w:rsidR="00456709" w:rsidRPr="002645D0" w:rsidRDefault="00456709" w:rsidP="00456709">
      <w:pPr>
        <w:spacing w:after="0" w:line="276" w:lineRule="auto"/>
        <w:jc w:val="both"/>
        <w:rPr>
          <w:rFonts w:ascii="Times New Roman" w:hAnsi="Times New Roman" w:cs="Times New Roman"/>
        </w:rPr>
      </w:pPr>
      <w:r>
        <w:rPr>
          <w:rFonts w:ascii="Times New Roman" w:hAnsi="Times New Roman"/>
        </w:rPr>
        <w:t xml:space="preserve">Euroopa Liit saab toetuda </w:t>
      </w:r>
      <w:r>
        <w:rPr>
          <w:rFonts w:ascii="Times New Roman" w:hAnsi="Times New Roman"/>
          <w:b/>
          <w:bCs/>
        </w:rPr>
        <w:t>peamistele tugevustele</w:t>
      </w:r>
      <w:r>
        <w:rPr>
          <w:rFonts w:ascii="Times New Roman" w:hAnsi="Times New Roman"/>
        </w:rPr>
        <w:t xml:space="preserve">, näiteks </w:t>
      </w:r>
      <w:r>
        <w:rPr>
          <w:rFonts w:ascii="Times New Roman" w:hAnsi="Times New Roman"/>
          <w:b/>
          <w:bCs/>
        </w:rPr>
        <w:t>suur siseturg, tugev tööstusbaas ja enneolematu solidaarsus</w:t>
      </w:r>
      <w:r>
        <w:rPr>
          <w:rFonts w:ascii="Times New Roman" w:hAnsi="Times New Roman"/>
        </w:rPr>
        <w:t xml:space="preserve">, mida kajastab uue taasterahastu „NextGenerationEU“ vastuvõtmine. </w:t>
      </w:r>
    </w:p>
    <w:p w:rsidR="00456709" w:rsidRPr="002645D0" w:rsidRDefault="00456709" w:rsidP="00456709">
      <w:pPr>
        <w:spacing w:after="0" w:line="276" w:lineRule="auto"/>
        <w:jc w:val="both"/>
        <w:rPr>
          <w:rFonts w:ascii="Times New Roman" w:hAnsi="Times New Roman" w:cs="Times New Roman"/>
          <w:lang w:val="en-US"/>
        </w:rPr>
      </w:pPr>
    </w:p>
    <w:p w:rsidR="00456709" w:rsidRPr="002645D0" w:rsidRDefault="00456709" w:rsidP="00456709">
      <w:pPr>
        <w:spacing w:after="0" w:line="276" w:lineRule="auto"/>
        <w:jc w:val="both"/>
        <w:rPr>
          <w:rFonts w:ascii="Times New Roman" w:hAnsi="Times New Roman" w:cs="Times New Roman"/>
        </w:rPr>
      </w:pPr>
      <w:r>
        <w:rPr>
          <w:rFonts w:ascii="Times New Roman" w:hAnsi="Times New Roman"/>
        </w:rPr>
        <w:t xml:space="preserve">Oma </w:t>
      </w:r>
      <w:r>
        <w:rPr>
          <w:rFonts w:ascii="Times New Roman" w:hAnsi="Times New Roman"/>
          <w:b/>
          <w:bCs/>
        </w:rPr>
        <w:t>väärtuste, põhiõiguste ja õigusriigi põhimõtte</w:t>
      </w:r>
      <w:r>
        <w:rPr>
          <w:rFonts w:ascii="Times New Roman" w:hAnsi="Times New Roman"/>
        </w:rPr>
        <w:t xml:space="preserve"> ning prioriteetide kaitsmiseks peab Euroopa Liit samuti mängima </w:t>
      </w:r>
      <w:r>
        <w:rPr>
          <w:rFonts w:ascii="Times New Roman" w:hAnsi="Times New Roman"/>
          <w:b/>
          <w:bCs/>
        </w:rPr>
        <w:t>positiivset rolli rahvusvahelisel majandusareenil</w:t>
      </w:r>
      <w:r>
        <w:rPr>
          <w:rFonts w:ascii="Times New Roman" w:hAnsi="Times New Roman"/>
        </w:rPr>
        <w:t>. ELil tuleb saavutada teatud tasemel avatud strateegiline autonoomia ning suurendada oma kriisivalmidust ja kriisiohjesuutlikkust.</w:t>
      </w:r>
    </w:p>
    <w:p w:rsidR="002645D0" w:rsidRPr="002645D0" w:rsidRDefault="002645D0" w:rsidP="00456709">
      <w:pPr>
        <w:spacing w:after="0" w:line="276" w:lineRule="auto"/>
        <w:jc w:val="both"/>
        <w:rPr>
          <w:rFonts w:ascii="Times New Roman" w:hAnsi="Times New Roman" w:cs="Times New Roman"/>
          <w:b/>
          <w:bCs/>
          <w:lang w:val="en-US"/>
        </w:rPr>
      </w:pPr>
    </w:p>
    <w:p w:rsidR="00456709" w:rsidRPr="002645D0" w:rsidRDefault="005713DF" w:rsidP="00456709">
      <w:pPr>
        <w:spacing w:after="0" w:line="276" w:lineRule="auto"/>
        <w:jc w:val="both"/>
        <w:rPr>
          <w:rFonts w:ascii="Times New Roman" w:hAnsi="Times New Roman" w:cs="Times New Roman"/>
        </w:rPr>
      </w:pPr>
      <w:r>
        <w:rPr>
          <w:rFonts w:ascii="Times New Roman" w:hAnsi="Times New Roman"/>
          <w:b/>
          <w:bCs/>
        </w:rPr>
        <w:t>Euroopa roheline kokkulepe</w:t>
      </w:r>
      <w:r>
        <w:rPr>
          <w:rFonts w:ascii="Times New Roman" w:hAnsi="Times New Roman"/>
        </w:rPr>
        <w:t xml:space="preserve"> on uus Euroopa majanduskasvu strateegia, mille keskmes on heaolu, kestlikkus ja sotsiaalne õiglus.  Eesmärk on muuta EL kaasaegseks, ressursitõhusaks ja konkurentsivõimeliseks majanduseks, tagades 2050. aastaks kasvuhoonegaaside netoheite kõrvaldamise ja ressursikasutusest sõltumatu majanduskasvu, kus kedagi ei jäeta kõrvale.</w:t>
      </w:r>
    </w:p>
    <w:p w:rsidR="00456709" w:rsidRPr="002645D0" w:rsidRDefault="00456709" w:rsidP="00456709">
      <w:pPr>
        <w:spacing w:after="0" w:line="276" w:lineRule="auto"/>
        <w:jc w:val="both"/>
        <w:rPr>
          <w:rFonts w:ascii="Times New Roman" w:hAnsi="Times New Roman" w:cs="Times New Roman"/>
          <w:lang w:val="en-US"/>
        </w:rPr>
      </w:pPr>
    </w:p>
    <w:p w:rsidR="00456709" w:rsidRDefault="00456709" w:rsidP="00456709">
      <w:pPr>
        <w:spacing w:after="0" w:line="276" w:lineRule="auto"/>
        <w:jc w:val="both"/>
        <w:rPr>
          <w:rFonts w:ascii="Times New Roman" w:hAnsi="Times New Roman" w:cs="Times New Roman"/>
        </w:rPr>
      </w:pPr>
      <w:r>
        <w:rPr>
          <w:rFonts w:ascii="Times New Roman" w:hAnsi="Times New Roman"/>
        </w:rPr>
        <w:t>Õiglane üleminek kliimaneutraalsele eluviisile, kvaliteetsete töökohtade loomine ning jätkusuutliku ettevõtluse ja innovatsiooni, sealhulgas ring- ja sotsiaalmajanduse edendamine on Euroopa õitsengu jaoks hädavajalikud.</w:t>
      </w:r>
    </w:p>
    <w:p w:rsidR="000F43E2" w:rsidRPr="002645D0" w:rsidRDefault="000F43E2" w:rsidP="005C5031">
      <w:pPr>
        <w:spacing w:after="0" w:line="276" w:lineRule="auto"/>
        <w:jc w:val="both"/>
        <w:rPr>
          <w:rFonts w:ascii="Times New Roman" w:hAnsi="Times New Roman" w:cs="Times New Roman"/>
          <w:lang w:val="en-US"/>
        </w:rPr>
      </w:pPr>
    </w:p>
    <w:p w:rsidR="001E6FD9" w:rsidRPr="002645D0" w:rsidRDefault="001E6FD9" w:rsidP="005C5031">
      <w:pPr>
        <w:spacing w:after="0" w:line="276" w:lineRule="auto"/>
        <w:jc w:val="both"/>
        <w:rPr>
          <w:rFonts w:ascii="Times New Roman" w:hAnsi="Times New Roman" w:cs="Times New Roman"/>
        </w:rPr>
      </w:pPr>
      <w:r>
        <w:rPr>
          <w:rFonts w:ascii="Times New Roman" w:hAnsi="Times New Roman"/>
        </w:rPr>
        <w:t xml:space="preserve">Teine suur ülesanne on </w:t>
      </w:r>
      <w:r>
        <w:rPr>
          <w:rFonts w:ascii="Times New Roman" w:hAnsi="Times New Roman"/>
          <w:b/>
          <w:bCs/>
        </w:rPr>
        <w:t>digiüleminek</w:t>
      </w:r>
      <w:r>
        <w:rPr>
          <w:rFonts w:ascii="Times New Roman" w:hAnsi="Times New Roman"/>
        </w:rPr>
        <w:t xml:space="preserve"> edukalt lõpule viia. Selle eesmärk on võimestada inimesi ja ettevõtteid, et võtta omaks digitulevik, mis on inimkeskne, kestlik ja jõukam. ELi digitaalarengu tegevuskava eesmärk on tagada, et selline ümberkujundamine tooks kasu kõigile – kodanikele ja ettevõtetele, aidates samal ajal ELil saavutada 2050. aastaks kliimaneutraalsuse eesmärk.</w:t>
      </w:r>
    </w:p>
    <w:p w:rsidR="000F43E2" w:rsidRPr="002645D0" w:rsidRDefault="000F43E2" w:rsidP="005C5031">
      <w:pPr>
        <w:spacing w:after="0" w:line="276" w:lineRule="auto"/>
        <w:jc w:val="both"/>
        <w:rPr>
          <w:rFonts w:ascii="Times New Roman" w:hAnsi="Times New Roman" w:cs="Times New Roman"/>
          <w:lang w:val="en-US"/>
        </w:rPr>
      </w:pPr>
    </w:p>
    <w:p w:rsidR="00066B82" w:rsidRPr="002645D0" w:rsidRDefault="00066B82" w:rsidP="00066B82">
      <w:pPr>
        <w:spacing w:after="0" w:line="276" w:lineRule="auto"/>
        <w:jc w:val="both"/>
        <w:rPr>
          <w:rFonts w:ascii="Times New Roman" w:hAnsi="Times New Roman" w:cs="Times New Roman"/>
        </w:rPr>
      </w:pPr>
      <w:r>
        <w:rPr>
          <w:rFonts w:ascii="Times New Roman" w:hAnsi="Times New Roman"/>
        </w:rPr>
        <w:t xml:space="preserve">Lõppude lõpuks </w:t>
      </w:r>
      <w:r>
        <w:rPr>
          <w:rFonts w:ascii="Times New Roman" w:hAnsi="Times New Roman"/>
          <w:b/>
          <w:bCs/>
        </w:rPr>
        <w:t>on meie liidu suurim vara selle kodanikud ja Euroopa kodanikuühiskond</w:t>
      </w:r>
      <w:r>
        <w:rPr>
          <w:rFonts w:ascii="Times New Roman" w:hAnsi="Times New Roman"/>
        </w:rPr>
        <w:t>.</w:t>
      </w:r>
      <w:r>
        <w:rPr>
          <w:rFonts w:ascii="Times New Roman" w:hAnsi="Times New Roman"/>
          <w:b/>
        </w:rPr>
        <w:t xml:space="preserve"> </w:t>
      </w:r>
      <w:r>
        <w:rPr>
          <w:rFonts w:ascii="Times New Roman" w:hAnsi="Times New Roman"/>
        </w:rPr>
        <w:t xml:space="preserve">Need peavad tulemusliku kodanikuühiskonna- ja sotsiaaldialoogi kaudu olema poliitika keskmes ning neid tuleb võimestada rohe- ja digiülemineku kontekstis vajalike muutustega toime tulema.  Euroopa sotsiaalõiguste harta 20 põhimõtet on majakad, mis juhatavad meid kaasava ja võimalusterohke sotsiaalse Euroopa suunas. </w:t>
      </w:r>
    </w:p>
    <w:p w:rsidR="00066B82" w:rsidRPr="002645D0" w:rsidRDefault="00066B82" w:rsidP="00066B82">
      <w:pPr>
        <w:spacing w:after="0" w:line="276" w:lineRule="auto"/>
        <w:jc w:val="both"/>
        <w:rPr>
          <w:rFonts w:ascii="Times New Roman" w:hAnsi="Times New Roman" w:cs="Times New Roman"/>
          <w:lang w:val="en-US"/>
        </w:rPr>
      </w:pPr>
    </w:p>
    <w:p w:rsidR="00066B82" w:rsidRPr="002645D0" w:rsidRDefault="00066B82" w:rsidP="00066B82">
      <w:pPr>
        <w:spacing w:after="0" w:line="276" w:lineRule="auto"/>
        <w:jc w:val="both"/>
        <w:rPr>
          <w:rFonts w:ascii="Times New Roman" w:hAnsi="Times New Roman" w:cs="Times New Roman"/>
        </w:rPr>
      </w:pPr>
      <w:r>
        <w:rPr>
          <w:rFonts w:ascii="Times New Roman" w:hAnsi="Times New Roman"/>
        </w:rPr>
        <w:t xml:space="preserve">Komitee ning riiklikud majandus- ja sotsiaalnõukogud peavad kiiduväärseks asjaolu, et 2022. aasta on </w:t>
      </w:r>
      <w:r>
        <w:rPr>
          <w:rFonts w:ascii="Times New Roman" w:hAnsi="Times New Roman"/>
          <w:b/>
          <w:bCs/>
        </w:rPr>
        <w:t>Euroopa noorteaasta</w:t>
      </w:r>
      <w:r>
        <w:rPr>
          <w:rFonts w:ascii="Times New Roman" w:hAnsi="Times New Roman"/>
        </w:rPr>
        <w:t>. Pandeemia on kõige enam mõjutanud noori, kelle töötuse ja mitteaktiivsuse määr on tõusnud. Komitee ning riiklikud majandus- ja sotsiaalnõukogud nõuavad meetmeid, mis keskenduksid nii aktiivsele tööturupoliitikale kui ka haridusele ja oskustele. Samuti on ülioluline põlvkondadevaheline solidaarsus: see on oluline tegur noorte abistamisel, samal ajal väärtustades eakaid.</w:t>
      </w:r>
    </w:p>
    <w:p w:rsidR="00066B82" w:rsidRPr="002645D0" w:rsidRDefault="00066B82" w:rsidP="00EA79B5">
      <w:pPr>
        <w:spacing w:after="0" w:line="276" w:lineRule="auto"/>
        <w:jc w:val="both"/>
        <w:rPr>
          <w:rFonts w:ascii="Times New Roman" w:hAnsi="Times New Roman" w:cs="Times New Roman"/>
          <w:b/>
          <w:bCs/>
          <w:lang w:val="en-US"/>
        </w:rPr>
      </w:pPr>
    </w:p>
    <w:p w:rsidR="00EA79B5" w:rsidRPr="008C12CB" w:rsidRDefault="00066B82" w:rsidP="00EA79B5">
      <w:pPr>
        <w:spacing w:after="0" w:line="276" w:lineRule="auto"/>
        <w:jc w:val="both"/>
        <w:rPr>
          <w:rFonts w:ascii="Times New Roman" w:hAnsi="Times New Roman" w:cs="Times New Roman"/>
          <w:b/>
          <w:bCs/>
        </w:rPr>
      </w:pPr>
      <w:r>
        <w:rPr>
          <w:rFonts w:ascii="Times New Roman" w:hAnsi="Times New Roman"/>
          <w:b/>
        </w:rPr>
        <w:t>Taasterahastu „NextGenerationEU“ ning riiklikud taaste- ja vastupidavuskavad</w:t>
      </w:r>
    </w:p>
    <w:p w:rsidR="00EA79B5" w:rsidRPr="002645D0" w:rsidRDefault="00EA79B5" w:rsidP="00EA79B5">
      <w:pPr>
        <w:spacing w:after="0" w:line="276" w:lineRule="auto"/>
        <w:jc w:val="both"/>
        <w:rPr>
          <w:rFonts w:ascii="Times New Roman" w:hAnsi="Times New Roman" w:cs="Times New Roman"/>
          <w:b/>
          <w:bCs/>
          <w:u w:val="single"/>
          <w:lang w:val="en-US"/>
        </w:rPr>
      </w:pPr>
    </w:p>
    <w:p w:rsidR="00066B82" w:rsidRPr="002645D0" w:rsidRDefault="00066B82" w:rsidP="00EA79B5">
      <w:pPr>
        <w:spacing w:after="0" w:line="276" w:lineRule="auto"/>
        <w:jc w:val="both"/>
        <w:rPr>
          <w:rFonts w:ascii="Times New Roman" w:hAnsi="Times New Roman" w:cs="Times New Roman"/>
        </w:rPr>
      </w:pPr>
      <w:r>
        <w:rPr>
          <w:rFonts w:ascii="Times New Roman" w:hAnsi="Times New Roman"/>
        </w:rPr>
        <w:t>EL peab jätkama positiivse ja ajaloolise tähtsusega tõukejõuga, mille on kaasa toonud taasterahastu „NextGenerationEU“ kasutuselevõtt. Tegu on üle 800 miljardi euro suuruse ajutise taasterahastuga, mille kaudu aidatakse kõrvaldada COVID-19 pandeemia põhjustatud otsest majanduslikku ja sotsiaalset kahju.</w:t>
      </w:r>
    </w:p>
    <w:p w:rsidR="00EA79B5" w:rsidRPr="002645D0" w:rsidRDefault="00EA79B5" w:rsidP="00EA79B5">
      <w:pPr>
        <w:spacing w:after="0" w:line="276" w:lineRule="auto"/>
        <w:jc w:val="both"/>
        <w:rPr>
          <w:rFonts w:ascii="Times New Roman" w:hAnsi="Times New Roman" w:cs="Times New Roman"/>
          <w:lang w:val="en-US"/>
        </w:rPr>
      </w:pPr>
    </w:p>
    <w:p w:rsidR="00066B82" w:rsidRPr="002645D0" w:rsidRDefault="00066B82" w:rsidP="00EA79B5">
      <w:pPr>
        <w:spacing w:after="0" w:line="276" w:lineRule="auto"/>
        <w:jc w:val="both"/>
        <w:rPr>
          <w:rFonts w:ascii="Times New Roman" w:hAnsi="Times New Roman" w:cs="Times New Roman"/>
        </w:rPr>
      </w:pPr>
      <w:r>
        <w:rPr>
          <w:rFonts w:ascii="Times New Roman" w:hAnsi="Times New Roman"/>
        </w:rPr>
        <w:t>Taaste- ja vastupidavusrahastu kaudu, mis on taasterahastu „NextGenerationEU“ keskne osa, toetatakse liikmesriikide reforme ja investeeringuid. Eesmärk on muuta Euroopa rohelisemaks, digitaalsemaks, vastupanuvõimelisemaks ja paremini kohandatavaks, et vastu seista praegustele ja tulevastele probleemidele.</w:t>
      </w:r>
    </w:p>
    <w:p w:rsidR="00EA79B5" w:rsidRPr="002645D0" w:rsidRDefault="00EA79B5" w:rsidP="00EA79B5">
      <w:pPr>
        <w:spacing w:after="0" w:line="276" w:lineRule="auto"/>
        <w:jc w:val="both"/>
        <w:rPr>
          <w:rFonts w:ascii="Times New Roman" w:hAnsi="Times New Roman" w:cs="Times New Roman"/>
          <w:lang w:val="en-US"/>
        </w:rPr>
      </w:pPr>
    </w:p>
    <w:p w:rsidR="00066B82" w:rsidRPr="002645D0" w:rsidRDefault="00066B82" w:rsidP="00EA79B5">
      <w:pPr>
        <w:spacing w:after="0" w:line="276" w:lineRule="auto"/>
        <w:jc w:val="both"/>
        <w:rPr>
          <w:rFonts w:ascii="Times New Roman" w:hAnsi="Times New Roman" w:cs="Times New Roman"/>
        </w:rPr>
      </w:pPr>
      <w:r>
        <w:rPr>
          <w:rFonts w:ascii="Times New Roman" w:hAnsi="Times New Roman"/>
        </w:rPr>
        <w:t>Taaste- ja vastupidavusrahastu määruses rõhutatakse vajadust konsulteerida riiklike taastekavade väljatöötamisel ja elluviimisel nii kodanikuühiskonna organisatsioonide kui ka sotsiaalpartneritega. Siiski on kogemused näidatud, et seni ei ole see nii olnud</w:t>
      </w:r>
      <w:r>
        <w:rPr>
          <w:rStyle w:val="FootnoteReference"/>
          <w:rFonts w:ascii="Times New Roman" w:hAnsi="Times New Roman" w:cs="Times New Roman"/>
          <w:lang w:val="fr-BE"/>
        </w:rPr>
        <w:footnoteReference w:id="1"/>
      </w:r>
      <w:r>
        <w:rPr>
          <w:rFonts w:ascii="Times New Roman" w:hAnsi="Times New Roman"/>
        </w:rPr>
        <w:t xml:space="preserve">. Komitee ning riiklikud majandus- ja sotsiaalnõukogud järeldavad, et enamikus liikmesriikides ei ole konsulteerimised olnud organiseeritud kodanikuühiskonna õigustatud nõudmiste suhtes kaugeltki rahuldavad. Seetõttu nõuavad nad </w:t>
      </w:r>
      <w:r>
        <w:rPr>
          <w:rFonts w:ascii="Times New Roman" w:hAnsi="Times New Roman"/>
          <w:b/>
          <w:bCs/>
        </w:rPr>
        <w:t>organiseeritud kodanikuühiskonna palju konkreetsemat kaasamist</w:t>
      </w:r>
      <w:r>
        <w:rPr>
          <w:rFonts w:ascii="Times New Roman" w:hAnsi="Times New Roman"/>
        </w:rPr>
        <w:t xml:space="preserve"> riiklike kavade elluviimis- ja hindamisetapis ning ametlikumaid menetlusi, mis hõlbustavad reaalset mõttevahetust.</w:t>
      </w:r>
    </w:p>
    <w:p w:rsidR="007D0E35" w:rsidRPr="002645D0" w:rsidRDefault="007D0E35" w:rsidP="00EA79B5">
      <w:pPr>
        <w:spacing w:after="0" w:line="276" w:lineRule="auto"/>
        <w:jc w:val="both"/>
        <w:rPr>
          <w:rFonts w:ascii="Times New Roman" w:hAnsi="Times New Roman" w:cs="Times New Roman"/>
          <w:lang w:val="en-US"/>
        </w:rPr>
      </w:pPr>
    </w:p>
    <w:p w:rsidR="00EA79B5" w:rsidRPr="007D0E35" w:rsidRDefault="00911EF8" w:rsidP="00911EF8">
      <w:pPr>
        <w:pStyle w:val="ListParagraph"/>
        <w:numPr>
          <w:ilvl w:val="0"/>
          <w:numId w:val="1"/>
        </w:numPr>
        <w:spacing w:line="276" w:lineRule="auto"/>
        <w:rPr>
          <w:b/>
          <w:bCs/>
          <w:smallCaps/>
          <w:color w:val="000099"/>
          <w:u w:val="single"/>
        </w:rPr>
      </w:pPr>
      <w:r>
        <w:rPr>
          <w:b/>
          <w:smallCaps/>
          <w:color w:val="000099"/>
          <w:u w:val="single"/>
        </w:rPr>
        <w:t>Organiseeritud kodanikuühiskonna hääl: meie ühise tuleviku kujundamisega seotud oluline aspekt</w:t>
      </w:r>
    </w:p>
    <w:p w:rsidR="00EA79B5" w:rsidRPr="002645D0" w:rsidRDefault="00EA79B5" w:rsidP="00EA79B5">
      <w:pPr>
        <w:spacing w:after="0" w:line="276" w:lineRule="auto"/>
        <w:jc w:val="both"/>
        <w:rPr>
          <w:rFonts w:ascii="Times New Roman" w:hAnsi="Times New Roman" w:cs="Times New Roman"/>
          <w:bCs/>
          <w:lang w:val="en-US"/>
        </w:rPr>
      </w:pPr>
    </w:p>
    <w:p w:rsidR="00911EF8" w:rsidRPr="002645D0" w:rsidRDefault="00911EF8" w:rsidP="00EA79B5">
      <w:pPr>
        <w:spacing w:after="0" w:line="276" w:lineRule="auto"/>
        <w:jc w:val="both"/>
        <w:rPr>
          <w:rFonts w:ascii="Times New Roman" w:hAnsi="Times New Roman" w:cs="Times New Roman"/>
        </w:rPr>
      </w:pPr>
      <w:r>
        <w:rPr>
          <w:rFonts w:ascii="Times New Roman" w:hAnsi="Times New Roman"/>
        </w:rPr>
        <w:t>Alates COVID-19 kriisi algusest on tööandjate organisatsioonidel, ametiühingutel ja muudel kodanikuühiskonna organisatsioonidel olnud suur roll kriisi mõju leevendamisel. Euroopa kodanikuühiskonna rakendatud meetmete kohta on lugematu arv näiteid, mis kinnitavad selle struktuuride olulisust. Nende töö COVID-19 kriisi haripunktis andis olulise panuse meie ühiskonna ühtekuuluvuse ja stabiilsuse säilitamisse.</w:t>
      </w:r>
    </w:p>
    <w:p w:rsidR="00EA79B5" w:rsidRPr="002645D0" w:rsidRDefault="00EA79B5" w:rsidP="00EA79B5">
      <w:pPr>
        <w:spacing w:after="0" w:line="276" w:lineRule="auto"/>
        <w:jc w:val="both"/>
        <w:rPr>
          <w:rFonts w:ascii="Times New Roman" w:hAnsi="Times New Roman" w:cs="Times New Roman"/>
          <w:lang w:val="en-US"/>
        </w:rPr>
      </w:pPr>
    </w:p>
    <w:p w:rsidR="00911EF8" w:rsidRPr="002645D0" w:rsidRDefault="00911EF8" w:rsidP="00911EF8">
      <w:pPr>
        <w:spacing w:after="0" w:line="276" w:lineRule="auto"/>
        <w:jc w:val="both"/>
        <w:rPr>
          <w:rFonts w:ascii="Times New Roman" w:hAnsi="Times New Roman" w:cs="Times New Roman"/>
          <w:b/>
          <w:bCs/>
        </w:rPr>
      </w:pPr>
      <w:r>
        <w:rPr>
          <w:rFonts w:ascii="Times New Roman" w:hAnsi="Times New Roman"/>
        </w:rPr>
        <w:t xml:space="preserve">Ajal, mil Euroopa Liitu tuleb uuesti üles ehitada ja tulevikuks ette valmistada, on </w:t>
      </w:r>
      <w:r>
        <w:rPr>
          <w:rFonts w:ascii="Times New Roman" w:hAnsi="Times New Roman"/>
          <w:b/>
          <w:bCs/>
        </w:rPr>
        <w:t>peamisteks osalejateks sotsiaalpartnerid ja kodanikuühiskonna organisatsioonid, samuti komitee ning liikmesriikide majandus- ja sotsiaalnõukogud</w:t>
      </w:r>
      <w:r>
        <w:rPr>
          <w:rFonts w:ascii="Times New Roman" w:hAnsi="Times New Roman"/>
        </w:rPr>
        <w:t>.</w:t>
      </w:r>
    </w:p>
    <w:p w:rsidR="00911EF8" w:rsidRPr="002645D0" w:rsidRDefault="00911EF8" w:rsidP="00911EF8">
      <w:pPr>
        <w:spacing w:after="0" w:line="276" w:lineRule="auto"/>
        <w:jc w:val="both"/>
        <w:rPr>
          <w:rFonts w:ascii="Times New Roman" w:hAnsi="Times New Roman" w:cs="Times New Roman"/>
          <w:lang w:val="en-US"/>
        </w:rPr>
      </w:pPr>
    </w:p>
    <w:p w:rsidR="00911EF8" w:rsidRPr="002645D0" w:rsidRDefault="00911EF8" w:rsidP="00911EF8">
      <w:pPr>
        <w:spacing w:after="0" w:line="276" w:lineRule="auto"/>
        <w:jc w:val="both"/>
        <w:rPr>
          <w:rFonts w:ascii="Times New Roman" w:hAnsi="Times New Roman" w:cs="Times New Roman"/>
        </w:rPr>
      </w:pPr>
      <w:r>
        <w:rPr>
          <w:rFonts w:ascii="Times New Roman" w:hAnsi="Times New Roman"/>
        </w:rPr>
        <w:t>Euroopa uuenemine ja sotsiaal-majanduslik ülesehitamine eeldab ühiskonna kõigi komponentide reaalset ja konkreetset kaasamist, eelkõige reformide kavandamis-, elluviimis- ja hindamisprotsessidesse.</w:t>
      </w:r>
    </w:p>
    <w:p w:rsidR="00EA79B5" w:rsidRPr="002645D0" w:rsidRDefault="00EA79B5" w:rsidP="00EA79B5">
      <w:pPr>
        <w:spacing w:after="0" w:line="276" w:lineRule="auto"/>
        <w:jc w:val="both"/>
        <w:rPr>
          <w:rFonts w:ascii="Times New Roman" w:hAnsi="Times New Roman" w:cs="Times New Roman"/>
          <w:lang w:val="en-US"/>
        </w:rPr>
      </w:pPr>
    </w:p>
    <w:p w:rsidR="00911EF8" w:rsidRPr="002645D0" w:rsidRDefault="00911EF8" w:rsidP="00911EF8">
      <w:pPr>
        <w:spacing w:after="0" w:line="276" w:lineRule="auto"/>
        <w:rPr>
          <w:rFonts w:ascii="Times New Roman" w:hAnsi="Times New Roman" w:cs="Times New Roman"/>
        </w:rPr>
      </w:pPr>
      <w:r>
        <w:rPr>
          <w:rFonts w:ascii="Times New Roman" w:hAnsi="Times New Roman"/>
        </w:rPr>
        <w:t xml:space="preserve">Komiteel ning liikmesriikide majandus- ja sotsiaalnõukogudel on selles valdkonnas sügavad teadmised ja need on ainulaadsed alalised kodanikuühiskonnaga peetava dialoogi foorumid, mille eeliseks on eri sidusrühmade </w:t>
      </w:r>
      <w:r>
        <w:rPr>
          <w:rFonts w:ascii="Times New Roman" w:hAnsi="Times New Roman"/>
          <w:b/>
          <w:bCs/>
        </w:rPr>
        <w:t>konsensusel põhinevate lahenduste</w:t>
      </w:r>
      <w:r>
        <w:rPr>
          <w:rFonts w:ascii="Times New Roman" w:hAnsi="Times New Roman"/>
        </w:rPr>
        <w:t xml:space="preserve"> pakkumine. Tänu oma loovusele ja prognoosimisvõimele suudavad nad välja töötada 21. sajandi probleemidele kohaseid lahendusi ning neil peab olema ülesehitusprotsessis oluline roll. </w:t>
      </w:r>
    </w:p>
    <w:p w:rsidR="00911EF8" w:rsidRPr="002645D0" w:rsidRDefault="00911EF8" w:rsidP="00911EF8">
      <w:pPr>
        <w:spacing w:after="0" w:line="276" w:lineRule="auto"/>
        <w:rPr>
          <w:rFonts w:ascii="Times New Roman" w:hAnsi="Times New Roman" w:cs="Times New Roman"/>
          <w:lang w:val="en-US"/>
        </w:rPr>
      </w:pPr>
    </w:p>
    <w:p w:rsidR="00911EF8" w:rsidRPr="002645D0" w:rsidRDefault="00911EF8" w:rsidP="00911EF8">
      <w:pPr>
        <w:spacing w:after="0" w:line="276" w:lineRule="auto"/>
        <w:rPr>
          <w:rFonts w:ascii="Times New Roman" w:hAnsi="Times New Roman" w:cs="Times New Roman"/>
        </w:rPr>
      </w:pPr>
      <w:r>
        <w:rPr>
          <w:rFonts w:ascii="Times New Roman" w:hAnsi="Times New Roman"/>
        </w:rPr>
        <w:lastRenderedPageBreak/>
        <w:t>Komiteel on tänu riiklike majandus- ja sotsiaalnõukogude võrgustikule eelisseisund, mis võimaldab tal jagada Euroopa institutsioonidega liikmesriikide parimaid tavasid ja parimaid lahendusi reformide jaoks.</w:t>
      </w:r>
    </w:p>
    <w:p w:rsidR="000F43E2" w:rsidRPr="002645D0" w:rsidRDefault="000F43E2" w:rsidP="00EA79B5">
      <w:pPr>
        <w:spacing w:after="0" w:line="276" w:lineRule="auto"/>
        <w:rPr>
          <w:rFonts w:ascii="Times New Roman" w:hAnsi="Times New Roman" w:cs="Times New Roman"/>
          <w:lang w:val="en-US"/>
        </w:rPr>
      </w:pPr>
    </w:p>
    <w:p w:rsidR="00911EF8" w:rsidRPr="002645D0" w:rsidRDefault="00911EF8" w:rsidP="00911EF8">
      <w:pPr>
        <w:spacing w:after="0" w:line="276" w:lineRule="auto"/>
        <w:jc w:val="both"/>
        <w:rPr>
          <w:rFonts w:ascii="Times New Roman" w:hAnsi="Times New Roman" w:cs="Times New Roman"/>
        </w:rPr>
      </w:pPr>
      <w:r>
        <w:rPr>
          <w:rFonts w:ascii="Times New Roman" w:hAnsi="Times New Roman"/>
        </w:rPr>
        <w:t xml:space="preserve">Komitee ning liikmesriikide majandus- ja sotsiaalnõukogud kinnitavad veel kord oma </w:t>
      </w:r>
      <w:r>
        <w:rPr>
          <w:rFonts w:ascii="Times New Roman" w:hAnsi="Times New Roman"/>
          <w:b/>
          <w:bCs/>
        </w:rPr>
        <w:t>valmisolekut aktiivselt osaleda praeguste reformide kavandamis-, sõnastamis- ja elluviimisprotsessides</w:t>
      </w:r>
      <w:r>
        <w:rPr>
          <w:rFonts w:ascii="Times New Roman" w:hAnsi="Times New Roman"/>
        </w:rPr>
        <w:t>, et poliitika oleks täielikult kooskõlas kodanike vajaduste ja ootustega ning et luua suurem ühisvastutuse tunne.</w:t>
      </w:r>
    </w:p>
    <w:p w:rsidR="00911EF8" w:rsidRPr="002645D0" w:rsidRDefault="00911EF8" w:rsidP="00911EF8">
      <w:pPr>
        <w:spacing w:after="0" w:line="276" w:lineRule="auto"/>
        <w:jc w:val="both"/>
        <w:rPr>
          <w:rFonts w:ascii="Times New Roman" w:hAnsi="Times New Roman" w:cs="Times New Roman"/>
          <w:lang w:val="en-US"/>
        </w:rPr>
      </w:pPr>
    </w:p>
    <w:p w:rsidR="00911EF8" w:rsidRDefault="00911EF8" w:rsidP="00911EF8">
      <w:pPr>
        <w:spacing w:after="0" w:line="276" w:lineRule="auto"/>
        <w:jc w:val="both"/>
        <w:rPr>
          <w:rFonts w:ascii="Times New Roman" w:hAnsi="Times New Roman" w:cs="Times New Roman"/>
        </w:rPr>
      </w:pPr>
      <w:r>
        <w:rPr>
          <w:rFonts w:ascii="Times New Roman" w:hAnsi="Times New Roman"/>
        </w:rPr>
        <w:t xml:space="preserve">Komitee ning majandus- ja sotsiaalnõukogud tuletavad meelde vajadust viia ellu </w:t>
      </w:r>
      <w:r>
        <w:rPr>
          <w:rFonts w:ascii="Times New Roman" w:hAnsi="Times New Roman"/>
          <w:b/>
          <w:bCs/>
        </w:rPr>
        <w:t>Euroopa Liidu lepingu artikkel 11</w:t>
      </w:r>
      <w:r>
        <w:rPr>
          <w:rFonts w:ascii="Times New Roman" w:hAnsi="Times New Roman"/>
        </w:rPr>
        <w:t>, mis demokraatia põhimõtteid käsitlevate sätete kontekstis sätestab, et institutsioonid on avatud, läbipaistvas ja regulaarses dialoogis esindusühenduste ja kodanikuühiskonnaga.</w:t>
      </w:r>
    </w:p>
    <w:p w:rsidR="007366DC" w:rsidRPr="002645D0" w:rsidRDefault="007366DC" w:rsidP="00911EF8">
      <w:pPr>
        <w:spacing w:after="0" w:line="276" w:lineRule="auto"/>
        <w:jc w:val="both"/>
        <w:rPr>
          <w:rFonts w:ascii="Times New Roman" w:hAnsi="Times New Roman" w:cs="Times New Roman"/>
          <w:lang w:val="en-US"/>
        </w:rPr>
      </w:pPr>
    </w:p>
    <w:p w:rsidR="00EA79B5" w:rsidRPr="002645D0" w:rsidRDefault="00911EF8" w:rsidP="00911EF8">
      <w:pPr>
        <w:spacing w:after="0" w:line="276" w:lineRule="auto"/>
        <w:jc w:val="both"/>
        <w:rPr>
          <w:rFonts w:ascii="Times New Roman" w:hAnsi="Times New Roman" w:cs="Times New Roman"/>
        </w:rPr>
      </w:pPr>
      <w:r>
        <w:rPr>
          <w:rFonts w:ascii="Times New Roman" w:hAnsi="Times New Roman"/>
        </w:rPr>
        <w:t>Nad kavatsevad ka edaspidi pühenduda sellele ülitähtsale probleemile, olles teadlikud asjaolust, et osalusdemokraatia vajab vahendusorganeid, et kodanikke kaasata ja julgustada neid väljendama oma seisukohti kõigis kodanikuühiskonna tegutsemisruumides.</w:t>
      </w:r>
    </w:p>
    <w:p w:rsidR="00EA79B5" w:rsidRPr="002645D0" w:rsidRDefault="00EA79B5" w:rsidP="00EA79B5">
      <w:pPr>
        <w:spacing w:after="0" w:line="276" w:lineRule="auto"/>
        <w:jc w:val="both"/>
        <w:rPr>
          <w:rFonts w:ascii="Times New Roman" w:hAnsi="Times New Roman" w:cs="Times New Roman"/>
          <w:lang w:val="en-US"/>
        </w:rPr>
      </w:pPr>
    </w:p>
    <w:p w:rsidR="002854C4" w:rsidRDefault="00911EF8" w:rsidP="00EA79B5">
      <w:pPr>
        <w:spacing w:after="0" w:line="276" w:lineRule="auto"/>
        <w:jc w:val="both"/>
        <w:rPr>
          <w:rFonts w:ascii="Times New Roman" w:hAnsi="Times New Roman" w:cs="Times New Roman"/>
        </w:rPr>
      </w:pPr>
      <w:r>
        <w:rPr>
          <w:rFonts w:ascii="Times New Roman" w:hAnsi="Times New Roman"/>
        </w:rPr>
        <w:t>On oluline, et Euroopa Liit toetaks sotsiaalpartnerite ja kodanikuühiskonna organisatsioonide keskset rolli meie Euroopa sotsiaal-majandusliku mudeli ning väärtuste, demokraatia, põhiõiguste ja õigusriigi põhimõtte edendamisel ja kaitsmisel kodanikuühiskonna tegutsemisruumi ahenemise vastu. See on Euroopa projekti kese.</w:t>
      </w:r>
    </w:p>
    <w:p w:rsidR="00C616D4" w:rsidRDefault="00C616D4" w:rsidP="00EA79B5">
      <w:pPr>
        <w:spacing w:after="0" w:line="276" w:lineRule="auto"/>
        <w:jc w:val="both"/>
        <w:rPr>
          <w:rFonts w:ascii="Times New Roman" w:hAnsi="Times New Roman" w:cs="Times New Roman"/>
          <w:lang w:val="fr-BE"/>
        </w:rPr>
      </w:pPr>
    </w:p>
    <w:p w:rsidR="005C5031" w:rsidRPr="007D0E35" w:rsidRDefault="00911EF8" w:rsidP="00911EF8">
      <w:pPr>
        <w:pStyle w:val="ListParagraph"/>
        <w:numPr>
          <w:ilvl w:val="0"/>
          <w:numId w:val="1"/>
        </w:numPr>
        <w:spacing w:line="276" w:lineRule="auto"/>
        <w:rPr>
          <w:b/>
          <w:bCs/>
          <w:smallCaps/>
          <w:color w:val="000099"/>
          <w:u w:val="single"/>
        </w:rPr>
      </w:pPr>
      <w:r>
        <w:rPr>
          <w:b/>
          <w:smallCaps/>
          <w:color w:val="000099"/>
          <w:u w:val="single"/>
        </w:rPr>
        <w:t>Euroopa tuleviku konverents: võimalus luua kõigi jaoks parem tulevik</w:t>
      </w:r>
    </w:p>
    <w:p w:rsidR="005C5031" w:rsidRPr="002645D0" w:rsidRDefault="005C5031" w:rsidP="00EA79B5">
      <w:pPr>
        <w:spacing w:after="0" w:line="276" w:lineRule="auto"/>
        <w:jc w:val="both"/>
        <w:rPr>
          <w:rFonts w:ascii="Times New Roman" w:hAnsi="Times New Roman" w:cs="Times New Roman"/>
          <w:lang w:val="en-US"/>
        </w:rPr>
      </w:pPr>
    </w:p>
    <w:p w:rsidR="00911EF8" w:rsidRPr="002645D0" w:rsidRDefault="00911EF8" w:rsidP="00911EF8">
      <w:pPr>
        <w:spacing w:after="0" w:line="276" w:lineRule="auto"/>
        <w:jc w:val="both"/>
        <w:rPr>
          <w:rFonts w:ascii="Times New Roman" w:hAnsi="Times New Roman" w:cs="Times New Roman"/>
        </w:rPr>
      </w:pPr>
      <w:r>
        <w:rPr>
          <w:rFonts w:ascii="Times New Roman" w:hAnsi="Times New Roman"/>
        </w:rPr>
        <w:t xml:space="preserve">Komitee ning riiklikud majandus- ja sotsiaalnõukogud leiavad, et Euroopa tuleviku konverents on </w:t>
      </w:r>
      <w:r>
        <w:rPr>
          <w:rFonts w:ascii="Times New Roman" w:hAnsi="Times New Roman"/>
          <w:b/>
          <w:bCs/>
        </w:rPr>
        <w:t>ajalooline võimalus</w:t>
      </w:r>
      <w:r>
        <w:rPr>
          <w:rFonts w:ascii="Times New Roman" w:hAnsi="Times New Roman"/>
        </w:rPr>
        <w:t xml:space="preserve"> dünaamika loomiseks, et taaskäivitada Euroopa integratsiooniprojekt. Selle projekti eriti uuenduslik aspekt on selle eesmärk luua side kõigi 27 liikmesriigi kodanikega.</w:t>
      </w:r>
    </w:p>
    <w:p w:rsidR="00911EF8" w:rsidRPr="002645D0" w:rsidRDefault="00911EF8" w:rsidP="00911EF8">
      <w:pPr>
        <w:spacing w:after="0" w:line="276" w:lineRule="auto"/>
        <w:jc w:val="both"/>
        <w:rPr>
          <w:rFonts w:ascii="Times New Roman" w:hAnsi="Times New Roman" w:cs="Times New Roman"/>
          <w:lang w:val="en-US"/>
        </w:rPr>
      </w:pPr>
    </w:p>
    <w:p w:rsidR="005C5031" w:rsidRPr="00924DBA" w:rsidRDefault="00911EF8" w:rsidP="00911EF8">
      <w:pPr>
        <w:spacing w:after="0" w:line="276" w:lineRule="auto"/>
        <w:jc w:val="both"/>
        <w:rPr>
          <w:rFonts w:ascii="Times New Roman" w:hAnsi="Times New Roman" w:cs="Times New Roman"/>
        </w:rPr>
      </w:pPr>
      <w:r>
        <w:rPr>
          <w:rFonts w:ascii="Times New Roman" w:hAnsi="Times New Roman"/>
        </w:rPr>
        <w:t xml:space="preserve">Komitee ning riiklikud majandus- ja sotsiaalnõukogud toetavad tugevalt seda </w:t>
      </w:r>
      <w:r>
        <w:rPr>
          <w:rFonts w:ascii="Times New Roman" w:hAnsi="Times New Roman"/>
          <w:b/>
          <w:bCs/>
        </w:rPr>
        <w:t>osalusdemokraatia</w:t>
      </w:r>
      <w:r>
        <w:rPr>
          <w:rFonts w:ascii="Times New Roman" w:hAnsi="Times New Roman"/>
        </w:rPr>
        <w:t xml:space="preserve"> arendamise protsessi. Nad leiavad, et Euroopa tuleviku konverents peab tooma eurooplased tähelepanu keskpunkti, tagama, et kogu Euroopa kodanikud osaleksid aruteludes ning saavutaksid konkreetseid, nähtavaid ja mõõdetavaid tulemusi.</w:t>
      </w:r>
    </w:p>
    <w:p w:rsidR="00D8736E" w:rsidRPr="00924DBA" w:rsidRDefault="00D8736E" w:rsidP="00911EF8">
      <w:pPr>
        <w:spacing w:after="0" w:line="276" w:lineRule="auto"/>
        <w:jc w:val="both"/>
        <w:rPr>
          <w:rFonts w:ascii="Times New Roman" w:hAnsi="Times New Roman" w:cs="Times New Roman"/>
          <w:lang w:val="en-US"/>
        </w:rPr>
      </w:pPr>
    </w:p>
    <w:p w:rsidR="002645D0" w:rsidRDefault="00924DBA" w:rsidP="00911EF8">
      <w:pPr>
        <w:spacing w:after="0" w:line="276" w:lineRule="auto"/>
        <w:jc w:val="both"/>
        <w:rPr>
          <w:bCs/>
          <w:spacing w:val="-2"/>
        </w:rPr>
      </w:pPr>
      <w:r>
        <w:rPr>
          <w:rFonts w:ascii="Times New Roman" w:hAnsi="Times New Roman"/>
        </w:rPr>
        <w:t xml:space="preserve">Konverents peab tuginema </w:t>
      </w:r>
      <w:r>
        <w:rPr>
          <w:rFonts w:ascii="Times New Roman" w:hAnsi="Times New Roman"/>
          <w:b/>
          <w:bCs/>
        </w:rPr>
        <w:t>läbipaistvale alt-üles protsessile ja andma käegakatsutavaid tulemusi</w:t>
      </w:r>
      <w:r>
        <w:rPr>
          <w:rFonts w:ascii="Times New Roman" w:hAnsi="Times New Roman"/>
        </w:rPr>
        <w:t xml:space="preserve">. Läbipaistvuse ja vastutavuse tagamiseks töötatakse välja veebipõhine </w:t>
      </w:r>
      <w:r>
        <w:rPr>
          <w:rFonts w:ascii="Times New Roman" w:hAnsi="Times New Roman"/>
          <w:b/>
          <w:bCs/>
        </w:rPr>
        <w:t>tulemustabel</w:t>
      </w:r>
      <w:r>
        <w:rPr>
          <w:rFonts w:ascii="Times New Roman" w:hAnsi="Times New Roman"/>
        </w:rPr>
        <w:t>, mille kaudu teavitatakse kodanikke sellest, kuidas ELi institutsioonid nende taotlusi edasi menetlevad, kas Euroopa tuleviku konverentsist tulenevad reformimeetmed ja milline on asjakohaste meetmete rakendamise ajakava. Kui mõne ideega seonduvalt midagi ette ei võeta, tuleb selle põhjuseid selgitada.</w:t>
      </w:r>
    </w:p>
    <w:p w:rsidR="00924DBA" w:rsidRPr="002645D0" w:rsidRDefault="00924DBA" w:rsidP="00911EF8">
      <w:pPr>
        <w:spacing w:after="0" w:line="276" w:lineRule="auto"/>
        <w:jc w:val="both"/>
        <w:rPr>
          <w:rFonts w:ascii="Times New Roman" w:hAnsi="Times New Roman" w:cs="Times New Roman"/>
          <w:lang w:val="en-US"/>
        </w:rPr>
      </w:pPr>
    </w:p>
    <w:p w:rsidR="00EA79B5" w:rsidRPr="002645D0" w:rsidRDefault="002645D0" w:rsidP="00EA79B5">
      <w:pPr>
        <w:spacing w:after="0" w:line="276" w:lineRule="auto"/>
        <w:jc w:val="both"/>
        <w:rPr>
          <w:rFonts w:ascii="Times New Roman" w:hAnsi="Times New Roman" w:cs="Times New Roman"/>
        </w:rPr>
      </w:pPr>
      <w:r>
        <w:rPr>
          <w:rFonts w:ascii="Times New Roman" w:hAnsi="Times New Roman"/>
        </w:rPr>
        <w:t>Komitee ning riiklikud majandus- ja sotsiaalnõukogud on oma liikmeskonnast ja võrgustikest tulenevalt väga heal positsioonil kodanikega suhtlemiseks ja konverentsi juhtorganitele oma ettepanekute esitamiseks. Sel eesmärgil peab komitee oma osalemist konverentsi organites kiiduväärseks.</w:t>
      </w:r>
    </w:p>
    <w:p w:rsidR="003234EF" w:rsidRPr="00EB31FE" w:rsidRDefault="00EB31FE" w:rsidP="00EB31FE">
      <w:pPr>
        <w:overflowPunct w:val="0"/>
        <w:autoSpaceDE w:val="0"/>
        <w:autoSpaceDN w:val="0"/>
        <w:adjustRightInd w:val="0"/>
        <w:spacing w:line="288" w:lineRule="auto"/>
        <w:jc w:val="center"/>
        <w:textAlignment w:val="baseline"/>
      </w:pPr>
      <w:r>
        <w:t>_____________</w:t>
      </w:r>
    </w:p>
    <w:sectPr w:rsidR="003234EF" w:rsidRPr="00EB31FE" w:rsidSect="00EB31F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52DC3" w16cex:dateUtc="2021-10-28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664001" w16cid:durableId="25252D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1F7" w:rsidRDefault="00F241F7" w:rsidP="00EA79B5">
      <w:pPr>
        <w:spacing w:after="0" w:line="240" w:lineRule="auto"/>
      </w:pPr>
      <w:r>
        <w:separator/>
      </w:r>
    </w:p>
  </w:endnote>
  <w:endnote w:type="continuationSeparator" w:id="0">
    <w:p w:rsidR="00F241F7" w:rsidRDefault="00F241F7" w:rsidP="00EA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FE" w:rsidRDefault="00EB31FE" w:rsidP="00EB3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0C7" w:rsidRPr="00EB31FE" w:rsidRDefault="00EB31FE" w:rsidP="00EB31FE">
    <w:pPr>
      <w:pStyle w:val="Footer"/>
    </w:pPr>
    <w:r>
      <w:t xml:space="preserve">EESC-2021-05465-01-00-INFO-TRA (EN) </w:t>
    </w:r>
    <w:r>
      <w:fldChar w:fldCharType="begin"/>
    </w:r>
    <w:r>
      <w:instrText xml:space="preserve"> PAGE  \* Arabic  \* MERGEFORMAT </w:instrText>
    </w:r>
    <w:r>
      <w:fldChar w:fldCharType="separate"/>
    </w:r>
    <w:r w:rsidR="00CF4F29">
      <w:rPr>
        <w:noProof/>
      </w:rPr>
      <w:t>1</w:t>
    </w:r>
    <w:r>
      <w:fldChar w:fldCharType="end"/>
    </w:r>
    <w:r>
      <w:t>/</w:t>
    </w:r>
    <w:r w:rsidR="00CF4F29">
      <w:fldChar w:fldCharType="begin"/>
    </w:r>
    <w:r w:rsidR="00CF4F29">
      <w:instrText xml:space="preserve"> NUMPAGES </w:instrText>
    </w:r>
    <w:r w:rsidR="00CF4F29">
      <w:fldChar w:fldCharType="separate"/>
    </w:r>
    <w:r w:rsidR="00CF4F29">
      <w:rPr>
        <w:noProof/>
      </w:rPr>
      <w:t>6</w:t>
    </w:r>
    <w:r w:rsidR="00CF4F2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FE" w:rsidRDefault="00EB31FE" w:rsidP="00EB3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1F7" w:rsidRDefault="00F241F7" w:rsidP="00EA79B5">
      <w:pPr>
        <w:spacing w:after="0" w:line="240" w:lineRule="auto"/>
      </w:pPr>
      <w:r>
        <w:separator/>
      </w:r>
    </w:p>
  </w:footnote>
  <w:footnote w:type="continuationSeparator" w:id="0">
    <w:p w:rsidR="00F241F7" w:rsidRDefault="00F241F7" w:rsidP="00EA79B5">
      <w:pPr>
        <w:spacing w:after="0" w:line="240" w:lineRule="auto"/>
      </w:pPr>
      <w:r>
        <w:continuationSeparator/>
      </w:r>
    </w:p>
  </w:footnote>
  <w:footnote w:id="1">
    <w:p w:rsidR="00066B82" w:rsidRPr="002645D0" w:rsidRDefault="00066B82" w:rsidP="00066B82">
      <w:pPr>
        <w:pStyle w:val="FootnoteText"/>
      </w:pPr>
      <w:r>
        <w:rPr>
          <w:rStyle w:val="FootnoteReference"/>
        </w:rPr>
        <w:footnoteRef/>
      </w:r>
      <w:r>
        <w:t xml:space="preserve"> </w:t>
      </w:r>
      <w:r>
        <w:tab/>
      </w:r>
      <w:hyperlink r:id="rId1" w:history="1">
        <w:r>
          <w:rPr>
            <w:rStyle w:val="Hyperlink"/>
          </w:rPr>
          <w:t>Komitee resolutsioon</w:t>
        </w:r>
      </w:hyperlink>
      <w:r>
        <w:t xml:space="preserve"> „Organiseeritud kodanikuühiskonna kaasamine riiklikesse taaste- ja vastupidavuskavadesse – mis toimib ja mis mitte?“, 2021. aasta veebruar.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FE" w:rsidRDefault="00EB3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FE" w:rsidRDefault="00EB31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FE" w:rsidRDefault="00EB3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810596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491644E"/>
    <w:multiLevelType w:val="hybridMultilevel"/>
    <w:tmpl w:val="591AB3BA"/>
    <w:lvl w:ilvl="0" w:tplc="8FBED718">
      <w:start w:val="1"/>
      <w:numFmt w:val="decimal"/>
      <w:lvlText w:val="%1."/>
      <w:lvlJc w:val="left"/>
      <w:pPr>
        <w:ind w:left="360" w:hanging="360"/>
      </w:pPr>
      <w:rPr>
        <w:b/>
        <w:bCs/>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4924376B"/>
    <w:multiLevelType w:val="hybridMultilevel"/>
    <w:tmpl w:val="740A476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DFE5822"/>
    <w:multiLevelType w:val="hybridMultilevel"/>
    <w:tmpl w:val="8402BFD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55E4495D"/>
    <w:multiLevelType w:val="hybridMultilevel"/>
    <w:tmpl w:val="23DE5E40"/>
    <w:lvl w:ilvl="0" w:tplc="6888849A">
      <w:start w:val="1"/>
      <w:numFmt w:val="decimal"/>
      <w:lvlText w:val="%1."/>
      <w:lvlJc w:val="left"/>
      <w:pPr>
        <w:ind w:left="360" w:hanging="360"/>
      </w:pPr>
      <w:rPr>
        <w:b w:val="0"/>
        <w:bCs w:val="0"/>
        <w:i w:val="0"/>
        <w:iCs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723C2D41"/>
    <w:multiLevelType w:val="hybridMultilevel"/>
    <w:tmpl w:val="2F005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379465B"/>
    <w:multiLevelType w:val="hybridMultilevel"/>
    <w:tmpl w:val="AEC0AF5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7F275FB0"/>
    <w:multiLevelType w:val="hybridMultilevel"/>
    <w:tmpl w:val="C492CFA0"/>
    <w:lvl w:ilvl="0" w:tplc="F816062A">
      <w:start w:val="1"/>
      <w:numFmt w:val="decimal"/>
      <w:lvlText w:val="%1."/>
      <w:lvlJc w:val="left"/>
      <w:pPr>
        <w:ind w:left="360" w:hanging="360"/>
      </w:pPr>
      <w:rPr>
        <w:b w:val="0"/>
        <w:bCs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6"/>
  </w:num>
  <w:num w:numId="2">
    <w:abstractNumId w:val="3"/>
  </w:num>
  <w:num w:numId="3">
    <w:abstractNumId w:val="2"/>
  </w:num>
  <w:num w:numId="4">
    <w:abstractNumId w:val="7"/>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B5"/>
    <w:rsid w:val="00026200"/>
    <w:rsid w:val="00066B82"/>
    <w:rsid w:val="00067DCF"/>
    <w:rsid w:val="000A4C4C"/>
    <w:rsid w:val="000C2CB8"/>
    <w:rsid w:val="000F43E2"/>
    <w:rsid w:val="001216E0"/>
    <w:rsid w:val="00190269"/>
    <w:rsid w:val="001C28D1"/>
    <w:rsid w:val="001E6FD9"/>
    <w:rsid w:val="00212624"/>
    <w:rsid w:val="00236C7F"/>
    <w:rsid w:val="00244FBC"/>
    <w:rsid w:val="002645D0"/>
    <w:rsid w:val="002854C4"/>
    <w:rsid w:val="00297477"/>
    <w:rsid w:val="002B4374"/>
    <w:rsid w:val="002C70DA"/>
    <w:rsid w:val="003240E1"/>
    <w:rsid w:val="00394B8F"/>
    <w:rsid w:val="003A15CF"/>
    <w:rsid w:val="003C229B"/>
    <w:rsid w:val="00414102"/>
    <w:rsid w:val="004259AE"/>
    <w:rsid w:val="004535F8"/>
    <w:rsid w:val="00456709"/>
    <w:rsid w:val="00471B87"/>
    <w:rsid w:val="005713DF"/>
    <w:rsid w:val="005C5031"/>
    <w:rsid w:val="005E23F9"/>
    <w:rsid w:val="00611BFD"/>
    <w:rsid w:val="0065623F"/>
    <w:rsid w:val="006C3A97"/>
    <w:rsid w:val="006D784E"/>
    <w:rsid w:val="007366DC"/>
    <w:rsid w:val="00752257"/>
    <w:rsid w:val="007545CF"/>
    <w:rsid w:val="00775940"/>
    <w:rsid w:val="00792ED5"/>
    <w:rsid w:val="007940C0"/>
    <w:rsid w:val="007A0D82"/>
    <w:rsid w:val="007A0F24"/>
    <w:rsid w:val="007D0E35"/>
    <w:rsid w:val="007E000B"/>
    <w:rsid w:val="00824453"/>
    <w:rsid w:val="00830090"/>
    <w:rsid w:val="00867716"/>
    <w:rsid w:val="00876BC3"/>
    <w:rsid w:val="008C12CB"/>
    <w:rsid w:val="008C656E"/>
    <w:rsid w:val="008D56CD"/>
    <w:rsid w:val="008E5148"/>
    <w:rsid w:val="00911EF8"/>
    <w:rsid w:val="00912C1B"/>
    <w:rsid w:val="00924DBA"/>
    <w:rsid w:val="00950AEB"/>
    <w:rsid w:val="00975673"/>
    <w:rsid w:val="00983B86"/>
    <w:rsid w:val="00A0355D"/>
    <w:rsid w:val="00AB4FF8"/>
    <w:rsid w:val="00AC5848"/>
    <w:rsid w:val="00AF251E"/>
    <w:rsid w:val="00B85F3F"/>
    <w:rsid w:val="00BA661B"/>
    <w:rsid w:val="00BB44E6"/>
    <w:rsid w:val="00BB768E"/>
    <w:rsid w:val="00BE6294"/>
    <w:rsid w:val="00C403D4"/>
    <w:rsid w:val="00C616D4"/>
    <w:rsid w:val="00C63C7F"/>
    <w:rsid w:val="00C87CE3"/>
    <w:rsid w:val="00CA04AE"/>
    <w:rsid w:val="00CD09E2"/>
    <w:rsid w:val="00CE090B"/>
    <w:rsid w:val="00CF4F29"/>
    <w:rsid w:val="00D27742"/>
    <w:rsid w:val="00D77F2A"/>
    <w:rsid w:val="00D8736E"/>
    <w:rsid w:val="00DA58E7"/>
    <w:rsid w:val="00E10399"/>
    <w:rsid w:val="00E40CFB"/>
    <w:rsid w:val="00E532C6"/>
    <w:rsid w:val="00E61211"/>
    <w:rsid w:val="00EA79B5"/>
    <w:rsid w:val="00EB31FE"/>
    <w:rsid w:val="00F241F7"/>
    <w:rsid w:val="00F3009F"/>
    <w:rsid w:val="00F37F3C"/>
    <w:rsid w:val="00F6297D"/>
  </w:rsids>
  <m:mathPr>
    <m:mathFont m:val="Cambria Math"/>
    <m:brkBin m:val="before"/>
    <m:brkBinSub m:val="--"/>
    <m:smallFrac m:val="0"/>
    <m:dispDef/>
    <m:lMargin m:val="0"/>
    <m:rMargin m:val="0"/>
    <m:defJc m:val="centerGroup"/>
    <m:wrapIndent m:val="1440"/>
    <m:intLim m:val="subSup"/>
    <m:naryLim m:val="undOvr"/>
  </m:mathPr>
  <w:themeFontLang w:val="fr-BE"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48C35-B3ED-4808-97E2-5AEB98F5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t-EE"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9B5"/>
    <w:rPr>
      <w:szCs w:val="22"/>
      <w:lang w:bidi="ar-SA"/>
    </w:rPr>
  </w:style>
  <w:style w:type="paragraph" w:styleId="Heading1">
    <w:name w:val="heading 1"/>
    <w:basedOn w:val="Normal"/>
    <w:next w:val="Normal"/>
    <w:link w:val="Heading1Char"/>
    <w:qFormat/>
    <w:rsid w:val="00830090"/>
    <w:pPr>
      <w:numPr>
        <w:numId w:val="7"/>
      </w:numPr>
      <w:spacing w:after="0" w:line="288" w:lineRule="auto"/>
      <w:ind w:left="567" w:hanging="567"/>
      <w:jc w:val="both"/>
      <w:outlineLvl w:val="0"/>
    </w:pPr>
    <w:rPr>
      <w:rFonts w:ascii="Times New Roman" w:eastAsia="Times New Roman" w:hAnsi="Times New Roman" w:cs="Times New Roman"/>
      <w:kern w:val="28"/>
    </w:rPr>
  </w:style>
  <w:style w:type="paragraph" w:styleId="Heading2">
    <w:name w:val="heading 2"/>
    <w:basedOn w:val="Normal"/>
    <w:next w:val="Normal"/>
    <w:link w:val="Heading2Char"/>
    <w:qFormat/>
    <w:rsid w:val="00830090"/>
    <w:pPr>
      <w:numPr>
        <w:ilvl w:val="1"/>
        <w:numId w:val="7"/>
      </w:numPr>
      <w:spacing w:after="0" w:line="288" w:lineRule="auto"/>
      <w:ind w:left="567" w:hanging="567"/>
      <w:jc w:val="both"/>
      <w:outlineLvl w:val="1"/>
    </w:pPr>
    <w:rPr>
      <w:rFonts w:ascii="Times New Roman" w:eastAsia="Times New Roman" w:hAnsi="Times New Roman" w:cs="Times New Roman"/>
    </w:rPr>
  </w:style>
  <w:style w:type="paragraph" w:styleId="Heading3">
    <w:name w:val="heading 3"/>
    <w:basedOn w:val="Normal"/>
    <w:next w:val="Normal"/>
    <w:link w:val="Heading3Char"/>
    <w:qFormat/>
    <w:rsid w:val="00830090"/>
    <w:pPr>
      <w:numPr>
        <w:ilvl w:val="2"/>
        <w:numId w:val="7"/>
      </w:numPr>
      <w:spacing w:after="0" w:line="288" w:lineRule="auto"/>
      <w:ind w:left="567" w:hanging="567"/>
      <w:jc w:val="both"/>
      <w:outlineLvl w:val="2"/>
    </w:pPr>
    <w:rPr>
      <w:rFonts w:ascii="Times New Roman" w:eastAsia="Times New Roman" w:hAnsi="Times New Roman" w:cs="Times New Roman"/>
    </w:rPr>
  </w:style>
  <w:style w:type="paragraph" w:styleId="Heading4">
    <w:name w:val="heading 4"/>
    <w:basedOn w:val="Normal"/>
    <w:next w:val="Normal"/>
    <w:link w:val="Heading4Char"/>
    <w:qFormat/>
    <w:rsid w:val="00830090"/>
    <w:pPr>
      <w:numPr>
        <w:ilvl w:val="3"/>
        <w:numId w:val="7"/>
      </w:numPr>
      <w:spacing w:after="0" w:line="288" w:lineRule="auto"/>
      <w:ind w:left="567" w:hanging="567"/>
      <w:jc w:val="both"/>
      <w:outlineLvl w:val="3"/>
    </w:pPr>
    <w:rPr>
      <w:rFonts w:ascii="Times New Roman" w:eastAsia="Times New Roman" w:hAnsi="Times New Roman" w:cs="Times New Roman"/>
    </w:rPr>
  </w:style>
  <w:style w:type="paragraph" w:styleId="Heading5">
    <w:name w:val="heading 5"/>
    <w:basedOn w:val="Normal"/>
    <w:next w:val="Normal"/>
    <w:link w:val="Heading5Char"/>
    <w:qFormat/>
    <w:rsid w:val="00830090"/>
    <w:pPr>
      <w:numPr>
        <w:ilvl w:val="4"/>
        <w:numId w:val="7"/>
      </w:numPr>
      <w:spacing w:after="0" w:line="288" w:lineRule="auto"/>
      <w:ind w:left="567" w:hanging="567"/>
      <w:jc w:val="both"/>
      <w:outlineLvl w:val="4"/>
    </w:pPr>
    <w:rPr>
      <w:rFonts w:ascii="Times New Roman" w:eastAsia="Times New Roman" w:hAnsi="Times New Roman" w:cs="Times New Roman"/>
    </w:rPr>
  </w:style>
  <w:style w:type="paragraph" w:styleId="Heading6">
    <w:name w:val="heading 6"/>
    <w:basedOn w:val="Normal"/>
    <w:next w:val="Normal"/>
    <w:link w:val="Heading6Char"/>
    <w:qFormat/>
    <w:rsid w:val="00830090"/>
    <w:pPr>
      <w:numPr>
        <w:ilvl w:val="5"/>
        <w:numId w:val="7"/>
      </w:numPr>
      <w:spacing w:after="0" w:line="288" w:lineRule="auto"/>
      <w:ind w:left="567" w:hanging="567"/>
      <w:jc w:val="both"/>
      <w:outlineLvl w:val="5"/>
    </w:pPr>
    <w:rPr>
      <w:rFonts w:ascii="Times New Roman" w:eastAsia="Times New Roman" w:hAnsi="Times New Roman" w:cs="Times New Roman"/>
    </w:rPr>
  </w:style>
  <w:style w:type="paragraph" w:styleId="Heading7">
    <w:name w:val="heading 7"/>
    <w:basedOn w:val="Normal"/>
    <w:next w:val="Normal"/>
    <w:link w:val="Heading7Char"/>
    <w:qFormat/>
    <w:rsid w:val="00830090"/>
    <w:pPr>
      <w:numPr>
        <w:ilvl w:val="6"/>
        <w:numId w:val="7"/>
      </w:numPr>
      <w:spacing w:after="0" w:line="288" w:lineRule="auto"/>
      <w:ind w:left="567" w:hanging="567"/>
      <w:jc w:val="both"/>
      <w:outlineLvl w:val="6"/>
    </w:pPr>
    <w:rPr>
      <w:rFonts w:ascii="Times New Roman" w:eastAsia="Times New Roman" w:hAnsi="Times New Roman" w:cs="Times New Roman"/>
    </w:rPr>
  </w:style>
  <w:style w:type="paragraph" w:styleId="Heading8">
    <w:name w:val="heading 8"/>
    <w:basedOn w:val="Normal"/>
    <w:next w:val="Normal"/>
    <w:link w:val="Heading8Char"/>
    <w:qFormat/>
    <w:rsid w:val="00830090"/>
    <w:pPr>
      <w:numPr>
        <w:ilvl w:val="7"/>
        <w:numId w:val="7"/>
      </w:numPr>
      <w:spacing w:after="0" w:line="288" w:lineRule="auto"/>
      <w:ind w:left="567" w:hanging="567"/>
      <w:jc w:val="both"/>
      <w:outlineLvl w:val="7"/>
    </w:pPr>
    <w:rPr>
      <w:rFonts w:ascii="Times New Roman" w:eastAsia="Times New Roman" w:hAnsi="Times New Roman" w:cs="Times New Roman"/>
    </w:rPr>
  </w:style>
  <w:style w:type="paragraph" w:styleId="Heading9">
    <w:name w:val="heading 9"/>
    <w:basedOn w:val="Normal"/>
    <w:next w:val="Normal"/>
    <w:link w:val="Heading9Char"/>
    <w:qFormat/>
    <w:rsid w:val="00830090"/>
    <w:pPr>
      <w:numPr>
        <w:ilvl w:val="8"/>
        <w:numId w:val="7"/>
      </w:numPr>
      <w:spacing w:after="0" w:line="288" w:lineRule="auto"/>
      <w:ind w:left="567" w:hanging="567"/>
      <w:jc w:val="both"/>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79B5"/>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EA79B5"/>
    <w:rPr>
      <w:rFonts w:ascii="Times New Roman" w:hAnsi="Times New Roman" w:cs="Times New Roman"/>
      <w:szCs w:val="22"/>
      <w:lang w:val="et-EE" w:bidi="ar-SA"/>
    </w:rPr>
  </w:style>
  <w:style w:type="paragraph" w:styleId="ListParagraph">
    <w:name w:val="List Paragraph"/>
    <w:aliases w:val="List Paragraph (numbered (a)),List Paragraph Char Char Char,Use Case List Paragraph,List Paragraph2,Bullet List,FooterText,List Paragraph1,Colorful List Accent 1,numbered,Paragraphe de liste1,列出段落,列出段落1,Bulletr List Paragraph,リスト段落1,body"/>
    <w:basedOn w:val="Normal"/>
    <w:link w:val="ListParagraphChar"/>
    <w:uiPriority w:val="34"/>
    <w:qFormat/>
    <w:rsid w:val="00EA79B5"/>
    <w:pPr>
      <w:spacing w:after="0" w:line="288" w:lineRule="auto"/>
      <w:ind w:left="720"/>
      <w:contextualSpacing/>
      <w:jc w:val="both"/>
    </w:pPr>
    <w:rPr>
      <w:rFonts w:ascii="Times New Roman" w:eastAsia="Times New Roman" w:hAnsi="Times New Roman" w:cs="Times New Roman"/>
    </w:rPr>
  </w:style>
  <w:style w:type="paragraph" w:styleId="FootnoteText">
    <w:name w:val="footnote text"/>
    <w:basedOn w:val="Normal"/>
    <w:link w:val="FootnoteTextChar"/>
    <w:qFormat/>
    <w:rsid w:val="00EA79B5"/>
    <w:pPr>
      <w:keepLines/>
      <w:spacing w:after="60" w:line="240" w:lineRule="auto"/>
      <w:ind w:left="567" w:hanging="567"/>
      <w:jc w:val="both"/>
    </w:pPr>
    <w:rPr>
      <w:rFonts w:ascii="Times New Roman" w:eastAsia="Times New Roman" w:hAnsi="Times New Roman" w:cs="Times New Roman"/>
      <w:sz w:val="16"/>
    </w:rPr>
  </w:style>
  <w:style w:type="character" w:customStyle="1" w:styleId="FootnoteTextChar">
    <w:name w:val="Footnote Text Char"/>
    <w:basedOn w:val="DefaultParagraphFont"/>
    <w:link w:val="FootnoteText"/>
    <w:rsid w:val="00EA79B5"/>
    <w:rPr>
      <w:rFonts w:ascii="Times New Roman" w:eastAsia="Times New Roman" w:hAnsi="Times New Roman" w:cs="Times New Roman"/>
      <w:sz w:val="16"/>
      <w:szCs w:val="22"/>
      <w:lang w:val="et-EE" w:bidi="ar-SA"/>
    </w:rPr>
  </w:style>
  <w:style w:type="character" w:styleId="FootnoteReference">
    <w:name w:val="footnote reference"/>
    <w:basedOn w:val="DefaultParagraphFont"/>
    <w:unhideWhenUsed/>
    <w:qFormat/>
    <w:rsid w:val="00EA79B5"/>
    <w:rPr>
      <w:sz w:val="24"/>
      <w:vertAlign w:val="superscript"/>
    </w:rPr>
  </w:style>
  <w:style w:type="character" w:styleId="Hyperlink">
    <w:name w:val="Hyperlink"/>
    <w:basedOn w:val="DefaultParagraphFont"/>
    <w:uiPriority w:val="99"/>
    <w:rsid w:val="00EA79B5"/>
    <w:rPr>
      <w:color w:val="0000FF"/>
      <w:u w:val="single"/>
    </w:rPr>
  </w:style>
  <w:style w:type="character" w:styleId="CommentReference">
    <w:name w:val="annotation reference"/>
    <w:basedOn w:val="DefaultParagraphFont"/>
    <w:uiPriority w:val="99"/>
    <w:semiHidden/>
    <w:unhideWhenUsed/>
    <w:rsid w:val="002C70DA"/>
    <w:rPr>
      <w:sz w:val="16"/>
      <w:szCs w:val="16"/>
    </w:rPr>
  </w:style>
  <w:style w:type="paragraph" w:styleId="CommentText">
    <w:name w:val="annotation text"/>
    <w:basedOn w:val="Normal"/>
    <w:link w:val="CommentTextChar"/>
    <w:uiPriority w:val="99"/>
    <w:semiHidden/>
    <w:unhideWhenUsed/>
    <w:rsid w:val="002C70DA"/>
    <w:pPr>
      <w:spacing w:line="240" w:lineRule="auto"/>
    </w:pPr>
    <w:rPr>
      <w:sz w:val="20"/>
      <w:szCs w:val="20"/>
    </w:rPr>
  </w:style>
  <w:style w:type="character" w:customStyle="1" w:styleId="CommentTextChar">
    <w:name w:val="Comment Text Char"/>
    <w:basedOn w:val="DefaultParagraphFont"/>
    <w:link w:val="CommentText"/>
    <w:uiPriority w:val="99"/>
    <w:semiHidden/>
    <w:rsid w:val="002C70DA"/>
    <w:rPr>
      <w:sz w:val="20"/>
      <w:lang w:val="et-EE" w:bidi="ar-SA"/>
    </w:rPr>
  </w:style>
  <w:style w:type="paragraph" w:styleId="CommentSubject">
    <w:name w:val="annotation subject"/>
    <w:basedOn w:val="CommentText"/>
    <w:next w:val="CommentText"/>
    <w:link w:val="CommentSubjectChar"/>
    <w:uiPriority w:val="99"/>
    <w:semiHidden/>
    <w:unhideWhenUsed/>
    <w:rsid w:val="002C70DA"/>
    <w:rPr>
      <w:b/>
      <w:bCs/>
    </w:rPr>
  </w:style>
  <w:style w:type="character" w:customStyle="1" w:styleId="CommentSubjectChar">
    <w:name w:val="Comment Subject Char"/>
    <w:basedOn w:val="CommentTextChar"/>
    <w:link w:val="CommentSubject"/>
    <w:uiPriority w:val="99"/>
    <w:semiHidden/>
    <w:rsid w:val="002C70DA"/>
    <w:rPr>
      <w:b/>
      <w:bCs/>
      <w:sz w:val="20"/>
      <w:lang w:val="et-EE" w:bidi="ar-SA"/>
    </w:rPr>
  </w:style>
  <w:style w:type="paragraph" w:styleId="BalloonText">
    <w:name w:val="Balloon Text"/>
    <w:basedOn w:val="Normal"/>
    <w:link w:val="BalloonTextChar"/>
    <w:uiPriority w:val="99"/>
    <w:semiHidden/>
    <w:unhideWhenUsed/>
    <w:rsid w:val="005C5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031"/>
    <w:rPr>
      <w:rFonts w:ascii="Segoe UI" w:hAnsi="Segoe UI" w:cs="Segoe UI"/>
      <w:sz w:val="18"/>
      <w:szCs w:val="18"/>
      <w:lang w:val="et-EE" w:bidi="ar-SA"/>
    </w:rPr>
  </w:style>
  <w:style w:type="table" w:styleId="TableGrid">
    <w:name w:val="Table Grid"/>
    <w:basedOn w:val="TableNormal"/>
    <w:uiPriority w:val="59"/>
    <w:rsid w:val="007A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5CF"/>
    <w:rPr>
      <w:szCs w:val="22"/>
      <w:lang w:val="et-EE" w:bidi="ar-SA"/>
    </w:rPr>
  </w:style>
  <w:style w:type="character" w:styleId="FollowedHyperlink">
    <w:name w:val="FollowedHyperlink"/>
    <w:basedOn w:val="DefaultParagraphFont"/>
    <w:uiPriority w:val="99"/>
    <w:semiHidden/>
    <w:unhideWhenUsed/>
    <w:rsid w:val="00066B82"/>
    <w:rPr>
      <w:color w:val="954F72" w:themeColor="followedHyperlink"/>
      <w:u w:val="single"/>
    </w:rPr>
  </w:style>
  <w:style w:type="character" w:customStyle="1" w:styleId="ListParagraphChar">
    <w:name w:val="List Paragraph Char"/>
    <w:aliases w:val="List Paragraph (numbered (a)) Char,List Paragraph Char Char Char Char,Use Case List Paragraph Char,List Paragraph2 Char,Bullet List Char,FooterText Char,List Paragraph1 Char,Colorful List Accent 1 Char,numbered Char,列出段落 Char"/>
    <w:basedOn w:val="DefaultParagraphFont"/>
    <w:link w:val="ListParagraph"/>
    <w:uiPriority w:val="34"/>
    <w:locked/>
    <w:rsid w:val="0065623F"/>
    <w:rPr>
      <w:rFonts w:ascii="Times New Roman" w:eastAsia="Times New Roman" w:hAnsi="Times New Roman" w:cs="Times New Roman"/>
      <w:szCs w:val="22"/>
      <w:lang w:val="et-EE" w:bidi="ar-SA"/>
    </w:rPr>
  </w:style>
  <w:style w:type="character" w:customStyle="1" w:styleId="Heading1Char">
    <w:name w:val="Heading 1 Char"/>
    <w:basedOn w:val="DefaultParagraphFont"/>
    <w:link w:val="Heading1"/>
    <w:rsid w:val="00830090"/>
    <w:rPr>
      <w:rFonts w:ascii="Times New Roman" w:eastAsia="Times New Roman" w:hAnsi="Times New Roman" w:cs="Times New Roman"/>
      <w:kern w:val="28"/>
      <w:szCs w:val="22"/>
      <w:lang w:val="et-EE" w:bidi="ar-SA"/>
    </w:rPr>
  </w:style>
  <w:style w:type="character" w:customStyle="1" w:styleId="Heading2Char">
    <w:name w:val="Heading 2 Char"/>
    <w:basedOn w:val="DefaultParagraphFont"/>
    <w:link w:val="Heading2"/>
    <w:rsid w:val="00830090"/>
    <w:rPr>
      <w:rFonts w:ascii="Times New Roman" w:eastAsia="Times New Roman" w:hAnsi="Times New Roman" w:cs="Times New Roman"/>
      <w:szCs w:val="22"/>
      <w:lang w:val="et-EE" w:bidi="ar-SA"/>
    </w:rPr>
  </w:style>
  <w:style w:type="character" w:customStyle="1" w:styleId="Heading3Char">
    <w:name w:val="Heading 3 Char"/>
    <w:basedOn w:val="DefaultParagraphFont"/>
    <w:link w:val="Heading3"/>
    <w:rsid w:val="00830090"/>
    <w:rPr>
      <w:rFonts w:ascii="Times New Roman" w:eastAsia="Times New Roman" w:hAnsi="Times New Roman" w:cs="Times New Roman"/>
      <w:szCs w:val="22"/>
      <w:lang w:val="et-EE" w:bidi="ar-SA"/>
    </w:rPr>
  </w:style>
  <w:style w:type="character" w:customStyle="1" w:styleId="Heading4Char">
    <w:name w:val="Heading 4 Char"/>
    <w:basedOn w:val="DefaultParagraphFont"/>
    <w:link w:val="Heading4"/>
    <w:rsid w:val="00830090"/>
    <w:rPr>
      <w:rFonts w:ascii="Times New Roman" w:eastAsia="Times New Roman" w:hAnsi="Times New Roman" w:cs="Times New Roman"/>
      <w:szCs w:val="22"/>
      <w:lang w:val="et-EE" w:bidi="ar-SA"/>
    </w:rPr>
  </w:style>
  <w:style w:type="character" w:customStyle="1" w:styleId="Heading5Char">
    <w:name w:val="Heading 5 Char"/>
    <w:basedOn w:val="DefaultParagraphFont"/>
    <w:link w:val="Heading5"/>
    <w:rsid w:val="00830090"/>
    <w:rPr>
      <w:rFonts w:ascii="Times New Roman" w:eastAsia="Times New Roman" w:hAnsi="Times New Roman" w:cs="Times New Roman"/>
      <w:szCs w:val="22"/>
      <w:lang w:val="et-EE" w:bidi="ar-SA"/>
    </w:rPr>
  </w:style>
  <w:style w:type="character" w:customStyle="1" w:styleId="Heading6Char">
    <w:name w:val="Heading 6 Char"/>
    <w:basedOn w:val="DefaultParagraphFont"/>
    <w:link w:val="Heading6"/>
    <w:rsid w:val="00830090"/>
    <w:rPr>
      <w:rFonts w:ascii="Times New Roman" w:eastAsia="Times New Roman" w:hAnsi="Times New Roman" w:cs="Times New Roman"/>
      <w:szCs w:val="22"/>
      <w:lang w:val="et-EE" w:bidi="ar-SA"/>
    </w:rPr>
  </w:style>
  <w:style w:type="character" w:customStyle="1" w:styleId="Heading7Char">
    <w:name w:val="Heading 7 Char"/>
    <w:basedOn w:val="DefaultParagraphFont"/>
    <w:link w:val="Heading7"/>
    <w:rsid w:val="00830090"/>
    <w:rPr>
      <w:rFonts w:ascii="Times New Roman" w:eastAsia="Times New Roman" w:hAnsi="Times New Roman" w:cs="Times New Roman"/>
      <w:szCs w:val="22"/>
      <w:lang w:val="et-EE" w:bidi="ar-SA"/>
    </w:rPr>
  </w:style>
  <w:style w:type="character" w:customStyle="1" w:styleId="Heading8Char">
    <w:name w:val="Heading 8 Char"/>
    <w:basedOn w:val="DefaultParagraphFont"/>
    <w:link w:val="Heading8"/>
    <w:rsid w:val="00830090"/>
    <w:rPr>
      <w:rFonts w:ascii="Times New Roman" w:eastAsia="Times New Roman" w:hAnsi="Times New Roman" w:cs="Times New Roman"/>
      <w:szCs w:val="22"/>
      <w:lang w:val="et-EE" w:bidi="ar-SA"/>
    </w:rPr>
  </w:style>
  <w:style w:type="character" w:customStyle="1" w:styleId="Heading9Char">
    <w:name w:val="Heading 9 Char"/>
    <w:basedOn w:val="DefaultParagraphFont"/>
    <w:link w:val="Heading9"/>
    <w:rsid w:val="00830090"/>
    <w:rPr>
      <w:rFonts w:ascii="Times New Roman" w:eastAsia="Times New Roman" w:hAnsi="Times New Roman" w:cs="Times New Roman"/>
      <w:szCs w:val="22"/>
      <w:lang w:val="et-E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esc.europa.eu/et/documents/resolution/involvement-organised-civil-society-national-recovery-and-resilience-plans-what-works-and-what-does-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V63NAVDT5PV3-1648642317-5064</_dlc_DocId>
    <_dlc_DocIdUrl xmlns="01cfe264-354f-4f3f-acd0-cf26eb309336">
      <Url>http://dm2016/eesc/2021/_layouts/15/DocIdRedir.aspx?ID=V63NAVDT5PV3-1648642317-5064</Url>
      <Description>V63NAVDT5PV3-1648642317-5064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2021-12-10T12:00:00+00:00</ProductionDate>
    <DocumentNumber xmlns="d442a82d-24cc-4721-bd32-c982b501ac21">5465</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01cfe264-354f-4f3f-acd0-cf26eb309336" xsi:nil="true"/>
    <TaxCatchAll xmlns="01cfe264-354f-4f3f-acd0-cf26eb309336">
      <Value>165</Value>
      <Value>58</Value>
      <Value>45</Value>
      <Value>42</Value>
      <Value>41</Value>
      <Value>40</Value>
      <Value>37</Value>
      <Value>35</Value>
      <Value>28</Value>
      <Value>25</Value>
      <Value>21</Value>
      <Value>19</Value>
      <Value>18</Value>
      <Value>17</Value>
      <Value>16</Value>
      <Value>15</Value>
      <Value>14</Value>
      <Value>13</Value>
      <Value>12</Value>
      <Value>11</Value>
      <Value>9</Value>
      <Value>7</Value>
      <Value>6</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14428</FicheNumber>
    <OriginalSender xmlns="01cfe264-354f-4f3f-acd0-cf26eb309336">
      <UserInfo>
        <DisplayName>Veermäe Ülle</DisplayName>
        <AccountId>1962</AccountId>
        <AccountType/>
      </UserInfo>
    </OriginalSender>
    <DocumentPart xmlns="01cfe264-354f-4f3f-acd0-cf26eb309336">1</DocumentPart>
    <AdoptionDate xmlns="01cfe264-354f-4f3f-acd0-cf26eb309336" xsi:nil="true"/>
    <RequestingService xmlns="01cfe264-354f-4f3f-acd0-cf26eb309336">Cabinet du Président</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442a82d-24cc-4721-bd32-c982b501ac21"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B06FA2060D04E4BBAF9E05CA34417ED" ma:contentTypeVersion="6" ma:contentTypeDescription="Defines the documents for Document Manager V2" ma:contentTypeScope="" ma:versionID="a10b108954e80ad2123c2f63b9b6b87a">
  <xsd:schema xmlns:xsd="http://www.w3.org/2001/XMLSchema" xmlns:xs="http://www.w3.org/2001/XMLSchema" xmlns:p="http://schemas.microsoft.com/office/2006/metadata/properties" xmlns:ns2="01cfe264-354f-4f3f-acd0-cf26eb309336" xmlns:ns3="http://schemas.microsoft.com/sharepoint/v3/fields" xmlns:ns4="d442a82d-24cc-4721-bd32-c982b501ac21" targetNamespace="http://schemas.microsoft.com/office/2006/metadata/properties" ma:root="true" ma:fieldsID="14fb0dbe52704fa166d8d689c48a6fb2" ns2:_="" ns3:_="" ns4:_="">
    <xsd:import namespace="01cfe264-354f-4f3f-acd0-cf26eb309336"/>
    <xsd:import namespace="http://schemas.microsoft.com/sharepoint/v3/fields"/>
    <xsd:import namespace="d442a82d-24cc-4721-bd32-c982b501ac2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42a82d-24cc-4721-bd32-c982b501ac2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69B866-8DCE-4429-B743-3F24BA545E34}">
  <ds:schemaRefs>
    <ds:schemaRef ds:uri="http://purl.org/dc/terms/"/>
    <ds:schemaRef ds:uri="http://schemas.microsoft.com/office/2006/documentManagement/types"/>
    <ds:schemaRef ds:uri="01cfe264-354f-4f3f-acd0-cf26eb309336"/>
    <ds:schemaRef ds:uri="http://purl.org/dc/elements/1.1/"/>
    <ds:schemaRef ds:uri="http://schemas.microsoft.com/office/2006/metadata/properties"/>
    <ds:schemaRef ds:uri="http://schemas.microsoft.com/sharepoint/v3/fields"/>
    <ds:schemaRef ds:uri="http://schemas.openxmlformats.org/package/2006/metadata/core-properties"/>
    <ds:schemaRef ds:uri="http://schemas.microsoft.com/office/infopath/2007/PartnerControls"/>
    <ds:schemaRef ds:uri="d442a82d-24cc-4721-bd32-c982b501ac21"/>
    <ds:schemaRef ds:uri="http://www.w3.org/XML/1998/namespace"/>
    <ds:schemaRef ds:uri="http://purl.org/dc/dcmitype/"/>
  </ds:schemaRefs>
</ds:datastoreItem>
</file>

<file path=customXml/itemProps2.xml><?xml version="1.0" encoding="utf-8"?>
<ds:datastoreItem xmlns:ds="http://schemas.openxmlformats.org/officeDocument/2006/customXml" ds:itemID="{A60A03E4-1415-40E2-B102-1F7C89DD8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d442a82d-24cc-4721-bd32-c982b501a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E66E46-B3B2-45F5-8A84-437116F16D62}">
  <ds:schemaRefs>
    <ds:schemaRef ds:uri="http://schemas.microsoft.com/sharepoint/events"/>
  </ds:schemaRefs>
</ds:datastoreItem>
</file>

<file path=customXml/itemProps4.xml><?xml version="1.0" encoding="utf-8"?>
<ds:datastoreItem xmlns:ds="http://schemas.openxmlformats.org/officeDocument/2006/customXml" ds:itemID="{5CA697BD-5BF4-4310-B260-D599D427B7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2418</Words>
  <Characters>13305</Characters>
  <Application>Microsoft Office Word</Application>
  <DocSecurity>4</DocSecurity>
  <Lines>110</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EMSK presidendi ja peasekretäri ning ELi majandus- ja sotsiaalnõukogude esimeeste iga-aastane koosolek</vt:lpstr>
      <vt:lpstr/>
    </vt:vector>
  </TitlesOfParts>
  <Company>EESC-ECOR</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EMSK presidendi ja peasekretäri ning ELi majandus- ja sotsiaalnõukogude esimeeste iga-aastane koosolek</dc:title>
  <dc:subject>INFO</dc:subject>
  <dc:creator>Ana Dumitrache</dc:creator>
  <cp:keywords>EESC-2021-05465-01-00-INFO-TRA-EN</cp:keywords>
  <dc:description>Rapporteur:  - Original language: EN - Date of document: 10/12/2021 - Date of meeting:  - External documents:  - Administrator: MME DUMITRACHE Ana</dc:description>
  <cp:lastModifiedBy>Sonia Calvy</cp:lastModifiedBy>
  <cp:revision>2</cp:revision>
  <dcterms:created xsi:type="dcterms:W3CDTF">2021-12-14T08:44:00Z</dcterms:created>
  <dcterms:modified xsi:type="dcterms:W3CDTF">2021-12-14T08:44:00Z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26/11/2021</vt:lpwstr>
  </property>
  <property fmtid="{D5CDD505-2E9C-101B-9397-08002B2CF9AE}" pid="4" name="Pref_Time">
    <vt:lpwstr>13:18:27</vt:lpwstr>
  </property>
  <property fmtid="{D5CDD505-2E9C-101B-9397-08002B2CF9AE}" pid="5" name="Pref_User">
    <vt:lpwstr>amett</vt:lpwstr>
  </property>
  <property fmtid="{D5CDD505-2E9C-101B-9397-08002B2CF9AE}" pid="6" name="Pref_FileName">
    <vt:lpwstr>EESC-2021-05465-01-00-INFO-ORI.docx</vt:lpwstr>
  </property>
  <property fmtid="{D5CDD505-2E9C-101B-9397-08002B2CF9AE}" pid="7" name="ContentTypeId">
    <vt:lpwstr>0x010100EA97B91038054C99906057A708A1480A004B06FA2060D04E4BBAF9E05CA34417ED</vt:lpwstr>
  </property>
  <property fmtid="{D5CDD505-2E9C-101B-9397-08002B2CF9AE}" pid="8" name="_dlc_DocIdItemGuid">
    <vt:lpwstr>a55f6602-9fe0-46e2-84d7-540870e212dc</vt:lpwstr>
  </property>
  <property fmtid="{D5CDD505-2E9C-101B-9397-08002B2CF9AE}" pid="9" name="AvailableTranslations">
    <vt:lpwstr>42;#FI|87606a43-d45f-42d6-b8c9-e1a3457db5b7;#58;#MT|7df99101-6854-4a26-b53a-b88c0da02c26;#17;#NL|55c6556c-b4f4-441d-9acf-c498d4f838bd;#13;#PT|50ccc04a-eadd-42ae-a0cb-acaf45f812ba;#35;#PL|1e03da61-4678-4e07-b136-b5024ca9197b;#15;#LT|a7ff5ce7-6123-4f68-865a</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5465</vt:i4>
  </property>
  <property fmtid="{D5CDD505-2E9C-101B-9397-08002B2CF9AE}" pid="14" name="DocumentYear">
    <vt:i4>2021</vt:i4>
  </property>
  <property fmtid="{D5CDD505-2E9C-101B-9397-08002B2CF9AE}" pid="15" name="DocumentVersion">
    <vt:i4>0</vt:i4>
  </property>
  <property fmtid="{D5CDD505-2E9C-101B-9397-08002B2CF9AE}" pid="16" name="FicheNumber">
    <vt:i4>14428</vt:i4>
  </property>
  <property fmtid="{D5CDD505-2E9C-101B-9397-08002B2CF9AE}" pid="17" name="DocumentStatus">
    <vt:lpwstr>7;#TRA|150d2a88-1431-44e6-a8ca-0bb753ab8672</vt:lpwstr>
  </property>
  <property fmtid="{D5CDD505-2E9C-101B-9397-08002B2CF9AE}" pid="18" name="DocumentPart">
    <vt:i4>1</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3;#INFO|d9136e7c-93a9-4c42-9d28-92b61e85f80c</vt:lpwstr>
  </property>
  <property fmtid="{D5CDD505-2E9C-101B-9397-08002B2CF9AE}" pid="22" name="RequestingService">
    <vt:lpwstr>Cabinet du Président</vt:lpwstr>
  </property>
  <property fmtid="{D5CDD505-2E9C-101B-9397-08002B2CF9AE}" pid="23" name="Confidentiality">
    <vt:lpwstr>165;#Internal|2451815e-8241-4bbf-a22e-1ab710712bf2</vt:lpwstr>
  </property>
  <property fmtid="{D5CDD505-2E9C-101B-9397-08002B2CF9AE}" pid="24" name="MeetingName_0">
    <vt:lpwstr/>
  </property>
  <property fmtid="{D5CDD505-2E9C-101B-9397-08002B2CF9AE}" pid="25" name="Confidentiality_0">
    <vt:lpwstr>Internal|2451815e-8241-4bbf-a22e-1ab710712bf2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FI|87606a43-d45f-42d6-b8c9-e1a3457db5b7;MT|7df99101-6854-4a26-b53a-b88c0da02c26;PT|50ccc04a-eadd-42ae-a0cb-acaf45f812ba;PL|1e03da61-4678-4e07-b136-b5024ca9197b;SV|c2ed69e7-a339-43d7-8f22-d93680a92aa0;HU|6b229040-c589-4408-b4c1-4285663d20a8;BG|1a1b3951-782</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35;#PL|1e03da61-4678-4e07-b136-b5024ca9197b;#11;#DE|f6b31e5a-26fa-4935-b661-318e46daf27e;#28;#ES|e7a6b05b-ae16-40c8-add9-68b64b03aeba;#12;#DA|5d49c027-8956-412b-aa16-e85a0f96ad0e;#25;#CS|72f9705b-0217-4fd3-bea2-cbc7ed80e26e;#4;#FR|d2afafd3-4c81-4f60-8f52-</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14;#ET|ff6c3f4c-b02c-4c3c-ab07-2c37995a7a0a</vt:lpwstr>
  </property>
</Properties>
</file>