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4057" w:rsidR="00D92E45" w:rsidP="003D472E" w:rsidRDefault="00D92E45" w14:paraId="14E23288" w14:textId="77777777">
      <w:pPr>
        <w:spacing w:after="0" w:line="288" w:lineRule="auto"/>
        <w:jc w:val="center"/>
        <w:rPr>
          <w:b/>
          <w:i/>
          <w:sz w:val="24"/>
          <w:szCs w:val="24"/>
          <w:u w:val="single"/>
        </w:rPr>
      </w:pPr>
      <w:r w:rsidRPr="00E94057">
        <w:rPr>
          <w:noProof/>
        </w:rPr>
        <w:drawing>
          <wp:inline distT="0" distB="0" distL="0" distR="0" wp14:anchorId="790D5AEA" wp14:editId="1065C4A3">
            <wp:extent cx="5731510" cy="1343166"/>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343166"/>
                    </a:xfrm>
                    <a:prstGeom prst="rect">
                      <a:avLst/>
                    </a:prstGeom>
                    <a:noFill/>
                  </pic:spPr>
                </pic:pic>
              </a:graphicData>
            </a:graphic>
          </wp:inline>
        </w:drawing>
      </w:r>
      <w:r w:rsidRPr="00E94057">
        <w:rPr>
          <w:b/>
          <w:i/>
          <w:noProof/>
          <w:sz w:val="20"/>
          <w:u w:val="single"/>
        </w:rPr>
        <mc:AlternateContent>
          <mc:Choice Requires="wps">
            <w:drawing>
              <wp:anchor distT="0" distB="0" distL="114300" distR="114300" simplePos="0" relativeHeight="251659264" behindDoc="1" locked="0" layoutInCell="0" allowOverlap="1" wp14:editId="39634BF0" wp14:anchorId="2B355D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94057" w:rsidR="003D472E" w:rsidRDefault="00E94057" w14:paraId="6C98B26D" w14:textId="196BA117">
                            <w:pPr>
                              <w:jc w:val="center"/>
                              <w:rPr>
                                <w:rFonts w:ascii="Arial" w:hAnsi="Arial" w:cs="Arial"/>
                                <w:b/>
                                <w:bCs/>
                                <w:sz w:val="48"/>
                                <w:lang w:val="es-ES"/>
                              </w:rPr>
                            </w:pPr>
                            <w:r>
                              <w:rPr>
                                <w:rFonts w:ascii="Arial" w:hAnsi="Arial"/>
                                <w:b/>
                                <w:sz w:val="48"/>
                                <w:lang w:val="es-ES"/>
                              </w:rPr>
                              <w:t>SQ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B355D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E94057" w:rsidR="003D472E" w:rsidRDefault="00E94057" w14:paraId="6C98B26D" w14:textId="196BA117">
                      <w:pPr>
                        <w:jc w:val="center"/>
                        <w:rPr>
                          <w:rFonts w:ascii="Arial" w:hAnsi="Arial" w:cs="Arial"/>
                          <w:b/>
                          <w:bCs/>
                          <w:sz w:val="48"/>
                          <w:lang w:val="es-ES"/>
                        </w:rPr>
                      </w:pPr>
                      <w:r>
                        <w:rPr>
                          <w:rFonts w:ascii="Arial" w:hAnsi="Arial"/>
                          <w:b/>
                          <w:sz w:val="48"/>
                          <w:lang w:val="es-ES"/>
                        </w:rPr>
                        <w:t>SQ</w:t>
                      </w:r>
                    </w:p>
                  </w:txbxContent>
                </v:textbox>
                <w10:wrap anchorx="page" anchory="page"/>
              </v:shape>
            </w:pict>
          </mc:Fallback>
        </mc:AlternateContent>
      </w:r>
    </w:p>
    <w:p w:rsidRPr="00E94057" w:rsidR="00D92E45" w:rsidP="003D472E" w:rsidRDefault="00D92E45" w14:paraId="44B94BFF" w14:textId="77777777">
      <w:pPr>
        <w:spacing w:after="0" w:line="288" w:lineRule="auto"/>
        <w:jc w:val="center"/>
        <w:rPr>
          <w:b/>
          <w:i/>
          <w:sz w:val="24"/>
          <w:szCs w:val="24"/>
          <w:u w:val="single"/>
          <w:lang w:val="en-GB"/>
        </w:rPr>
      </w:pPr>
    </w:p>
    <w:p w:rsidRPr="00E94057" w:rsidR="00EC3B97" w:rsidP="003D472E" w:rsidRDefault="00D26AB8" w14:paraId="13A53F25" w14:textId="5AA30F9C">
      <w:pPr>
        <w:spacing w:after="0" w:line="288" w:lineRule="auto"/>
        <w:jc w:val="center"/>
        <w:rPr>
          <w:b/>
          <w:sz w:val="28"/>
          <w:szCs w:val="28"/>
        </w:rPr>
      </w:pPr>
      <w:r w:rsidRPr="00E94057">
        <w:rPr>
          <w:b/>
          <w:sz w:val="28"/>
        </w:rPr>
        <w:t>DEKLARATA PËRFUNDIMTARE</w:t>
      </w:r>
    </w:p>
    <w:p w:rsidRPr="00E94057" w:rsidR="003D472E" w:rsidP="003D472E" w:rsidRDefault="003D472E" w14:paraId="4574292F" w14:textId="77777777">
      <w:pPr>
        <w:spacing w:after="0" w:line="288" w:lineRule="auto"/>
        <w:jc w:val="center"/>
        <w:rPr>
          <w:b/>
          <w:sz w:val="28"/>
          <w:szCs w:val="28"/>
          <w:lang w:val="en-GB"/>
        </w:rPr>
      </w:pPr>
    </w:p>
    <w:p w:rsidRPr="00E94057" w:rsidR="009A7761" w:rsidP="003D472E" w:rsidRDefault="00722F17" w14:paraId="145CD980" w14:textId="5CF00E06">
      <w:pPr>
        <w:spacing w:after="0" w:line="288" w:lineRule="auto"/>
        <w:jc w:val="center"/>
        <w:rPr>
          <w:b/>
          <w:sz w:val="24"/>
          <w:szCs w:val="24"/>
        </w:rPr>
      </w:pPr>
      <w:r w:rsidRPr="00E94057">
        <w:rPr>
          <w:b/>
          <w:sz w:val="24"/>
        </w:rPr>
        <w:t>Forumi i 9-të i Shoqërisë Civile të Ballkanit Perëndimor</w:t>
      </w:r>
    </w:p>
    <w:p w:rsidRPr="00E94057" w:rsidR="003D472E" w:rsidP="003D472E" w:rsidRDefault="003D472E" w14:paraId="4910CCC8" w14:textId="77777777">
      <w:pPr>
        <w:spacing w:after="0" w:line="288" w:lineRule="auto"/>
        <w:jc w:val="center"/>
        <w:rPr>
          <w:b/>
          <w:sz w:val="24"/>
          <w:szCs w:val="24"/>
          <w:lang w:val="en-GB"/>
        </w:rPr>
      </w:pPr>
    </w:p>
    <w:p w:rsidRPr="00E94057" w:rsidR="009B2E45" w:rsidP="003D472E" w:rsidRDefault="00722F17" w14:paraId="248CE0DC" w14:textId="1EB6CAF0">
      <w:pPr>
        <w:spacing w:after="0" w:line="288" w:lineRule="auto"/>
        <w:jc w:val="center"/>
        <w:rPr>
          <w:b/>
          <w:sz w:val="24"/>
          <w:szCs w:val="24"/>
        </w:rPr>
      </w:pPr>
      <w:r w:rsidRPr="00E94057">
        <w:rPr>
          <w:b/>
          <w:sz w:val="24"/>
        </w:rPr>
        <w:t>Selanik, 19-20 tetor 2023</w:t>
      </w:r>
    </w:p>
    <w:p w:rsidRPr="00E94057" w:rsidR="009820E9" w:rsidP="003D472E" w:rsidRDefault="009820E9" w14:paraId="5D1EB401" w14:textId="77777777">
      <w:pPr>
        <w:spacing w:after="0" w:line="288" w:lineRule="auto"/>
        <w:jc w:val="center"/>
        <w:rPr>
          <w:b/>
          <w:sz w:val="24"/>
          <w:szCs w:val="24"/>
          <w:lang w:val="en-GB"/>
        </w:rPr>
      </w:pPr>
    </w:p>
    <w:p w:rsidRPr="00E94057" w:rsidR="00B11A56" w:rsidP="003D472E" w:rsidRDefault="00B11A56" w14:paraId="1A41497E" w14:textId="151A8480">
      <w:pPr>
        <w:pStyle w:val="ListParagraph"/>
        <w:numPr>
          <w:ilvl w:val="0"/>
          <w:numId w:val="13"/>
        </w:numPr>
        <w:spacing w:after="0" w:line="288" w:lineRule="auto"/>
        <w:ind w:left="567" w:hanging="567"/>
        <w:jc w:val="both"/>
      </w:pPr>
      <w:r w:rsidRPr="00E94057">
        <w:t>Komiteti Ekonomik dhe Social Evropian (KESE), që përfaqëson shoqërinë civile të organizuar në Bashkimin Evropian (BE), mbajti Forumin e tij të 9-të të Shoqërisë Civile të Ballkanit Perëndimor me mbështetjen e Komisionit Evropian, Fondacionit Evropian të Formimit Profesional (ETF), Qendrës Evropiane për Zhvillimin e Formimit Profesional (CEDEFOP) dhe Këshillin e Bashkëpunimit Rajonal (RCC). Forumi mblodhi së bashku përfaqësues të sindikatave, punëdhënësve dhe organizatave të shoqërisë civile (OShC) nga Ballkani Perëndimor (Shqipëria, Bosnjë e Hercegovina, Kosova</w:t>
      </w:r>
      <w:r w:rsidRPr="00E94057" w:rsidR="00E03AF7">
        <w:rPr>
          <w:rStyle w:val="FootnoteReference"/>
          <w:rFonts w:ascii="Arial" w:hAnsi="Arial" w:cs="Arial"/>
        </w:rPr>
        <w:footnoteReference w:customMarkFollows="1" w:id="1"/>
        <w:t>⃰</w:t>
      </w:r>
      <w:r w:rsidRPr="00E94057">
        <w:t>, Mali i Zi, Maqedonia e Veriut dhe Serbia), anëtarë të KESE-së, përfaqësues të institucioneve dhe agjencive të BE-së dhe organizatave dhe rrjeteve ndërkombëtare.</w:t>
      </w:r>
    </w:p>
    <w:p w:rsidRPr="00E94057" w:rsidR="006026AA" w:rsidP="006026AA" w:rsidRDefault="006026AA" w14:paraId="106DFA2E" w14:textId="77777777">
      <w:pPr>
        <w:pStyle w:val="ListParagraph"/>
        <w:spacing w:after="0" w:line="288" w:lineRule="auto"/>
        <w:ind w:left="567"/>
        <w:jc w:val="both"/>
      </w:pPr>
    </w:p>
    <w:p w:rsidRPr="00E94057" w:rsidR="00654E7C" w:rsidP="003D472E" w:rsidRDefault="00654E7C" w14:paraId="69D03C48" w14:textId="77EDDE92">
      <w:pPr>
        <w:pStyle w:val="ListParagraph"/>
        <w:numPr>
          <w:ilvl w:val="0"/>
          <w:numId w:val="13"/>
        </w:numPr>
        <w:spacing w:after="0" w:line="288" w:lineRule="auto"/>
        <w:ind w:left="567" w:hanging="567"/>
        <w:jc w:val="both"/>
      </w:pPr>
      <w:r w:rsidRPr="00E94057">
        <w:t>Edicioni i 9-të i Forumit u zhvillua në Selanik, Greqi, për të shënuar 20 vjetorin simbolik të Samitit BE-Ballkani Perëndimor 2003. Dy dekada pasi ai samit afirmoi se e ardhmja e Ballkanit Perëndimor ishte brenda BE-së, peizazhi i ri gjeopolitik i formësuar nga lufta e agresionit të Rusisë kundër Ukrainës ka rindezur vrullin për zgjerimin e BE-së. Forumi është një hap i rëndësishëm drejt hapjes së dyerve të BE-së për Ballkanin Perëndimor, në vijim të vendimit të KESE-së për të përfshirë vendet kandidate të BE-së në punën e vet që nga viti 2024, duke emëruar “Anëtarët Kandidatë për Zgjerim”.</w:t>
      </w:r>
    </w:p>
    <w:p w:rsidRPr="00E94057" w:rsidR="00654E7C" w:rsidP="002C6A69" w:rsidRDefault="00654E7C" w14:paraId="0EA02371" w14:textId="77777777">
      <w:pPr>
        <w:pStyle w:val="ListParagraph"/>
        <w:spacing w:after="0" w:line="288" w:lineRule="auto"/>
        <w:ind w:left="567"/>
        <w:jc w:val="both"/>
      </w:pPr>
    </w:p>
    <w:p w:rsidRPr="00E94057" w:rsidR="006026AA" w:rsidP="003D472E" w:rsidRDefault="00654E7C" w14:paraId="146273E5" w14:textId="186CFB2A">
      <w:pPr>
        <w:pStyle w:val="ListParagraph"/>
        <w:numPr>
          <w:ilvl w:val="0"/>
          <w:numId w:val="13"/>
        </w:numPr>
        <w:spacing w:after="0" w:line="288" w:lineRule="auto"/>
        <w:ind w:left="567" w:hanging="567"/>
        <w:jc w:val="both"/>
      </w:pPr>
      <w:r w:rsidRPr="00E94057">
        <w:t>Kjo deklaratë përshkruan një sërë thirrjesh nga shoqëria civile e organizuar dhe shërben si një kontribut nga BE-ja dhe shoqëria civile e Ballkanit Perëndimor në Samitin e ardhshëm BE-Ballkani Perëndimor të njoftuar nga Presidenti i Këshillit Evropian dhe që pritet të zhvillohet në dhjetor 2023. Në fund, konkluzionet e forumit do t’u komunikohen gjithashtu institucioneve të BE-së, organizatave të shoqërisë civile dhe autoriteteve publike të rajonit.</w:t>
      </w:r>
    </w:p>
    <w:p w:rsidRPr="00E94057" w:rsidR="00B11A56" w:rsidP="003D472E" w:rsidRDefault="00B11A56" w14:paraId="55AD172D" w14:textId="77777777">
      <w:pPr>
        <w:pStyle w:val="ListParagraph"/>
        <w:spacing w:after="0" w:line="288" w:lineRule="auto"/>
        <w:ind w:left="567"/>
        <w:jc w:val="both"/>
      </w:pPr>
    </w:p>
    <w:p w:rsidRPr="00E94057" w:rsidR="00B11A56" w:rsidP="002C6A69" w:rsidRDefault="00B11A56" w14:paraId="6C5F0039" w14:textId="54C6408E">
      <w:r w:rsidRPr="00E94057">
        <w:t>Pjesëmarrësit e forumit miratuan deklaratën e mëposhtme:</w:t>
      </w:r>
    </w:p>
    <w:p w:rsidRPr="00E94057" w:rsidR="00B11A56" w:rsidP="003D472E" w:rsidRDefault="00B11A56" w14:paraId="1398739C" w14:textId="77777777">
      <w:pPr>
        <w:pStyle w:val="ListParagraph"/>
        <w:spacing w:after="0" w:line="288" w:lineRule="auto"/>
        <w:ind w:left="567"/>
        <w:jc w:val="both"/>
      </w:pPr>
    </w:p>
    <w:p w:rsidRPr="00E94057" w:rsidR="00741302" w:rsidP="00C12760" w:rsidRDefault="00741302" w14:paraId="5A97E689" w14:textId="3015AC83">
      <w:pPr>
        <w:pStyle w:val="ListParagraph"/>
        <w:keepNext/>
        <w:spacing w:after="0" w:line="288" w:lineRule="auto"/>
        <w:ind w:left="70"/>
        <w:jc w:val="both"/>
        <w:rPr>
          <w:i/>
          <w:u w:val="single"/>
        </w:rPr>
      </w:pPr>
      <w:r w:rsidRPr="00E94057">
        <w:rPr>
          <w:i/>
          <w:u w:val="single"/>
        </w:rPr>
        <w:lastRenderedPageBreak/>
        <w:t>Mbi rrugën e anëtarësimit në BE për Ballkanin Perëndimor dhe rëndësinë e vlerave evropiane</w:t>
      </w:r>
    </w:p>
    <w:p w:rsidRPr="00E94057" w:rsidR="00541F6A" w:rsidP="00C12760" w:rsidRDefault="00541F6A" w14:paraId="1073FED2" w14:textId="77777777">
      <w:pPr>
        <w:pStyle w:val="ListParagraph"/>
        <w:keepNext/>
        <w:spacing w:after="0" w:line="288" w:lineRule="auto"/>
        <w:ind w:left="70"/>
        <w:jc w:val="both"/>
        <w:rPr>
          <w:i/>
        </w:rPr>
      </w:pPr>
    </w:p>
    <w:p w:rsidRPr="00E94057" w:rsidR="00541F6A" w:rsidP="00C12760" w:rsidRDefault="003D472E" w14:paraId="4D038B17" w14:textId="77777777">
      <w:pPr>
        <w:keepNext/>
        <w:spacing w:after="0" w:line="288" w:lineRule="auto"/>
        <w:ind w:left="70"/>
      </w:pPr>
      <w:r w:rsidRPr="00E94057">
        <w:t>Pjesëmarrësit:</w:t>
      </w:r>
    </w:p>
    <w:p w:rsidRPr="00E94057" w:rsidR="003D472E" w:rsidP="00C12760" w:rsidRDefault="003D472E" w14:paraId="1BFBD22A" w14:textId="77777777">
      <w:pPr>
        <w:keepNext/>
        <w:spacing w:after="0" w:line="288" w:lineRule="auto"/>
        <w:ind w:left="70"/>
        <w:rPr>
          <w:lang w:val="en-GB"/>
        </w:rPr>
      </w:pPr>
    </w:p>
    <w:p w:rsidRPr="00E94057" w:rsidR="00541F6A" w:rsidP="006C4235" w:rsidRDefault="00F729AB" w14:paraId="26BA62CF" w14:textId="525DDECE">
      <w:pPr>
        <w:pStyle w:val="ListParagraph"/>
        <w:numPr>
          <w:ilvl w:val="0"/>
          <w:numId w:val="13"/>
        </w:numPr>
        <w:spacing w:after="0" w:line="288" w:lineRule="auto"/>
        <w:ind w:left="567" w:hanging="567"/>
        <w:jc w:val="both"/>
      </w:pPr>
      <w:r w:rsidRPr="00E94057">
        <w:t>tani më shumë se kurrë, mbështesin me vendosmëri zgjerimin e mëtejshëm të BE-së në rajonin e Ballkanit Perëndimor, pasi integrimi i saj i shpejtë në BE përfaqëson një investim gjeostrategjik në paqen, sigurinë dhe prosperitetin ekonomik dhe social të Evropës;</w:t>
      </w:r>
    </w:p>
    <w:p w:rsidRPr="00E94057" w:rsidR="003C0BFF" w:rsidP="003D472E" w:rsidRDefault="003C0BFF" w14:paraId="576D78F6" w14:textId="77777777">
      <w:pPr>
        <w:pStyle w:val="ListParagraph"/>
        <w:spacing w:after="0" w:line="288" w:lineRule="auto"/>
        <w:ind w:left="567"/>
        <w:jc w:val="both"/>
        <w:rPr>
          <w:lang w:val="en-GB"/>
        </w:rPr>
      </w:pPr>
    </w:p>
    <w:p w:rsidRPr="00E94057" w:rsidR="00C37CC1" w:rsidP="003D472E" w:rsidRDefault="006C4235" w14:paraId="29793097" w14:textId="238AA254">
      <w:pPr>
        <w:pStyle w:val="ListParagraph"/>
        <w:numPr>
          <w:ilvl w:val="0"/>
          <w:numId w:val="13"/>
        </w:numPr>
        <w:spacing w:after="0" w:line="288" w:lineRule="auto"/>
        <w:ind w:left="567" w:hanging="567"/>
        <w:jc w:val="both"/>
      </w:pPr>
      <w:r w:rsidRPr="00E94057">
        <w:t>mbështesin fuqimisht idenë e përcaktimit të një afati kohor të qartë dhe realist për partnerët e Ballkanit Perëndimor që të bëhen anëtarë të BE-së; mirëpresin përmendjen e vitit 2030 si një datë të synuar deri në të cilën BE-ja dhe Ballkani Perëndimor duhet të jenë gati për zgjerim dhe u bëjnë thirrje të gjitha palëve të interesuara të bëjnë gjithçka që është e nevojshme për të mundësuar që kjo të bëhet realitet;</w:t>
      </w:r>
    </w:p>
    <w:p w:rsidRPr="00E94057" w:rsidR="00C37CC1" w:rsidP="009126B5" w:rsidRDefault="00C37CC1" w14:paraId="4B6CDC5B" w14:textId="77777777">
      <w:pPr>
        <w:pStyle w:val="ListParagraph"/>
        <w:spacing w:after="0" w:line="288" w:lineRule="auto"/>
        <w:ind w:left="567"/>
        <w:jc w:val="both"/>
        <w:rPr>
          <w:lang w:val="en-GB"/>
        </w:rPr>
      </w:pPr>
    </w:p>
    <w:p w:rsidRPr="00E94057" w:rsidR="003C0BFF" w:rsidP="003D472E" w:rsidRDefault="00C37CC1" w14:paraId="1DC66670" w14:textId="2CD2B5CC">
      <w:pPr>
        <w:pStyle w:val="ListParagraph"/>
        <w:numPr>
          <w:ilvl w:val="0"/>
          <w:numId w:val="13"/>
        </w:numPr>
        <w:spacing w:after="0" w:line="288" w:lineRule="auto"/>
        <w:ind w:left="567" w:hanging="567"/>
        <w:jc w:val="both"/>
      </w:pPr>
      <w:r w:rsidRPr="00E94057">
        <w:t>vërejnë se, duke qenë se zgjerimi është një proces i bazuar në merita, disa vende mund ta përfundojnë procesin e anëtarësimit në BE më shpejt se të tjerat;</w:t>
      </w:r>
    </w:p>
    <w:p w:rsidRPr="00E94057" w:rsidR="001F2077" w:rsidP="003D472E" w:rsidRDefault="001F2077" w14:paraId="5F548DD5" w14:textId="77777777">
      <w:pPr>
        <w:pStyle w:val="ListParagraph"/>
        <w:spacing w:after="0" w:line="288" w:lineRule="auto"/>
        <w:ind w:left="567"/>
        <w:jc w:val="both"/>
        <w:rPr>
          <w:lang w:val="en-GB"/>
        </w:rPr>
      </w:pPr>
    </w:p>
    <w:p w:rsidRPr="00E94057" w:rsidR="00222237" w:rsidP="003D472E" w:rsidRDefault="00222237" w14:paraId="46C5681F" w14:textId="192F699B">
      <w:pPr>
        <w:pStyle w:val="ListParagraph"/>
        <w:numPr>
          <w:ilvl w:val="0"/>
          <w:numId w:val="13"/>
        </w:numPr>
        <w:spacing w:after="0" w:line="288" w:lineRule="auto"/>
        <w:ind w:left="567" w:hanging="567"/>
        <w:jc w:val="both"/>
      </w:pPr>
      <w:r w:rsidRPr="00E94057">
        <w:t>presin me padurim Paketën e Zgjerimit të vitit 2023 të Komisionit Evropian dhe rishikimet e njoftuara të politikave të tij të para-zgjerimit në një numër fushash kyçe, pasi ata janë të vetëdijshëm se BE-ja duhet të jetë e aftë dhe e gatshme të funksionojë me Shtete Anëtare të tjera;</w:t>
      </w:r>
    </w:p>
    <w:p w:rsidRPr="00E94057" w:rsidR="00222237" w:rsidP="00222237" w:rsidRDefault="00222237" w14:paraId="72BB8335" w14:textId="77777777">
      <w:pPr>
        <w:pStyle w:val="ListParagraph"/>
        <w:spacing w:after="0" w:line="288" w:lineRule="auto"/>
        <w:ind w:left="567"/>
        <w:jc w:val="both"/>
        <w:rPr>
          <w:lang w:val="en-GB"/>
        </w:rPr>
      </w:pPr>
    </w:p>
    <w:p w:rsidRPr="00E94057" w:rsidR="007946D9" w:rsidP="003D472E" w:rsidRDefault="006629AB" w14:paraId="49D21898" w14:textId="02A80C6F">
      <w:pPr>
        <w:pStyle w:val="ListParagraph"/>
        <w:numPr>
          <w:ilvl w:val="0"/>
          <w:numId w:val="13"/>
        </w:numPr>
        <w:spacing w:after="0" w:line="288" w:lineRule="auto"/>
        <w:ind w:left="567" w:hanging="567"/>
        <w:jc w:val="both"/>
      </w:pPr>
      <w:r w:rsidRPr="00E94057">
        <w:t>theksojnë se të gjitha Shtetet Anëtare aktuale dhe të ardhshme të BE-së duhet t’u përmbahen plotësisht dhe sinqerisht vlerave evropiane, dhe për këtë arsye do të mirëprisnin përfshirjen e të gjitha vendeve kandidate dhe para-kandidate në BE në zhvillimin e raporteve vjetore për sundimin e ligjit dhe të drejtat themelore; theksojnë rolin vendimtar të partnerëve socialë dhe OShC-ve në këtë proces dhe theksojnë se funksionimi i dialogut social dhe qytetar janë një pjesë thelbësore e një shoqërie demokratike;</w:t>
      </w:r>
    </w:p>
    <w:p w:rsidRPr="00E94057" w:rsidR="007946D9" w:rsidP="003D472E" w:rsidRDefault="007946D9" w14:paraId="1C064E7F" w14:textId="77777777">
      <w:pPr>
        <w:pStyle w:val="ListParagraph"/>
        <w:spacing w:after="0" w:line="288" w:lineRule="auto"/>
        <w:ind w:left="567"/>
        <w:jc w:val="both"/>
        <w:rPr>
          <w:lang w:val="en-GB"/>
        </w:rPr>
      </w:pPr>
    </w:p>
    <w:p w:rsidRPr="00E94057" w:rsidR="0002152F" w:rsidP="003D472E" w:rsidRDefault="00E55DA8" w14:paraId="38FE185B" w14:textId="1882238B">
      <w:pPr>
        <w:pStyle w:val="ListParagraph"/>
        <w:numPr>
          <w:ilvl w:val="0"/>
          <w:numId w:val="13"/>
        </w:numPr>
        <w:spacing w:after="0" w:line="288" w:lineRule="auto"/>
        <w:ind w:left="567" w:hanging="567"/>
        <w:jc w:val="both"/>
      </w:pPr>
      <w:r w:rsidRPr="00E94057">
        <w:t>nuk janë kundër anëtarësimit me faza të Ballkanit Perëndimor në BE, ku partnerët e Ballkanit Perëndimor do të integrohen gradualisht në mekanizmat dhe fondet ekzistuese të BE-së, me kusht që qëllimi përfundimtar të jetë anëtarësimi i tyre i plotë në BE;</w:t>
      </w:r>
    </w:p>
    <w:p w:rsidRPr="00E94057" w:rsidR="0002152F" w:rsidP="00C12760" w:rsidRDefault="0002152F" w14:paraId="06F93A12" w14:textId="77777777">
      <w:pPr>
        <w:pStyle w:val="ListParagraph"/>
        <w:spacing w:after="0" w:line="288" w:lineRule="auto"/>
        <w:ind w:left="567"/>
        <w:rPr>
          <w:lang w:val="en-GB"/>
        </w:rPr>
      </w:pPr>
    </w:p>
    <w:p w:rsidRPr="00E94057" w:rsidR="003C1C26" w:rsidP="003D472E" w:rsidRDefault="003C1C26" w14:paraId="25FD2062" w14:textId="539A59B8">
      <w:pPr>
        <w:pStyle w:val="ListParagraph"/>
        <w:numPr>
          <w:ilvl w:val="0"/>
          <w:numId w:val="13"/>
        </w:numPr>
        <w:spacing w:after="0" w:line="288" w:lineRule="auto"/>
        <w:ind w:left="567" w:hanging="567"/>
        <w:jc w:val="both"/>
      </w:pPr>
      <w:r w:rsidRPr="00E94057">
        <w:t>përgëzojnë KESE-në që janë organi i parë i BE-së që filloi zbatimin e një nisme “Anëtarët Kandidatë të Zgjerimit”, e cila, në vitin 2024, do t’u hapë derën përfaqësuesve të sindikatave, punëdhënësve dhe OShC-ve nga vendet kandidate për në BE, duke përfshirë ata që përfaqësojnë të rinjtë, për të marrë pjesë në një kapacitet këshillues në aktivitetet e rëndësishme të KESE-së që fokusohen në zgjerimin;</w:t>
      </w:r>
    </w:p>
    <w:p w:rsidRPr="00E94057" w:rsidR="003C1C26" w:rsidP="003C1C26" w:rsidRDefault="003C1C26" w14:paraId="1DFDEF4C" w14:textId="77777777">
      <w:pPr>
        <w:pStyle w:val="ListParagraph"/>
        <w:spacing w:after="0" w:line="288" w:lineRule="auto"/>
        <w:ind w:left="567"/>
        <w:jc w:val="both"/>
        <w:rPr>
          <w:lang w:val="en-GB"/>
        </w:rPr>
      </w:pPr>
    </w:p>
    <w:p w:rsidRPr="00E94057" w:rsidR="00CE0216" w:rsidP="00E55DA8" w:rsidRDefault="00553A3E" w14:paraId="7C8A2E52" w14:textId="3A60A9D4">
      <w:pPr>
        <w:pStyle w:val="ListParagraph"/>
        <w:numPr>
          <w:ilvl w:val="0"/>
          <w:numId w:val="13"/>
        </w:numPr>
        <w:spacing w:after="0" w:line="288" w:lineRule="auto"/>
        <w:ind w:left="567" w:hanging="567"/>
        <w:jc w:val="both"/>
      </w:pPr>
      <w:r w:rsidRPr="00E94057">
        <w:t>mbështesin bashkëpunimin ndërrajonal në Ballkanin Perëndimor dhe iniciativat rajonale që janë plotësisht gjithëpërfshirëse dhe bëjnë thirrje për një zgjidhje të shpejtë të të gjitha konflikteve dhe mosmarrëveshjeve dypalëshe; theksojnë se partnerët socialë dhe shoqëria civile e organizuar duhet të luajnë një rol aktiv në procesin e pajtimit;</w:t>
      </w:r>
    </w:p>
    <w:p w:rsidRPr="00E94057" w:rsidR="00CE0216" w:rsidP="00CE0216" w:rsidRDefault="00CE0216" w14:paraId="50342179" w14:textId="77777777">
      <w:pPr>
        <w:pStyle w:val="ListParagraph"/>
        <w:spacing w:after="0" w:line="288" w:lineRule="auto"/>
        <w:ind w:left="567"/>
        <w:jc w:val="both"/>
        <w:rPr>
          <w:lang w:val="en-GB"/>
        </w:rPr>
      </w:pPr>
    </w:p>
    <w:p w:rsidRPr="00E94057" w:rsidR="003C0BFF" w:rsidP="00B744F4" w:rsidRDefault="00CE0216" w14:paraId="038EC848" w14:textId="72B15FBE">
      <w:pPr>
        <w:pStyle w:val="ListParagraph"/>
        <w:keepNext/>
        <w:keepLines/>
        <w:numPr>
          <w:ilvl w:val="0"/>
          <w:numId w:val="13"/>
        </w:numPr>
        <w:spacing w:after="0" w:line="288" w:lineRule="auto"/>
        <w:ind w:left="567" w:hanging="567"/>
        <w:jc w:val="both"/>
      </w:pPr>
      <w:r w:rsidRPr="00E94057">
        <w:lastRenderedPageBreak/>
        <w:t>ftojnë institucionet e BE-së dhe qeveritë e Ballkanit Perëndimor të forcojnë përfshirjen e sinqertë dhe kapacitetet e përgjithshme të partnerëve socialë, duke ruajtur plotësisht pavarësinë e tyre.</w:t>
      </w:r>
    </w:p>
    <w:p w:rsidRPr="00E94057" w:rsidR="00541F6A" w:rsidP="00B744F4" w:rsidRDefault="00541F6A" w14:paraId="17A63239" w14:textId="77777777">
      <w:pPr>
        <w:pStyle w:val="ListParagraph"/>
        <w:keepNext/>
        <w:keepLines/>
        <w:spacing w:after="0" w:line="288" w:lineRule="auto"/>
        <w:ind w:left="567"/>
        <w:jc w:val="both"/>
        <w:rPr>
          <w:i/>
          <w:lang w:val="en-GB"/>
        </w:rPr>
      </w:pPr>
    </w:p>
    <w:p w:rsidRPr="00E94057" w:rsidR="00A24B0C" w:rsidP="00B744F4" w:rsidRDefault="00541F6A" w14:paraId="5DE173CC" w14:textId="635F78A0">
      <w:pPr>
        <w:pStyle w:val="ListParagraph"/>
        <w:keepNext/>
        <w:keepLines/>
        <w:spacing w:after="0" w:line="288" w:lineRule="auto"/>
        <w:ind w:left="0"/>
        <w:jc w:val="both"/>
        <w:rPr>
          <w:i/>
          <w:u w:val="single"/>
        </w:rPr>
      </w:pPr>
      <w:r w:rsidRPr="00E94057">
        <w:rPr>
          <w:i/>
          <w:u w:val="single"/>
        </w:rPr>
        <w:t>Mbi arsimin, rininë, formimin profesional dhe zhvillimin e aftësive gjatë gjithë jetës, në kuadër të Vitit Evropian të Aftësive</w:t>
      </w:r>
    </w:p>
    <w:p w:rsidRPr="00E94057" w:rsidR="005E49BC" w:rsidRDefault="005E49BC" w14:paraId="2D2430B4" w14:textId="77777777">
      <w:pPr>
        <w:pStyle w:val="ListParagraph"/>
        <w:keepNext/>
        <w:keepLines/>
        <w:spacing w:after="0" w:line="288" w:lineRule="auto"/>
        <w:ind w:left="567"/>
        <w:jc w:val="both"/>
        <w:rPr>
          <w:lang w:val="en-GB"/>
        </w:rPr>
      </w:pPr>
    </w:p>
    <w:p w:rsidRPr="00E94057" w:rsidR="00530434" w:rsidP="003D472E" w:rsidRDefault="00530434" w14:paraId="606D29D4" w14:textId="77777777">
      <w:pPr>
        <w:keepNext/>
        <w:spacing w:after="0" w:line="288" w:lineRule="auto"/>
      </w:pPr>
      <w:r w:rsidRPr="00E94057">
        <w:t>Pjesëmarrësit:</w:t>
      </w:r>
    </w:p>
    <w:p w:rsidRPr="00E94057" w:rsidR="003D472E" w:rsidP="003D472E" w:rsidRDefault="003D472E" w14:paraId="56EA8BF2" w14:textId="77777777">
      <w:pPr>
        <w:keepNext/>
        <w:spacing w:after="0" w:line="288" w:lineRule="auto"/>
        <w:rPr>
          <w:i/>
          <w:lang w:val="en-GB"/>
        </w:rPr>
      </w:pPr>
    </w:p>
    <w:p w:rsidRPr="00E94057" w:rsidR="000C7832" w:rsidP="000C7832" w:rsidRDefault="00C40631" w14:paraId="582D3C5A" w14:textId="6AAEE9BE">
      <w:pPr>
        <w:pStyle w:val="ListParagraph"/>
        <w:numPr>
          <w:ilvl w:val="0"/>
          <w:numId w:val="13"/>
        </w:numPr>
        <w:spacing w:after="0" w:line="288" w:lineRule="auto"/>
        <w:ind w:left="567" w:hanging="567"/>
        <w:jc w:val="both"/>
      </w:pPr>
      <w:r w:rsidRPr="00E94057">
        <w:t>pranojnë reformat që janë ndërmarrë tashmë, por bëjnë thirrje për përforcim të mëtejshëm të programeve të BE-së, strukturave rajonale dhe politikave qeveritare për rininë, me synimin për ta bërë rininë një prioritet dhe për të arritur më shumë të rinj në Ballkanin Perëndimor me mundësi për arsimim, punësim, orientim, lëvizshmëri dhe vullnetarizim;</w:t>
      </w:r>
    </w:p>
    <w:p w:rsidRPr="00E94057" w:rsidR="000C7832" w:rsidP="000C7832" w:rsidRDefault="000C7832" w14:paraId="74031047" w14:textId="77777777">
      <w:pPr>
        <w:pStyle w:val="ListParagraph"/>
        <w:spacing w:after="0" w:line="288" w:lineRule="auto"/>
        <w:ind w:left="567"/>
        <w:jc w:val="both"/>
        <w:rPr>
          <w:lang w:val="en-GB"/>
        </w:rPr>
      </w:pPr>
    </w:p>
    <w:p w:rsidRPr="00E94057" w:rsidR="00894B55" w:rsidP="003D472E" w:rsidRDefault="00894B55" w14:paraId="2AA799C3" w14:textId="4F3E03CA">
      <w:pPr>
        <w:pStyle w:val="ListParagraph"/>
        <w:numPr>
          <w:ilvl w:val="0"/>
          <w:numId w:val="13"/>
        </w:numPr>
        <w:spacing w:after="0" w:line="288" w:lineRule="auto"/>
        <w:ind w:left="567" w:hanging="567"/>
        <w:jc w:val="both"/>
      </w:pPr>
      <w:r w:rsidRPr="00E94057">
        <w:t>sugjerojnë rritjen e konsiderueshme të përpjekjeve për t’u ofruar të rinjve nga Ballkani Perëndimor qasje në arsimin universitar në BE. Bursat e reja dhe/ose kreditë brenda ose jashtë skemës Erasmus+ që mund të falen pasi përfituesi të kthehet në vendin e origjinës do të krijonin një mjet efektiv për të kundërshtuar largimin e trurit. Në mënyrë të njëjtë, është thelbësore të rriten aftësitë e fuqisë punonjëse në rajon, pasi zhvillimi i kapitalit njerëzor është thelbësor për njerëzit dhe ekonominë, si dhe për qeverisjen e mirë në kontekstin e procesit të anëtarësimit;</w:t>
      </w:r>
    </w:p>
    <w:p w:rsidRPr="00E94057" w:rsidR="00894B55" w:rsidP="00894B55" w:rsidRDefault="00894B55" w14:paraId="137A6B81" w14:textId="77777777">
      <w:pPr>
        <w:pStyle w:val="ListParagraph"/>
        <w:spacing w:after="0" w:line="288" w:lineRule="auto"/>
        <w:ind w:left="567"/>
        <w:jc w:val="both"/>
      </w:pPr>
    </w:p>
    <w:p w:rsidRPr="00E94057" w:rsidR="000C7832" w:rsidP="003D472E" w:rsidRDefault="000C7832" w14:paraId="54CED83D" w14:textId="19243ADF">
      <w:pPr>
        <w:pStyle w:val="ListParagraph"/>
        <w:numPr>
          <w:ilvl w:val="0"/>
          <w:numId w:val="13"/>
        </w:numPr>
        <w:spacing w:after="0" w:line="288" w:lineRule="auto"/>
        <w:ind w:left="567" w:hanging="567"/>
        <w:jc w:val="both"/>
      </w:pPr>
      <w:r w:rsidRPr="00E94057">
        <w:t>bëjnë thirrje për një fokus më të fortë në arsimin dhe formimin profesional (AFP) në perspektivën e të mësuarit gjatë gjithë jetës, duke kombinuar arsimin profesional me cilësi të lartë në nivelin e mesëm, post-sekondar dhe të lartë, skemat e praktikës dhe formimin profesional të vazhdueshëm; theksojnë rëndësinë e institucioneve të AFP-së në Ballkanin Perëndimor dhe nevojën për të ndërtuar kapacitetet e tyre;</w:t>
      </w:r>
    </w:p>
    <w:p w:rsidRPr="00E94057" w:rsidR="000C7832" w:rsidP="000C7832" w:rsidRDefault="000C7832" w14:paraId="3AC8F6B3" w14:textId="77777777">
      <w:pPr>
        <w:pStyle w:val="ListParagraph"/>
        <w:spacing w:after="0" w:line="288" w:lineRule="auto"/>
        <w:ind w:left="567"/>
        <w:jc w:val="both"/>
      </w:pPr>
    </w:p>
    <w:p w:rsidRPr="00E94057" w:rsidR="00A00E9D" w:rsidP="003D472E" w:rsidRDefault="00A0691A" w14:paraId="7F07AC42" w14:textId="6370D9F5">
      <w:pPr>
        <w:pStyle w:val="ListParagraph"/>
        <w:numPr>
          <w:ilvl w:val="0"/>
          <w:numId w:val="13"/>
        </w:numPr>
        <w:spacing w:after="0" w:line="288" w:lineRule="auto"/>
        <w:ind w:left="567" w:hanging="567"/>
        <w:jc w:val="both"/>
      </w:pPr>
      <w:r w:rsidRPr="00E94057">
        <w:t>theksojnë fuqimisht rëndësinë e forcimit të partneritetit publik-privat në nxitjen e punësimit të të rinjve përmes zbatimit të Garancisë për Rininë. OShC-të mund të luajnë një rol të rëndësishëm në arritjen dhe orientimin për të rinjtë NEET (“Jo në arsim, punësim ose formim profesional”), duke ndërtuar kështu një urë lidhëse me autoritetet publike në të gjitha nivelet e qeverisjes. OShC-të duhet të njihen si ofrues të mundshëm shërbimesh në fushën e orientimit në karrierë, formimit profesional, zhvillimit të aftësive dhe punësimit; bashkëpunimi strukturor ndërmjet institucioneve publike dhe partnerëve socialë në zbatimin e skemave të Garancisë Rinore duhet të mbështetet në mënyrë të vazhdueshme;</w:t>
      </w:r>
    </w:p>
    <w:p w:rsidRPr="00E94057" w:rsidR="003178C2" w:rsidP="003D472E" w:rsidRDefault="003178C2" w14:paraId="64686F03" w14:textId="77777777">
      <w:pPr>
        <w:pStyle w:val="ListParagraph"/>
        <w:spacing w:after="0" w:line="288" w:lineRule="auto"/>
        <w:ind w:left="567"/>
        <w:jc w:val="both"/>
      </w:pPr>
    </w:p>
    <w:p w:rsidRPr="00E94057" w:rsidR="000E1A54" w:rsidP="00F028AF" w:rsidRDefault="00A0691A" w14:paraId="77EE432B" w14:textId="1C1E4573">
      <w:pPr>
        <w:pStyle w:val="ListParagraph"/>
        <w:numPr>
          <w:ilvl w:val="0"/>
          <w:numId w:val="13"/>
        </w:numPr>
        <w:spacing w:after="0" w:line="288" w:lineRule="auto"/>
        <w:ind w:left="567" w:hanging="567"/>
        <w:jc w:val="both"/>
        <w:rPr>
          <w:b/>
          <w:bCs/>
        </w:rPr>
      </w:pPr>
      <w:r w:rsidRPr="00E94057">
        <w:t>theksojnë rëndësinë e njohjes së të mësuarit joformal dhe informal dhe praktikave inovative, siç është metodologjia me një ndalesë për punësimin e të rinjve, së bashku me shërbimet e orientimit në karrierë të cilat janë sistematike, profesionale dhe të përqendruara te nxënësi;</w:t>
      </w:r>
    </w:p>
    <w:p w:rsidRPr="00E94057" w:rsidR="000E1A54" w:rsidP="00F028AF" w:rsidRDefault="000E1A54" w14:paraId="1EA0BD97" w14:textId="77777777">
      <w:pPr>
        <w:pStyle w:val="ListParagraph"/>
      </w:pPr>
    </w:p>
    <w:p w:rsidRPr="00E94057" w:rsidR="003178C2" w:rsidP="00EF1C73" w:rsidRDefault="000C7832" w14:paraId="4A62C21C" w14:textId="7DB89268">
      <w:pPr>
        <w:pStyle w:val="ListParagraph"/>
        <w:numPr>
          <w:ilvl w:val="0"/>
          <w:numId w:val="13"/>
        </w:numPr>
        <w:spacing w:after="0" w:line="288" w:lineRule="auto"/>
        <w:ind w:left="567" w:hanging="567"/>
        <w:jc w:val="both"/>
      </w:pPr>
      <w:r w:rsidRPr="00E94057">
        <w:t xml:space="preserve">besojnë se duhet të rritet bashkëpunimi i ngushtë me partnerët socialë dhe shoqatat e biznesit për arsimin dhe formimin profesional. Angazhimi i vazhdueshëm i partnerëve socialë duhet të jetë pjesë e politikës dhe të fokusohet shumë më tepër te mësimi në vendin e punës; aftësimi dhe riaftësimi duhet të mbahen të përditësuar dhe të hartuar për të ofruar një përfitim konkret </w:t>
      </w:r>
      <w:r w:rsidRPr="00E94057">
        <w:lastRenderedPageBreak/>
        <w:t>dhe të arritshëm për individët, dhe duhet të orientohen si drejt profesioneve që janë në mungesë ashtu edhe drejt vendeve të punës së të ardhmes;</w:t>
      </w:r>
    </w:p>
    <w:p w:rsidRPr="00E94057" w:rsidR="00A00E9D" w:rsidP="003D472E" w:rsidRDefault="00A00E9D" w14:paraId="49BD7A3F" w14:textId="77777777">
      <w:pPr>
        <w:spacing w:after="0" w:line="288" w:lineRule="auto"/>
        <w:jc w:val="both"/>
      </w:pPr>
    </w:p>
    <w:p w:rsidRPr="00E94057" w:rsidR="00EF1C73" w:rsidP="00B44CFC" w:rsidRDefault="00614958" w14:paraId="0F1A793B" w14:textId="1BB4C94B">
      <w:pPr>
        <w:pStyle w:val="ListParagraph"/>
        <w:numPr>
          <w:ilvl w:val="0"/>
          <w:numId w:val="13"/>
        </w:numPr>
        <w:spacing w:after="0" w:line="288" w:lineRule="auto"/>
        <w:ind w:left="567" w:hanging="567"/>
        <w:jc w:val="both"/>
      </w:pPr>
      <w:r w:rsidRPr="00E94057">
        <w:t>bëjnë thirrje për investime në kapacitetin dhe profesionalizimin e praktikuesve, mësuesve dhe trajnuesve, në mënyrë që ata të zhvillojnë aftësitë dhe kapacitetin e duhur pedagogjik për të punuar me të rriturit, jo vetëm për të ofruar trajnime, por edhe për t’i arritur, udhëhequr dhe motivuar ata;</w:t>
      </w:r>
    </w:p>
    <w:p w:rsidRPr="00E94057" w:rsidR="00EF1C73" w:rsidP="00EF1C73" w:rsidRDefault="00EF1C73" w14:paraId="530CFA46" w14:textId="77777777">
      <w:pPr>
        <w:pStyle w:val="ListParagraph"/>
        <w:spacing w:after="0" w:line="288" w:lineRule="auto"/>
        <w:ind w:left="567"/>
        <w:jc w:val="both"/>
      </w:pPr>
    </w:p>
    <w:p w:rsidRPr="00E94057" w:rsidR="00C54035" w:rsidP="00B44CFC" w:rsidRDefault="00821576" w14:paraId="6A3F01D2" w14:textId="019B10ED">
      <w:pPr>
        <w:pStyle w:val="ListParagraph"/>
        <w:numPr>
          <w:ilvl w:val="0"/>
          <w:numId w:val="13"/>
        </w:numPr>
        <w:spacing w:after="0" w:line="288" w:lineRule="auto"/>
        <w:ind w:left="567" w:hanging="567"/>
        <w:jc w:val="both"/>
      </w:pPr>
      <w:r w:rsidRPr="00E94057">
        <w:t>theksojnë rëndësinë e zhvillimit të aftësive adekuate të gjelbra dhe dixhitale brenda strategjive aktive kombëtare dhe rajonale të arsimit/formimit profesional dhe aftësive, të cilat duhet t’i japin përparësi barazisë gjinore në veçanti dhe t’u kushtojnë vëmendje të veçantë vendeve cilësore të punës në zonat rurale dhe rajonet e pafavorizuara;</w:t>
      </w:r>
    </w:p>
    <w:p w:rsidRPr="00E94057" w:rsidR="00C54035" w:rsidP="00C12760" w:rsidRDefault="00C54035" w14:paraId="0E35D738" w14:textId="77777777">
      <w:pPr>
        <w:pStyle w:val="ListParagraph"/>
        <w:spacing w:after="0" w:line="288" w:lineRule="auto"/>
        <w:ind w:left="567"/>
      </w:pPr>
    </w:p>
    <w:p w:rsidRPr="00E94057" w:rsidR="00EF1C73" w:rsidP="003D472E" w:rsidRDefault="00EF1C73" w14:paraId="04614FDB" w14:textId="34E4FCEF">
      <w:pPr>
        <w:pStyle w:val="ListParagraph"/>
        <w:numPr>
          <w:ilvl w:val="0"/>
          <w:numId w:val="13"/>
        </w:numPr>
        <w:spacing w:after="0" w:line="288" w:lineRule="auto"/>
        <w:ind w:left="567" w:hanging="567"/>
        <w:jc w:val="both"/>
      </w:pPr>
      <w:r w:rsidRPr="00E94057">
        <w:t>mbështesin një vizion të ri të të mësuarit dhe zhvillimit të aftësive gjatë gjithë jetës, ku të gjithë njerëzit mbështeten dhe janë në gjendje të përditësojnë dhe përmirësojnë kompetencat e tyre në mënyrë sistematike, dhe ku kompanitë bëhen mjedise pune të favorshme për mësimin të cilat kërkojnë dhe ofrojnë sistematikisht formim profesional, veprojnë kolektivisht dhe ndajnë përgjegjësinë; theksojnë nevojën që qytetarët, veçanërisht punëtorët, të kenë akses të drejtpërdrejtë në fondet përkatëse;</w:t>
      </w:r>
    </w:p>
    <w:p w:rsidRPr="00E94057" w:rsidR="00EF1C73" w:rsidP="00EF1C73" w:rsidRDefault="00EF1C73" w14:paraId="73353847" w14:textId="77777777">
      <w:pPr>
        <w:pStyle w:val="ListParagraph"/>
        <w:spacing w:after="0" w:line="288" w:lineRule="auto"/>
        <w:ind w:left="567"/>
        <w:jc w:val="both"/>
      </w:pPr>
    </w:p>
    <w:p w:rsidRPr="00E94057" w:rsidR="00614958" w:rsidP="003D472E" w:rsidRDefault="00EF1C73" w14:paraId="4AA6B7F0" w14:textId="4EDD5552">
      <w:pPr>
        <w:pStyle w:val="ListParagraph"/>
        <w:numPr>
          <w:ilvl w:val="0"/>
          <w:numId w:val="13"/>
        </w:numPr>
        <w:spacing w:after="0" w:line="288" w:lineRule="auto"/>
        <w:ind w:left="567" w:hanging="567"/>
        <w:jc w:val="both"/>
      </w:pPr>
      <w:r w:rsidRPr="00E94057">
        <w:t>mbështesin zhvillimin e sistemeve mirë-funksionuese dhe gjithëpërfshirëse të arsimit dhe formimit të vazhdueshëm profesional (AFVP) të mbështetura nga qeverisja shumëpalëshe dhe në shumë nivele e AFVP-së, partneritetet e forta të palëve të interesuara dhe dialogu social;</w:t>
      </w:r>
    </w:p>
    <w:p w:rsidRPr="00E94057" w:rsidR="00614958" w:rsidP="00614958" w:rsidRDefault="00614958" w14:paraId="0391B636" w14:textId="77777777">
      <w:pPr>
        <w:pStyle w:val="ListParagraph"/>
        <w:spacing w:after="0" w:line="288" w:lineRule="auto"/>
        <w:ind w:left="567"/>
        <w:jc w:val="both"/>
      </w:pPr>
    </w:p>
    <w:p w:rsidRPr="00E94057" w:rsidR="005E49BC" w:rsidP="003D472E" w:rsidRDefault="00614958" w14:paraId="428E3179" w14:textId="7B667E57">
      <w:pPr>
        <w:pStyle w:val="ListParagraph"/>
        <w:numPr>
          <w:ilvl w:val="0"/>
          <w:numId w:val="13"/>
        </w:numPr>
        <w:spacing w:after="0" w:line="288" w:lineRule="auto"/>
        <w:ind w:left="567" w:hanging="567"/>
        <w:jc w:val="both"/>
      </w:pPr>
      <w:r w:rsidRPr="00E94057">
        <w:t>mbështesin plotësisht parimin “të mos lëmë askënd prapa”, bëjnë thirrje për përpjekje për të nxitur pjesëmarrjen e personave më vulnerabël dhe/ose në rrezik dhe/ose të paangazhuar, dhe mbështesin qasje të synuara për grupet specifike të synuara më në nevojë (duke përfshirë gratë, të moshuarit, personat me aftësi të kufizuara, pakicat etnike etj.).</w:t>
      </w:r>
    </w:p>
    <w:p w:rsidRPr="00E94057" w:rsidR="005E49BC" w:rsidP="003D472E" w:rsidRDefault="005E49BC" w14:paraId="640CB649" w14:textId="77777777">
      <w:pPr>
        <w:pStyle w:val="ListParagraph"/>
        <w:spacing w:after="0" w:line="288" w:lineRule="auto"/>
        <w:ind w:left="567"/>
        <w:jc w:val="both"/>
        <w:rPr>
          <w:i/>
        </w:rPr>
      </w:pPr>
    </w:p>
    <w:p w:rsidRPr="00E94057" w:rsidR="00741302" w:rsidP="00C12760" w:rsidRDefault="00541F6A" w14:paraId="56BA0BB9" w14:textId="34CCAC92">
      <w:pPr>
        <w:pStyle w:val="ListParagraph"/>
        <w:keepNext/>
        <w:keepLines/>
        <w:spacing w:after="0" w:line="288" w:lineRule="auto"/>
        <w:ind w:left="0"/>
        <w:jc w:val="both"/>
        <w:rPr>
          <w:i/>
          <w:u w:val="single"/>
        </w:rPr>
      </w:pPr>
      <w:r w:rsidRPr="00E94057">
        <w:rPr>
          <w:i/>
          <w:u w:val="single"/>
        </w:rPr>
        <w:t>Mbi kontributin e shoqërisë civile në zbatimin e Axhendës së Gjelbër dhe zhvillimin me qëndrueshmëri mjedisore të Ballkanit Perëndimor</w:t>
      </w:r>
    </w:p>
    <w:p w:rsidRPr="00E94057" w:rsidR="003C0BFF" w:rsidRDefault="003C0BFF" w14:paraId="3A60A60D" w14:textId="77777777">
      <w:pPr>
        <w:pStyle w:val="ListParagraph"/>
        <w:keepNext/>
        <w:keepLines/>
        <w:spacing w:after="0" w:line="288" w:lineRule="auto"/>
        <w:ind w:left="567"/>
        <w:jc w:val="both"/>
      </w:pPr>
    </w:p>
    <w:p w:rsidRPr="00E94057" w:rsidR="00E20501" w:rsidP="008803EF" w:rsidRDefault="003D472E" w14:paraId="4CA51BF9" w14:textId="1AC50080">
      <w:pPr>
        <w:keepNext/>
        <w:spacing w:after="0" w:line="288" w:lineRule="auto"/>
      </w:pPr>
      <w:r w:rsidRPr="00E94057">
        <w:t>Pjesëmarrësit:</w:t>
      </w:r>
    </w:p>
    <w:p w:rsidRPr="00E94057" w:rsidR="00E20501" w:rsidP="003D472E" w:rsidRDefault="00E20501" w14:paraId="752EFE03" w14:textId="77777777">
      <w:pPr>
        <w:pStyle w:val="ListParagraph"/>
        <w:spacing w:after="0" w:line="288" w:lineRule="auto"/>
        <w:ind w:left="567"/>
        <w:jc w:val="both"/>
        <w:rPr>
          <w:lang w:val="en-GB"/>
        </w:rPr>
      </w:pPr>
    </w:p>
    <w:p w:rsidRPr="00E94057" w:rsidR="00ED7160" w:rsidP="002519D2" w:rsidRDefault="008C78E0" w14:paraId="0BF70085" w14:textId="568E3389">
      <w:pPr>
        <w:pStyle w:val="ListParagraph"/>
        <w:numPr>
          <w:ilvl w:val="0"/>
          <w:numId w:val="13"/>
        </w:numPr>
        <w:spacing w:after="0" w:line="288" w:lineRule="auto"/>
        <w:ind w:left="567" w:hanging="567"/>
        <w:jc w:val="both"/>
      </w:pPr>
      <w:r w:rsidRPr="00E94057">
        <w:t>theksojnë se qëllimi i Axhendës së Gjelbër për Ballkanin Perëndimor është të stimulojë ekonomitë në Ballkanin Perëndimor për të arritur përputhjen me acquis-in e BE-së dhe kalimin drejt një shoqërie neutrale ndaj karbonit; theksojnë se progresi në arritjen e angazhimeve në Axhendë ka qenë i ngadaltë dhe se zbatimi shumë i kufizuar ndodh gjithashtu për shkak të mungesës së afateve të qarta dhe të qartësisë në rrugët specifike në planin e veprimit për zbatimin e tij;</w:t>
      </w:r>
    </w:p>
    <w:p w:rsidRPr="00E94057" w:rsidR="00ED7160" w:rsidP="00ED7160" w:rsidRDefault="00ED7160" w14:paraId="0D875E2C" w14:textId="77777777">
      <w:pPr>
        <w:pStyle w:val="ListParagraph"/>
        <w:spacing w:after="0" w:line="288" w:lineRule="auto"/>
        <w:ind w:left="567"/>
        <w:jc w:val="both"/>
        <w:rPr>
          <w:lang w:val="en-GB"/>
        </w:rPr>
      </w:pPr>
    </w:p>
    <w:p w:rsidRPr="00E94057" w:rsidR="00CE0216" w:rsidP="003D472E" w:rsidRDefault="00CE0216" w14:paraId="6BB383C7" w14:textId="07B0B16C">
      <w:pPr>
        <w:pStyle w:val="ListParagraph"/>
        <w:numPr>
          <w:ilvl w:val="0"/>
          <w:numId w:val="13"/>
        </w:numPr>
        <w:spacing w:after="0" w:line="288" w:lineRule="auto"/>
        <w:ind w:left="567" w:hanging="567"/>
        <w:jc w:val="both"/>
      </w:pPr>
      <w:r w:rsidRPr="00E94057">
        <w:t xml:space="preserve">theksojnë se Ballkani Perëndimor është shumë i ndjeshëm ndaj ndikimeve të ndryshimeve klimatike, duke rezultuar në dëmtim të shëndetit të përgjithshëm dhe ekonomisë. Nevojitet veprim urgjent për të mbrojtur më mirë shëndetin dhe cilësinë e jetës së qytetarëve të tyre, </w:t>
      </w:r>
      <w:r w:rsidRPr="00E94057">
        <w:lastRenderedPageBreak/>
        <w:t>duke hequr gradualisht qymyrin dhe duke bërë një kalim të drejtë drejt një modeli më të gjelbër, duke pasur parasysh parimin “askush nuk duhet të lihet pas”; theksojnë se qëndrueshmëria mjedisore e rajonit në lidhje me ndryshimet klimatike duhet të rritet duke reduktuar praktikat e dëmshme, duke parandaluar ndotjen dhe degradimin e lumenjve, liqeneve dhe deteve dhe duke zbatuar politika të rrepta për mbrojtjen e biodiversitetit; u bëjnë thirrje qeverive të Ballkanit Perëndimor që të respektojnë standardet mjedisore të BE-së dhe transparencën e aktorëve jashtë BE-së që financojnë sektorë të tillë si metalurgjia, energjia, industria e gomës dhe minierat;</w:t>
      </w:r>
    </w:p>
    <w:p w:rsidRPr="00E94057" w:rsidR="00CE0216" w:rsidP="00CE0216" w:rsidRDefault="00CE0216" w14:paraId="260DA6B8" w14:textId="77777777">
      <w:pPr>
        <w:pStyle w:val="ListParagraph"/>
        <w:spacing w:after="0" w:line="288" w:lineRule="auto"/>
        <w:ind w:left="567"/>
        <w:jc w:val="both"/>
      </w:pPr>
    </w:p>
    <w:p w:rsidRPr="00E94057" w:rsidR="00CE0216" w:rsidP="003D472E" w:rsidRDefault="00CE0216" w14:paraId="69571191" w14:textId="38495B6D">
      <w:pPr>
        <w:pStyle w:val="ListParagraph"/>
        <w:numPr>
          <w:ilvl w:val="0"/>
          <w:numId w:val="13"/>
        </w:numPr>
        <w:spacing w:after="0" w:line="288" w:lineRule="auto"/>
        <w:ind w:left="567" w:hanging="567"/>
        <w:jc w:val="both"/>
      </w:pPr>
      <w:r w:rsidRPr="00E94057">
        <w:t>theksojnë se ruajtja e biodiversitetit dhe ekosistemeve është thelbësore për arritjen e neutralitetit klimatik në vendet e Ballkanit Perëndimor dhe bëjnë thirrje për zbatimin e masave për të përmbushur objektivat e përcaktuara për krijimin e një rrjeti koherent të zonave të mbrojtura dhe të mirë-menaxhuara, në përputhje me Strategjinë e BE-së për Biodiversitetin për vitin 2030 dhe Natura 2000;</w:t>
      </w:r>
    </w:p>
    <w:p w:rsidRPr="00E94057" w:rsidR="00CE0216" w:rsidP="00CE0216" w:rsidRDefault="00CE0216" w14:paraId="4601A612" w14:textId="77777777">
      <w:pPr>
        <w:pStyle w:val="ListParagraph"/>
        <w:spacing w:after="0" w:line="288" w:lineRule="auto"/>
        <w:ind w:left="567"/>
        <w:jc w:val="both"/>
      </w:pPr>
    </w:p>
    <w:p w:rsidRPr="00E94057" w:rsidR="00CF6C0D" w:rsidP="003D472E" w:rsidRDefault="00CF6C0D" w14:paraId="46CC3BA6" w14:textId="72719EA8">
      <w:pPr>
        <w:pStyle w:val="ListParagraph"/>
        <w:numPr>
          <w:ilvl w:val="0"/>
          <w:numId w:val="13"/>
        </w:numPr>
        <w:spacing w:after="0" w:line="288" w:lineRule="auto"/>
        <w:ind w:left="567" w:hanging="567"/>
        <w:jc w:val="both"/>
      </w:pPr>
      <w:r w:rsidRPr="00E94057">
        <w:t>i bëjnë thirrje BE-së dhe Ballkanit Perëndimor që të përdorin krizat energjetike të shkaktuara nga lufta e agresionit të Rusisë ndaj Ukrainës si një katalizator për një tranzicion të gjelbër dhe që partnerët e Ballkanit Perëndimor të inkorporohen në mekanizmat e BE-së të projektuara për të zbutur këto lloj krizash; vënë në pah mospërputhjen ndërmjet miratimit zyrtar nga vendet e Ballkanit Perëndimor të rregullave që rrjedhin nga Traktati i Komunitetit të Energjisë dhe Traktati i Komunitetit të Transportit dhe mungesës së zbatimit të këtyre rregullave; bëjnë thirrje për zbatimin e shpejtë të Udhëzimeve të Politikës së Komunitetit të Energjisë për identifikimin dhe adresimin e varfërisë energjetike dhe Strategjisë së Komunitetit të Transportit për Lëvizshmëri të Qëndrueshme dhe Inteligjente në Ballkanin Perëndimor për ta bërë transportin më të gjelbër, të qëndrueshëm nga ana mjedisore dhe më të shëndetshëm për qytetarët e Ballkanit Perëndimor;</w:t>
      </w:r>
    </w:p>
    <w:p w:rsidRPr="00E94057" w:rsidR="00CF6C0D" w:rsidP="00CF6C0D" w:rsidRDefault="00CF6C0D" w14:paraId="738E8AA5" w14:textId="77777777">
      <w:pPr>
        <w:pStyle w:val="ListParagraph"/>
        <w:spacing w:after="0" w:line="288" w:lineRule="auto"/>
        <w:ind w:left="567"/>
        <w:jc w:val="both"/>
      </w:pPr>
    </w:p>
    <w:p w:rsidRPr="00E94057" w:rsidR="00CE0216" w:rsidP="003D472E" w:rsidRDefault="002519D2" w14:paraId="6006E74B" w14:textId="2609D6DA">
      <w:pPr>
        <w:pStyle w:val="ListParagraph"/>
        <w:numPr>
          <w:ilvl w:val="0"/>
          <w:numId w:val="13"/>
        </w:numPr>
        <w:spacing w:after="0" w:line="288" w:lineRule="auto"/>
        <w:ind w:left="567" w:hanging="567"/>
        <w:jc w:val="both"/>
      </w:pPr>
      <w:r w:rsidRPr="00E94057">
        <w:t>theksojnë se BE-ja duhet të rrisë mbështetjen e saj për rajonin duke krijuar një mekanizëm më të fuqishëm financimi të bazuar në qeverisjen në shumë nivele dhe duke ofruar një kornizë solide investimi; në të njëjtën kohë vendet e Ballkanit Perëndimor duhet të investojnë shumë në ndërtimin e kapaciteteve administrative në të gjitha nivelet në mënyrë që të absorbojnë këto fonde dhe të zbatojnë të gjitha projektet përkatëse me sukses, në mënyrë transparente dhe të përgjegjshme;</w:t>
      </w:r>
    </w:p>
    <w:p w:rsidRPr="00E94057" w:rsidR="00CE0216" w:rsidP="00CE0216" w:rsidRDefault="00CE0216" w14:paraId="6197A4F7" w14:textId="77777777">
      <w:pPr>
        <w:pStyle w:val="ListParagraph"/>
        <w:spacing w:after="0" w:line="288" w:lineRule="auto"/>
        <w:ind w:left="567"/>
        <w:jc w:val="both"/>
      </w:pPr>
    </w:p>
    <w:p w:rsidRPr="00E94057" w:rsidR="00ED7160" w:rsidP="003D472E" w:rsidRDefault="00CE0216" w14:paraId="5184F239" w14:textId="1E7F8E1C">
      <w:pPr>
        <w:pStyle w:val="ListParagraph"/>
        <w:numPr>
          <w:ilvl w:val="0"/>
          <w:numId w:val="13"/>
        </w:numPr>
        <w:spacing w:after="0" w:line="288" w:lineRule="auto"/>
        <w:ind w:left="567" w:hanging="567"/>
        <w:jc w:val="both"/>
      </w:pPr>
      <w:r w:rsidRPr="00E94057">
        <w:t>janë të shqetësuar se disa projekte kryesore të financuara përmes Planit Ekonomik dhe të Investimeve për Ballkanin Perëndimor janë projekte të karburanteve fosile që mund të pengojnë ambicien e neutralitetit klimatik;</w:t>
      </w:r>
    </w:p>
    <w:p w:rsidRPr="00E94057" w:rsidR="00ED7160" w:rsidP="00ED7160" w:rsidRDefault="00ED7160" w14:paraId="58013D8B" w14:textId="77777777">
      <w:pPr>
        <w:pStyle w:val="ListParagraph"/>
        <w:spacing w:after="0" w:line="288" w:lineRule="auto"/>
        <w:ind w:left="567"/>
        <w:jc w:val="both"/>
      </w:pPr>
    </w:p>
    <w:p w:rsidRPr="00E94057" w:rsidR="0010786D" w:rsidP="00CE0216" w:rsidRDefault="00CC24DD" w14:paraId="08FAE5C8" w14:textId="62843DCA">
      <w:pPr>
        <w:pStyle w:val="ListParagraph"/>
        <w:numPr>
          <w:ilvl w:val="0"/>
          <w:numId w:val="13"/>
        </w:numPr>
        <w:spacing w:after="0" w:line="288" w:lineRule="auto"/>
        <w:ind w:left="567" w:hanging="567"/>
        <w:jc w:val="both"/>
      </w:pPr>
      <w:r w:rsidRPr="00E94057">
        <w:t>besojnë fuqishëm se, duke pasur parasysh investimet e rëndësishme dhe përshtatjet rregullatore të kërkuara, partnerët socialë dhe shoqëria civile e organizuar kanë një rol veçanërisht të rëndësishëm për të luajtur në tranzicionin drejt një shoqërie më të gjelbër dhe më të qëndrueshme nga ana mjedisore;</w:t>
      </w:r>
    </w:p>
    <w:p w:rsidRPr="00E94057" w:rsidR="0010786D" w:rsidP="00C12760" w:rsidRDefault="0010786D" w14:paraId="1C4DDA83" w14:textId="77777777">
      <w:pPr>
        <w:pStyle w:val="ListParagraph"/>
        <w:spacing w:after="0" w:line="288" w:lineRule="auto"/>
        <w:ind w:left="567"/>
      </w:pPr>
    </w:p>
    <w:p w:rsidRPr="00E94057" w:rsidR="00FB42F8" w:rsidP="003D472E" w:rsidRDefault="00CF3475" w14:paraId="71C4978C" w14:textId="3A9E66F8">
      <w:pPr>
        <w:pStyle w:val="ListParagraph"/>
        <w:numPr>
          <w:ilvl w:val="0"/>
          <w:numId w:val="13"/>
        </w:numPr>
        <w:spacing w:after="0" w:line="288" w:lineRule="auto"/>
        <w:ind w:left="567" w:hanging="567"/>
        <w:jc w:val="both"/>
      </w:pPr>
      <w:r w:rsidRPr="00E94057">
        <w:lastRenderedPageBreak/>
        <w:t>theksojnë nevojën për të rritur ndërgjegjësimin për rëndësinë e energjisë së pastër dhe mbrojtjes së mjedisit si mes publikut të gjerë ashtu edhe në nivel politikash duke prezantuar fushata publike dhe konsiderojnë se debati publik për tranzicionin e energjisë duhet të jetë proaktiv dhe konsistent; besojnë fuqimisht se BE-ja duhet të fokusohet dhe të rrisë mbështetjen e saj për partnerët socialë dhe shoqërinë civile të organizuar në mënyrë që të arrijë publikun më të gjerë dhe të kapërcejë hendekun midis institucioneve kombëtare dhe publikut të gjerë, pasi ato janë nxitësit e vërtetë të ndryshimit me qëllim përmbushjen e qëllimeve të Axhendës së Gjelbër;</w:t>
      </w:r>
    </w:p>
    <w:p w:rsidRPr="00E94057" w:rsidR="00FB42F8" w:rsidP="00C12760" w:rsidRDefault="00FB42F8" w14:paraId="1DF6CC66" w14:textId="77777777">
      <w:pPr>
        <w:pStyle w:val="ListParagraph"/>
        <w:spacing w:after="0" w:line="288" w:lineRule="auto"/>
        <w:ind w:left="567"/>
      </w:pPr>
    </w:p>
    <w:p w:rsidRPr="00E94057" w:rsidR="000C7832" w:rsidP="00CE0216" w:rsidRDefault="00FB42F8" w14:paraId="34955C96" w14:textId="7D1871A5">
      <w:pPr>
        <w:pStyle w:val="ListParagraph"/>
        <w:numPr>
          <w:ilvl w:val="0"/>
          <w:numId w:val="13"/>
        </w:numPr>
        <w:spacing w:after="0" w:line="288" w:lineRule="auto"/>
        <w:ind w:left="567" w:hanging="567"/>
        <w:jc w:val="both"/>
      </w:pPr>
      <w:r w:rsidRPr="00E94057">
        <w:t>bëjnë thirrje për përpjekje për të gjetur një ekuilibër të qëndrueshëm midis interesave ekonomike dhe atyre mjedisore në vend që të pyesim se cila nga të dyja duhet të ketë përparësi, dhe për një vlerësim më të mirë të ndikimit social dhe ekonomik të dekarbonizimit me synimin për një tranzicion të drejtë. BE-ja dhe vendet e Ballkanit Perëndimor duhet të sigurojnë që sektorit privat në rajon t’i ofrohet mbështetje e mjaftueshme financiare dhe administrative, duke i inkurajuar ata të bëjnë përpjekje të vazhdueshme drejt një ekonomie blu dhe të gjelbër/cirkulare.</w:t>
      </w:r>
    </w:p>
    <w:p w:rsidRPr="00E94057" w:rsidR="00065312" w:rsidP="003D472E" w:rsidRDefault="00065312" w14:paraId="502D2177" w14:textId="77777777">
      <w:pPr>
        <w:spacing w:after="0" w:line="288" w:lineRule="auto"/>
        <w:jc w:val="both"/>
      </w:pPr>
    </w:p>
    <w:p w:rsidRPr="00E94057" w:rsidR="00F41763" w:rsidP="003D472E" w:rsidRDefault="00FF4305" w14:paraId="6E69BCA0" w14:textId="19690695">
      <w:pPr>
        <w:spacing w:after="0" w:line="288" w:lineRule="auto"/>
        <w:jc w:val="both"/>
      </w:pPr>
      <w:r w:rsidRPr="00E94057">
        <w:t>Selanik, 20 tetor 2023.</w:t>
      </w:r>
    </w:p>
    <w:p w:rsidRPr="00E94057" w:rsidR="00F41763" w:rsidP="003D472E" w:rsidRDefault="003D472E" w14:paraId="697643A1" w14:textId="77777777">
      <w:pPr>
        <w:overflowPunct w:val="0"/>
        <w:autoSpaceDE w:val="0"/>
        <w:autoSpaceDN w:val="0"/>
        <w:adjustRightInd w:val="0"/>
        <w:spacing w:after="0" w:line="288" w:lineRule="auto"/>
        <w:jc w:val="center"/>
        <w:textAlignment w:val="baseline"/>
      </w:pPr>
      <w:r w:rsidRPr="00E94057">
        <w:rPr>
          <w:lang w:val="en-GB"/>
        </w:rPr>
        <w:t>_____________</w:t>
      </w:r>
    </w:p>
    <w:sectPr w:rsidRPr="00E94057" w:rsidR="00F41763" w:rsidSect="00FF4305">
      <w:footerReference w:type="default" r:id="rId13"/>
      <w:pgSz w:w="11907" w:h="16840" w:code="9"/>
      <w:pgMar w:top="130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5291E" w14:textId="77777777" w:rsidR="004E14E9" w:rsidRPr="00E94057" w:rsidRDefault="004E14E9" w:rsidP="00AC3263">
      <w:pPr>
        <w:spacing w:after="0" w:line="240" w:lineRule="auto"/>
      </w:pPr>
      <w:r w:rsidRPr="00E94057">
        <w:separator/>
      </w:r>
    </w:p>
  </w:endnote>
  <w:endnote w:type="continuationSeparator" w:id="0">
    <w:p w14:paraId="1498AEC2" w14:textId="77777777" w:rsidR="004E14E9" w:rsidRPr="00E94057" w:rsidRDefault="004E14E9" w:rsidP="00AC3263">
      <w:pPr>
        <w:spacing w:after="0" w:line="240" w:lineRule="auto"/>
      </w:pPr>
      <w:r w:rsidRPr="00E940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906F" w14:textId="45CAB14E" w:rsidR="00EE2D4E" w:rsidRPr="00E94057" w:rsidRDefault="00B744F4" w:rsidP="00EE2D4E">
    <w:pPr>
      <w:pStyle w:val="Footer"/>
    </w:pPr>
    <w:r w:rsidRPr="00E94057">
      <w:t>REX/184 – EESC-2023-04762-00-00-DECL-TRA (</w:t>
    </w:r>
    <w:r w:rsidR="00E94057">
      <w:t>SQ</w:t>
    </w:r>
    <w:r w:rsidRPr="00E94057">
      <w:t xml:space="preserve">) </w:t>
    </w:r>
    <w:r w:rsidRPr="00E94057">
      <w:fldChar w:fldCharType="begin"/>
    </w:r>
    <w:r w:rsidRPr="00E94057">
      <w:instrText xml:space="preserve"> PAGE  \* Arabic  \* MERGEFORMAT </w:instrText>
    </w:r>
    <w:r w:rsidRPr="00E94057">
      <w:fldChar w:fldCharType="separate"/>
    </w:r>
    <w:r w:rsidRPr="00E94057">
      <w:t>1</w:t>
    </w:r>
    <w:r w:rsidRPr="00E94057">
      <w:fldChar w:fldCharType="end"/>
    </w:r>
    <w:r w:rsidRPr="00E94057">
      <w:t>/</w:t>
    </w:r>
    <w:r w:rsidR="00273102">
      <w:fldChar w:fldCharType="begin"/>
    </w:r>
    <w:r w:rsidR="00273102">
      <w:instrText xml:space="preserve"> NUMPAGES </w:instrText>
    </w:r>
    <w:r w:rsidR="00273102">
      <w:fldChar w:fldCharType="separate"/>
    </w:r>
    <w:r w:rsidRPr="00E94057">
      <w:t>6</w:t>
    </w:r>
    <w:r w:rsidR="002731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AE834" w14:textId="77777777" w:rsidR="004E14E9" w:rsidRPr="00E94057" w:rsidRDefault="004E14E9" w:rsidP="00AC3263">
      <w:pPr>
        <w:spacing w:after="0" w:line="240" w:lineRule="auto"/>
      </w:pPr>
      <w:r w:rsidRPr="00E94057">
        <w:separator/>
      </w:r>
    </w:p>
  </w:footnote>
  <w:footnote w:type="continuationSeparator" w:id="0">
    <w:p w14:paraId="5A2E93CF" w14:textId="77777777" w:rsidR="004E14E9" w:rsidRPr="00E94057" w:rsidRDefault="004E14E9" w:rsidP="00AC3263">
      <w:pPr>
        <w:spacing w:after="0" w:line="240" w:lineRule="auto"/>
      </w:pPr>
      <w:r w:rsidRPr="00E94057">
        <w:continuationSeparator/>
      </w:r>
    </w:p>
  </w:footnote>
  <w:footnote w:id="1">
    <w:p w14:paraId="0A5C67AB" w14:textId="7DCEEBF3" w:rsidR="00E03AF7" w:rsidRPr="00E94057" w:rsidRDefault="00E03AF7" w:rsidP="00612C77">
      <w:pPr>
        <w:pStyle w:val="Style1"/>
      </w:pPr>
      <w:r w:rsidRPr="00E94057">
        <w:rPr>
          <w:rFonts w:ascii="Arial" w:hAnsi="Arial"/>
        </w:rPr>
        <w:t>⃰</w:t>
      </w:r>
      <w:r w:rsidRPr="00E94057">
        <w:tab/>
        <w:t>Ky emërtim nuk cenon qëndrimet për statusin dhe është në pajtim me Rezolutën Nr. 1244/1999 të Këshillit të Sigurimit të OKB-së dhe me Opinionin e Gjykatës Ndërkombëtare të Drejtësisë për shpalljen e pavarësisë së Kosovës.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195F"/>
    <w:multiLevelType w:val="hybridMultilevel"/>
    <w:tmpl w:val="13E46B8E"/>
    <w:lvl w:ilvl="0" w:tplc="080C000F">
      <w:start w:val="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32AA5F39"/>
    <w:multiLevelType w:val="multilevel"/>
    <w:tmpl w:val="08BE9E92"/>
    <w:lvl w:ilvl="0">
      <w:start w:val="1"/>
      <w:numFmt w:val="decimal"/>
      <w:lvlText w:val="%1."/>
      <w:lvlJc w:val="left"/>
      <w:pPr>
        <w:ind w:left="720" w:hanging="360"/>
      </w:pPr>
    </w:lvl>
    <w:lvl w:ilvl="1">
      <w:start w:val="1"/>
      <w:numFmt w:val="decimal"/>
      <w:isLgl/>
      <w:lvlText w:val="%1.%2."/>
      <w:lvlJc w:val="left"/>
      <w:pPr>
        <w:ind w:left="110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BC4F70"/>
    <w:multiLevelType w:val="hybridMultilevel"/>
    <w:tmpl w:val="45BED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D8028CC"/>
    <w:multiLevelType w:val="hybridMultilevel"/>
    <w:tmpl w:val="B1F0F564"/>
    <w:lvl w:ilvl="0" w:tplc="080C000F">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3E562496"/>
    <w:multiLevelType w:val="hybridMultilevel"/>
    <w:tmpl w:val="E9CE1594"/>
    <w:lvl w:ilvl="0" w:tplc="0616D716">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5" w15:restartNumberingAfterBreak="0">
    <w:nsid w:val="492D7B72"/>
    <w:multiLevelType w:val="multilevel"/>
    <w:tmpl w:val="640A4066"/>
    <w:lvl w:ilvl="0">
      <w:start w:val="1"/>
      <w:numFmt w:val="decimal"/>
      <w:lvlText w:val="%1."/>
      <w:lvlJc w:val="left"/>
      <w:pPr>
        <w:tabs>
          <w:tab w:val="num" w:pos="2061"/>
        </w:tabs>
        <w:ind w:left="2061" w:hanging="360"/>
      </w:pPr>
      <w:rPr>
        <w:rFonts w:hint="default"/>
        <w:b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06D2460"/>
    <w:multiLevelType w:val="hybridMultilevel"/>
    <w:tmpl w:val="CEECB754"/>
    <w:lvl w:ilvl="0" w:tplc="27BEFA9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D961072"/>
    <w:multiLevelType w:val="multilevel"/>
    <w:tmpl w:val="DEAAD07E"/>
    <w:lvl w:ilvl="0">
      <w:start w:val="1"/>
      <w:numFmt w:val="decimal"/>
      <w:lvlText w:val="%1."/>
      <w:lvlJc w:val="left"/>
      <w:pPr>
        <w:ind w:left="720" w:hanging="360"/>
      </w:pPr>
      <w:rPr>
        <w:rFonts w:hint="default"/>
        <w:b/>
        <w:i w:val="0"/>
      </w:rPr>
    </w:lvl>
    <w:lvl w:ilvl="1">
      <w:start w:val="1"/>
      <w:numFmt w:val="decimal"/>
      <w:isLgl/>
      <w:lvlText w:val="%1.%2."/>
      <w:lvlJc w:val="left"/>
      <w:pPr>
        <w:ind w:left="740" w:hanging="38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4C626A"/>
    <w:multiLevelType w:val="hybridMultilevel"/>
    <w:tmpl w:val="027CAC38"/>
    <w:lvl w:ilvl="0" w:tplc="7BC6BE32">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718F52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506F75"/>
    <w:multiLevelType w:val="multilevel"/>
    <w:tmpl w:val="479A5AF2"/>
    <w:lvl w:ilvl="0">
      <w:start w:val="1"/>
      <w:numFmt w:val="decimal"/>
      <w:lvlText w:val="%1."/>
      <w:lvlJc w:val="left"/>
      <w:pPr>
        <w:tabs>
          <w:tab w:val="num" w:pos="2061"/>
        </w:tabs>
        <w:ind w:left="2061"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85E0F3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7B0237"/>
    <w:multiLevelType w:val="hybridMultilevel"/>
    <w:tmpl w:val="351CF4FE"/>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1"/>
  </w:num>
  <w:num w:numId="2">
    <w:abstractNumId w:val="6"/>
  </w:num>
  <w:num w:numId="3">
    <w:abstractNumId w:val="2"/>
  </w:num>
  <w:num w:numId="4">
    <w:abstractNumId w:val="11"/>
  </w:num>
  <w:num w:numId="5">
    <w:abstractNumId w:val="9"/>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3"/>
  </w:num>
  <w:num w:numId="12">
    <w:abstractNumId w:val="7"/>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16"/>
    <w:rsid w:val="0000000E"/>
    <w:rsid w:val="00006380"/>
    <w:rsid w:val="00006912"/>
    <w:rsid w:val="000171E1"/>
    <w:rsid w:val="0002152F"/>
    <w:rsid w:val="0003314C"/>
    <w:rsid w:val="00040F8E"/>
    <w:rsid w:val="0004174A"/>
    <w:rsid w:val="000452F2"/>
    <w:rsid w:val="00046256"/>
    <w:rsid w:val="0005708C"/>
    <w:rsid w:val="000610D9"/>
    <w:rsid w:val="000638FA"/>
    <w:rsid w:val="000647F5"/>
    <w:rsid w:val="00065312"/>
    <w:rsid w:val="0006639C"/>
    <w:rsid w:val="00077258"/>
    <w:rsid w:val="000808F4"/>
    <w:rsid w:val="000916E6"/>
    <w:rsid w:val="00093BCE"/>
    <w:rsid w:val="00095A04"/>
    <w:rsid w:val="000A6E83"/>
    <w:rsid w:val="000B1D8E"/>
    <w:rsid w:val="000B7392"/>
    <w:rsid w:val="000C4E4D"/>
    <w:rsid w:val="000C7832"/>
    <w:rsid w:val="000C7CDC"/>
    <w:rsid w:val="000E1A54"/>
    <w:rsid w:val="000E6063"/>
    <w:rsid w:val="00102226"/>
    <w:rsid w:val="0010786D"/>
    <w:rsid w:val="0011557A"/>
    <w:rsid w:val="0012294D"/>
    <w:rsid w:val="001316E8"/>
    <w:rsid w:val="001336E3"/>
    <w:rsid w:val="00142EE4"/>
    <w:rsid w:val="001435A4"/>
    <w:rsid w:val="00151025"/>
    <w:rsid w:val="00157DD2"/>
    <w:rsid w:val="001615C4"/>
    <w:rsid w:val="001641CE"/>
    <w:rsid w:val="00172305"/>
    <w:rsid w:val="00190FED"/>
    <w:rsid w:val="0019228F"/>
    <w:rsid w:val="001928E7"/>
    <w:rsid w:val="001A0CA8"/>
    <w:rsid w:val="001A6389"/>
    <w:rsid w:val="001B1C10"/>
    <w:rsid w:val="001B2CCF"/>
    <w:rsid w:val="001B64EE"/>
    <w:rsid w:val="001C2818"/>
    <w:rsid w:val="001D6489"/>
    <w:rsid w:val="001F2077"/>
    <w:rsid w:val="00206061"/>
    <w:rsid w:val="00222237"/>
    <w:rsid w:val="00223094"/>
    <w:rsid w:val="00244E81"/>
    <w:rsid w:val="0025101B"/>
    <w:rsid w:val="002519D2"/>
    <w:rsid w:val="0025753A"/>
    <w:rsid w:val="002631E2"/>
    <w:rsid w:val="00266690"/>
    <w:rsid w:val="00273102"/>
    <w:rsid w:val="00273815"/>
    <w:rsid w:val="00273DAA"/>
    <w:rsid w:val="00274E14"/>
    <w:rsid w:val="00276DDB"/>
    <w:rsid w:val="00277163"/>
    <w:rsid w:val="00287BF3"/>
    <w:rsid w:val="002928BA"/>
    <w:rsid w:val="002A64A9"/>
    <w:rsid w:val="002B3EE3"/>
    <w:rsid w:val="002C0287"/>
    <w:rsid w:val="002C33C8"/>
    <w:rsid w:val="002C6A69"/>
    <w:rsid w:val="002D2221"/>
    <w:rsid w:val="002D7FEA"/>
    <w:rsid w:val="002E09CC"/>
    <w:rsid w:val="002E776C"/>
    <w:rsid w:val="002F17E5"/>
    <w:rsid w:val="002F3EC1"/>
    <w:rsid w:val="002F5115"/>
    <w:rsid w:val="002F56B1"/>
    <w:rsid w:val="00306985"/>
    <w:rsid w:val="003160EB"/>
    <w:rsid w:val="003178C2"/>
    <w:rsid w:val="00317FCC"/>
    <w:rsid w:val="00321713"/>
    <w:rsid w:val="0032405E"/>
    <w:rsid w:val="00330F48"/>
    <w:rsid w:val="00333B33"/>
    <w:rsid w:val="00340D76"/>
    <w:rsid w:val="00344FB1"/>
    <w:rsid w:val="0034508C"/>
    <w:rsid w:val="00345C11"/>
    <w:rsid w:val="00346278"/>
    <w:rsid w:val="0035395B"/>
    <w:rsid w:val="0035619F"/>
    <w:rsid w:val="00365222"/>
    <w:rsid w:val="00365E88"/>
    <w:rsid w:val="003737C8"/>
    <w:rsid w:val="003A2507"/>
    <w:rsid w:val="003A35CA"/>
    <w:rsid w:val="003A3659"/>
    <w:rsid w:val="003A5DEE"/>
    <w:rsid w:val="003C0BFF"/>
    <w:rsid w:val="003C1C26"/>
    <w:rsid w:val="003D2553"/>
    <w:rsid w:val="003D472E"/>
    <w:rsid w:val="003D4F99"/>
    <w:rsid w:val="003E412E"/>
    <w:rsid w:val="003E69EC"/>
    <w:rsid w:val="00403983"/>
    <w:rsid w:val="004249B0"/>
    <w:rsid w:val="00427D2A"/>
    <w:rsid w:val="00430E7D"/>
    <w:rsid w:val="004434B1"/>
    <w:rsid w:val="0045176C"/>
    <w:rsid w:val="00461047"/>
    <w:rsid w:val="00462AFF"/>
    <w:rsid w:val="00472CCD"/>
    <w:rsid w:val="00474D3B"/>
    <w:rsid w:val="00481BE2"/>
    <w:rsid w:val="00482F32"/>
    <w:rsid w:val="00485D50"/>
    <w:rsid w:val="00485DEB"/>
    <w:rsid w:val="00494902"/>
    <w:rsid w:val="004A01A2"/>
    <w:rsid w:val="004A21FB"/>
    <w:rsid w:val="004B5F23"/>
    <w:rsid w:val="004B7935"/>
    <w:rsid w:val="004C0342"/>
    <w:rsid w:val="004C3DCE"/>
    <w:rsid w:val="004D56A7"/>
    <w:rsid w:val="004E14E9"/>
    <w:rsid w:val="004E20B5"/>
    <w:rsid w:val="004E3417"/>
    <w:rsid w:val="004E447D"/>
    <w:rsid w:val="004E5805"/>
    <w:rsid w:val="0050086E"/>
    <w:rsid w:val="005030A8"/>
    <w:rsid w:val="00503EDA"/>
    <w:rsid w:val="00511F13"/>
    <w:rsid w:val="00513AF2"/>
    <w:rsid w:val="00523CB5"/>
    <w:rsid w:val="00530434"/>
    <w:rsid w:val="00537697"/>
    <w:rsid w:val="00541F6A"/>
    <w:rsid w:val="00542251"/>
    <w:rsid w:val="00553A3E"/>
    <w:rsid w:val="00562E01"/>
    <w:rsid w:val="005723FF"/>
    <w:rsid w:val="00585F0F"/>
    <w:rsid w:val="005923B0"/>
    <w:rsid w:val="005A195F"/>
    <w:rsid w:val="005A7A55"/>
    <w:rsid w:val="005B1AC7"/>
    <w:rsid w:val="005B3FC8"/>
    <w:rsid w:val="005B44D7"/>
    <w:rsid w:val="005C5D5D"/>
    <w:rsid w:val="005D5A4E"/>
    <w:rsid w:val="005D7543"/>
    <w:rsid w:val="005E3212"/>
    <w:rsid w:val="005E3CE0"/>
    <w:rsid w:val="005E49BC"/>
    <w:rsid w:val="005E4D07"/>
    <w:rsid w:val="005F511A"/>
    <w:rsid w:val="006002F8"/>
    <w:rsid w:val="006026AA"/>
    <w:rsid w:val="0060358D"/>
    <w:rsid w:val="0060709E"/>
    <w:rsid w:val="00612C77"/>
    <w:rsid w:val="00613268"/>
    <w:rsid w:val="00614464"/>
    <w:rsid w:val="00614958"/>
    <w:rsid w:val="00615CA0"/>
    <w:rsid w:val="00626DAE"/>
    <w:rsid w:val="00626FC9"/>
    <w:rsid w:val="00631EDF"/>
    <w:rsid w:val="006349F0"/>
    <w:rsid w:val="00645637"/>
    <w:rsid w:val="00651990"/>
    <w:rsid w:val="00654E7C"/>
    <w:rsid w:val="00657BB2"/>
    <w:rsid w:val="006629AB"/>
    <w:rsid w:val="00665196"/>
    <w:rsid w:val="0067414E"/>
    <w:rsid w:val="00675623"/>
    <w:rsid w:val="00676A3B"/>
    <w:rsid w:val="00684F13"/>
    <w:rsid w:val="006A663D"/>
    <w:rsid w:val="006C073E"/>
    <w:rsid w:val="006C18C0"/>
    <w:rsid w:val="006C4235"/>
    <w:rsid w:val="006C5C61"/>
    <w:rsid w:val="006D3C43"/>
    <w:rsid w:val="006E3C3A"/>
    <w:rsid w:val="006E72F7"/>
    <w:rsid w:val="006F39CD"/>
    <w:rsid w:val="006F6A77"/>
    <w:rsid w:val="00710930"/>
    <w:rsid w:val="00714A9E"/>
    <w:rsid w:val="007150EB"/>
    <w:rsid w:val="00722F17"/>
    <w:rsid w:val="00724BF4"/>
    <w:rsid w:val="00725C8A"/>
    <w:rsid w:val="00726B8A"/>
    <w:rsid w:val="00732046"/>
    <w:rsid w:val="00733DC9"/>
    <w:rsid w:val="00741302"/>
    <w:rsid w:val="00745087"/>
    <w:rsid w:val="007517A3"/>
    <w:rsid w:val="00773B67"/>
    <w:rsid w:val="00774D6B"/>
    <w:rsid w:val="007914A0"/>
    <w:rsid w:val="0079226A"/>
    <w:rsid w:val="0079312D"/>
    <w:rsid w:val="007946D9"/>
    <w:rsid w:val="007A201F"/>
    <w:rsid w:val="007B4C10"/>
    <w:rsid w:val="007B4CDE"/>
    <w:rsid w:val="007B6A33"/>
    <w:rsid w:val="007D3816"/>
    <w:rsid w:val="007E3865"/>
    <w:rsid w:val="007E7E79"/>
    <w:rsid w:val="007F4FA0"/>
    <w:rsid w:val="007F6D32"/>
    <w:rsid w:val="007F700F"/>
    <w:rsid w:val="007F7D04"/>
    <w:rsid w:val="007F7D5B"/>
    <w:rsid w:val="00815024"/>
    <w:rsid w:val="00821576"/>
    <w:rsid w:val="0082728B"/>
    <w:rsid w:val="00836FE1"/>
    <w:rsid w:val="00847CC7"/>
    <w:rsid w:val="00854E98"/>
    <w:rsid w:val="00860107"/>
    <w:rsid w:val="0086652F"/>
    <w:rsid w:val="008705E9"/>
    <w:rsid w:val="008803EF"/>
    <w:rsid w:val="00883F5D"/>
    <w:rsid w:val="00894B55"/>
    <w:rsid w:val="008A537E"/>
    <w:rsid w:val="008A70A0"/>
    <w:rsid w:val="008B55DC"/>
    <w:rsid w:val="008C5256"/>
    <w:rsid w:val="008C73C4"/>
    <w:rsid w:val="008C78E0"/>
    <w:rsid w:val="008D4483"/>
    <w:rsid w:val="008E0EC6"/>
    <w:rsid w:val="008F2A25"/>
    <w:rsid w:val="008F3D9C"/>
    <w:rsid w:val="009053F5"/>
    <w:rsid w:val="009126B5"/>
    <w:rsid w:val="009164DC"/>
    <w:rsid w:val="00922C2D"/>
    <w:rsid w:val="0094300E"/>
    <w:rsid w:val="00950EB5"/>
    <w:rsid w:val="00957757"/>
    <w:rsid w:val="00957D9B"/>
    <w:rsid w:val="0096238C"/>
    <w:rsid w:val="00962A28"/>
    <w:rsid w:val="0097308C"/>
    <w:rsid w:val="009751AD"/>
    <w:rsid w:val="00980434"/>
    <w:rsid w:val="00981825"/>
    <w:rsid w:val="009820E9"/>
    <w:rsid w:val="00986867"/>
    <w:rsid w:val="009964D8"/>
    <w:rsid w:val="009A750E"/>
    <w:rsid w:val="009A7761"/>
    <w:rsid w:val="009B2E45"/>
    <w:rsid w:val="009C1489"/>
    <w:rsid w:val="009D37E6"/>
    <w:rsid w:val="009D4C27"/>
    <w:rsid w:val="009D515A"/>
    <w:rsid w:val="009E15BD"/>
    <w:rsid w:val="009E7239"/>
    <w:rsid w:val="00A00E9D"/>
    <w:rsid w:val="00A0290D"/>
    <w:rsid w:val="00A0691A"/>
    <w:rsid w:val="00A078B6"/>
    <w:rsid w:val="00A135E3"/>
    <w:rsid w:val="00A16E1A"/>
    <w:rsid w:val="00A24B0C"/>
    <w:rsid w:val="00A268AA"/>
    <w:rsid w:val="00A30732"/>
    <w:rsid w:val="00A33114"/>
    <w:rsid w:val="00A40A49"/>
    <w:rsid w:val="00A53BC7"/>
    <w:rsid w:val="00A55BBA"/>
    <w:rsid w:val="00A70233"/>
    <w:rsid w:val="00A73F5B"/>
    <w:rsid w:val="00A74221"/>
    <w:rsid w:val="00A743F9"/>
    <w:rsid w:val="00A7632A"/>
    <w:rsid w:val="00A80E09"/>
    <w:rsid w:val="00A82E12"/>
    <w:rsid w:val="00A8352A"/>
    <w:rsid w:val="00A84103"/>
    <w:rsid w:val="00A9756B"/>
    <w:rsid w:val="00AA7A97"/>
    <w:rsid w:val="00AB4E64"/>
    <w:rsid w:val="00AC2561"/>
    <w:rsid w:val="00AC3263"/>
    <w:rsid w:val="00AC5D4E"/>
    <w:rsid w:val="00AD43CF"/>
    <w:rsid w:val="00AE1B0A"/>
    <w:rsid w:val="00B03701"/>
    <w:rsid w:val="00B04016"/>
    <w:rsid w:val="00B11232"/>
    <w:rsid w:val="00B113BB"/>
    <w:rsid w:val="00B11A56"/>
    <w:rsid w:val="00B16074"/>
    <w:rsid w:val="00B168B2"/>
    <w:rsid w:val="00B25950"/>
    <w:rsid w:val="00B35438"/>
    <w:rsid w:val="00B3666E"/>
    <w:rsid w:val="00B40831"/>
    <w:rsid w:val="00B44CFC"/>
    <w:rsid w:val="00B47614"/>
    <w:rsid w:val="00B5012B"/>
    <w:rsid w:val="00B61614"/>
    <w:rsid w:val="00B61DD3"/>
    <w:rsid w:val="00B6552B"/>
    <w:rsid w:val="00B65B8F"/>
    <w:rsid w:val="00B744F4"/>
    <w:rsid w:val="00B8109A"/>
    <w:rsid w:val="00B905C5"/>
    <w:rsid w:val="00B936FC"/>
    <w:rsid w:val="00B93FDC"/>
    <w:rsid w:val="00B94269"/>
    <w:rsid w:val="00B94FE5"/>
    <w:rsid w:val="00BA47E1"/>
    <w:rsid w:val="00BB2405"/>
    <w:rsid w:val="00BB5142"/>
    <w:rsid w:val="00BD12C7"/>
    <w:rsid w:val="00BF2CE0"/>
    <w:rsid w:val="00BF32C6"/>
    <w:rsid w:val="00BF4B45"/>
    <w:rsid w:val="00C07C9C"/>
    <w:rsid w:val="00C12760"/>
    <w:rsid w:val="00C143AE"/>
    <w:rsid w:val="00C24500"/>
    <w:rsid w:val="00C25975"/>
    <w:rsid w:val="00C37CC1"/>
    <w:rsid w:val="00C40631"/>
    <w:rsid w:val="00C44709"/>
    <w:rsid w:val="00C454C0"/>
    <w:rsid w:val="00C54035"/>
    <w:rsid w:val="00C5517C"/>
    <w:rsid w:val="00C5525D"/>
    <w:rsid w:val="00C55B8B"/>
    <w:rsid w:val="00C56924"/>
    <w:rsid w:val="00C57BFF"/>
    <w:rsid w:val="00C63FD9"/>
    <w:rsid w:val="00C6416F"/>
    <w:rsid w:val="00C6476E"/>
    <w:rsid w:val="00C654BF"/>
    <w:rsid w:val="00C717CD"/>
    <w:rsid w:val="00C760BA"/>
    <w:rsid w:val="00C761F4"/>
    <w:rsid w:val="00C82319"/>
    <w:rsid w:val="00C82A49"/>
    <w:rsid w:val="00C83832"/>
    <w:rsid w:val="00C84F95"/>
    <w:rsid w:val="00C86ADC"/>
    <w:rsid w:val="00C9607F"/>
    <w:rsid w:val="00CA1AFC"/>
    <w:rsid w:val="00CA60FC"/>
    <w:rsid w:val="00CC005E"/>
    <w:rsid w:val="00CC24DD"/>
    <w:rsid w:val="00CC4A45"/>
    <w:rsid w:val="00CE0216"/>
    <w:rsid w:val="00CE168F"/>
    <w:rsid w:val="00CF3475"/>
    <w:rsid w:val="00CF3BC4"/>
    <w:rsid w:val="00CF4B75"/>
    <w:rsid w:val="00CF6C0D"/>
    <w:rsid w:val="00D01B21"/>
    <w:rsid w:val="00D100E5"/>
    <w:rsid w:val="00D13374"/>
    <w:rsid w:val="00D15559"/>
    <w:rsid w:val="00D251B1"/>
    <w:rsid w:val="00D25CAE"/>
    <w:rsid w:val="00D26AB8"/>
    <w:rsid w:val="00D32F3F"/>
    <w:rsid w:val="00D426A5"/>
    <w:rsid w:val="00D43689"/>
    <w:rsid w:val="00D66F53"/>
    <w:rsid w:val="00D70D63"/>
    <w:rsid w:val="00D73C98"/>
    <w:rsid w:val="00D92E45"/>
    <w:rsid w:val="00D96557"/>
    <w:rsid w:val="00DA1A3A"/>
    <w:rsid w:val="00DA633A"/>
    <w:rsid w:val="00DA6486"/>
    <w:rsid w:val="00DB150F"/>
    <w:rsid w:val="00DB65AF"/>
    <w:rsid w:val="00DC3B40"/>
    <w:rsid w:val="00DC71FD"/>
    <w:rsid w:val="00DF1145"/>
    <w:rsid w:val="00DF156C"/>
    <w:rsid w:val="00E008D6"/>
    <w:rsid w:val="00E016D3"/>
    <w:rsid w:val="00E03AF7"/>
    <w:rsid w:val="00E14D21"/>
    <w:rsid w:val="00E15D89"/>
    <w:rsid w:val="00E20501"/>
    <w:rsid w:val="00E2532C"/>
    <w:rsid w:val="00E42DF5"/>
    <w:rsid w:val="00E4777C"/>
    <w:rsid w:val="00E5468E"/>
    <w:rsid w:val="00E55DA8"/>
    <w:rsid w:val="00E71B10"/>
    <w:rsid w:val="00E727FC"/>
    <w:rsid w:val="00E770F2"/>
    <w:rsid w:val="00E84810"/>
    <w:rsid w:val="00E86A7C"/>
    <w:rsid w:val="00E87595"/>
    <w:rsid w:val="00E87F65"/>
    <w:rsid w:val="00E908E5"/>
    <w:rsid w:val="00E94057"/>
    <w:rsid w:val="00E9467E"/>
    <w:rsid w:val="00E959B9"/>
    <w:rsid w:val="00EC3B97"/>
    <w:rsid w:val="00EC4DCB"/>
    <w:rsid w:val="00EC50AA"/>
    <w:rsid w:val="00EC6B00"/>
    <w:rsid w:val="00ED0000"/>
    <w:rsid w:val="00ED0FB8"/>
    <w:rsid w:val="00ED37F5"/>
    <w:rsid w:val="00ED7160"/>
    <w:rsid w:val="00EE2D4E"/>
    <w:rsid w:val="00EE5A15"/>
    <w:rsid w:val="00EE7F95"/>
    <w:rsid w:val="00EF1C73"/>
    <w:rsid w:val="00EF627B"/>
    <w:rsid w:val="00EF736A"/>
    <w:rsid w:val="00F00254"/>
    <w:rsid w:val="00F028AF"/>
    <w:rsid w:val="00F07C88"/>
    <w:rsid w:val="00F2148C"/>
    <w:rsid w:val="00F225C7"/>
    <w:rsid w:val="00F22EEB"/>
    <w:rsid w:val="00F25ED3"/>
    <w:rsid w:val="00F27F92"/>
    <w:rsid w:val="00F41763"/>
    <w:rsid w:val="00F4459B"/>
    <w:rsid w:val="00F45EE8"/>
    <w:rsid w:val="00F4717C"/>
    <w:rsid w:val="00F52FBC"/>
    <w:rsid w:val="00F54263"/>
    <w:rsid w:val="00F729AB"/>
    <w:rsid w:val="00F84C86"/>
    <w:rsid w:val="00FA4089"/>
    <w:rsid w:val="00FB42F8"/>
    <w:rsid w:val="00FB77E4"/>
    <w:rsid w:val="00FC50FF"/>
    <w:rsid w:val="00FD2586"/>
    <w:rsid w:val="00FE00DE"/>
    <w:rsid w:val="00FF137E"/>
    <w:rsid w:val="00FF2B0E"/>
    <w:rsid w:val="00FF2D9C"/>
    <w:rsid w:val="00FF3B5C"/>
    <w:rsid w:val="00FF4305"/>
    <w:rsid w:val="00FF5C0D"/>
    <w:rsid w:val="00FF67CB"/>
    <w:rsid w:val="00FF6C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1618A0"/>
  <w15:docId w15:val="{1EF49376-540C-4B7C-87F9-34CCB62B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2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Heading2">
    <w:name w:val="heading 2"/>
    <w:basedOn w:val="Normal"/>
    <w:next w:val="Normal"/>
    <w:link w:val="Heading2Char"/>
    <w:uiPriority w:val="9"/>
    <w:unhideWhenUsed/>
    <w:qFormat/>
    <w:rsid w:val="00E14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2E45"/>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paragraph" w:styleId="Heading4">
    <w:name w:val="heading 4"/>
    <w:basedOn w:val="Normal"/>
    <w:next w:val="Normal"/>
    <w:link w:val="Heading4Char"/>
    <w:uiPriority w:val="9"/>
    <w:semiHidden/>
    <w:unhideWhenUsed/>
    <w:qFormat/>
    <w:rsid w:val="009B2E4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45"/>
    <w:rPr>
      <w:rFonts w:ascii="Times New Roman" w:eastAsia="Times New Roman" w:hAnsi="Times New Roman" w:cs="Times New Roman"/>
      <w:b/>
      <w:bCs/>
      <w:kern w:val="36"/>
      <w:sz w:val="48"/>
      <w:szCs w:val="48"/>
      <w:lang w:val="sq-AL" w:eastAsia="fr-BE"/>
    </w:rPr>
  </w:style>
  <w:style w:type="character" w:customStyle="1" w:styleId="Heading3Char">
    <w:name w:val="Heading 3 Char"/>
    <w:basedOn w:val="DefaultParagraphFont"/>
    <w:link w:val="Heading3"/>
    <w:uiPriority w:val="9"/>
    <w:rsid w:val="009B2E45"/>
    <w:rPr>
      <w:rFonts w:ascii="Times New Roman" w:eastAsia="Times New Roman" w:hAnsi="Times New Roman" w:cs="Times New Roman"/>
      <w:b/>
      <w:bCs/>
      <w:sz w:val="27"/>
      <w:szCs w:val="27"/>
      <w:lang w:val="sq-AL" w:eastAsia="fr-BE"/>
    </w:rPr>
  </w:style>
  <w:style w:type="character" w:styleId="Hyperlink">
    <w:name w:val="Hyperlink"/>
    <w:basedOn w:val="DefaultParagraphFont"/>
    <w:uiPriority w:val="99"/>
    <w:unhideWhenUsed/>
    <w:rsid w:val="009B2E45"/>
    <w:rPr>
      <w:color w:val="0000FF"/>
      <w:u w:val="single"/>
    </w:rPr>
  </w:style>
  <w:style w:type="character" w:customStyle="1" w:styleId="td-post-date">
    <w:name w:val="td-post-date"/>
    <w:basedOn w:val="DefaultParagraphFont"/>
    <w:rsid w:val="009B2E45"/>
  </w:style>
  <w:style w:type="paragraph" w:styleId="NormalWeb">
    <w:name w:val="Normal (Web)"/>
    <w:basedOn w:val="Normal"/>
    <w:uiPriority w:val="99"/>
    <w:semiHidden/>
    <w:unhideWhenUsed/>
    <w:rsid w:val="009B2E4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Strong">
    <w:name w:val="Strong"/>
    <w:basedOn w:val="DefaultParagraphFont"/>
    <w:uiPriority w:val="22"/>
    <w:qFormat/>
    <w:rsid w:val="009B2E45"/>
    <w:rPr>
      <w:b/>
      <w:bCs/>
    </w:rPr>
  </w:style>
  <w:style w:type="character" w:styleId="Emphasis">
    <w:name w:val="Emphasis"/>
    <w:basedOn w:val="DefaultParagraphFont"/>
    <w:uiPriority w:val="20"/>
    <w:qFormat/>
    <w:rsid w:val="009B2E45"/>
    <w:rPr>
      <w:i/>
      <w:iCs/>
    </w:rPr>
  </w:style>
  <w:style w:type="character" w:customStyle="1" w:styleId="Heading4Char">
    <w:name w:val="Heading 4 Char"/>
    <w:basedOn w:val="DefaultParagraphFont"/>
    <w:link w:val="Heading4"/>
    <w:uiPriority w:val="9"/>
    <w:semiHidden/>
    <w:rsid w:val="009B2E45"/>
    <w:rPr>
      <w:rFonts w:asciiTheme="majorHAnsi" w:eastAsiaTheme="majorEastAsia" w:hAnsiTheme="majorHAnsi" w:cstheme="majorBidi"/>
      <w:i/>
      <w:iCs/>
      <w:color w:val="2E74B5" w:themeColor="accent1" w:themeShade="BF"/>
    </w:rPr>
  </w:style>
  <w:style w:type="character" w:customStyle="1" w:styleId="css-901oao">
    <w:name w:val="css-901oao"/>
    <w:basedOn w:val="DefaultParagraphFont"/>
    <w:rsid w:val="009B2E45"/>
  </w:style>
  <w:style w:type="character" w:customStyle="1" w:styleId="r-18u37iz">
    <w:name w:val="r-18u37iz"/>
    <w:basedOn w:val="DefaultParagraphFont"/>
    <w:rsid w:val="009B2E45"/>
  </w:style>
  <w:style w:type="paragraph" w:styleId="ListParagraph">
    <w:name w:val="List Paragraph"/>
    <w:basedOn w:val="Normal"/>
    <w:uiPriority w:val="34"/>
    <w:qFormat/>
    <w:rsid w:val="009B2E45"/>
    <w:pPr>
      <w:ind w:left="720"/>
      <w:contextualSpacing/>
    </w:pPr>
  </w:style>
  <w:style w:type="character" w:customStyle="1" w:styleId="Heading2Char">
    <w:name w:val="Heading 2 Char"/>
    <w:basedOn w:val="DefaultParagraphFont"/>
    <w:link w:val="Heading2"/>
    <w:uiPriority w:val="9"/>
    <w:rsid w:val="00E14D21"/>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nhideWhenUsed/>
    <w:qFormat/>
    <w:rsid w:val="00AC3263"/>
    <w:pPr>
      <w:spacing w:after="0" w:line="240" w:lineRule="auto"/>
    </w:pPr>
    <w:rPr>
      <w:sz w:val="20"/>
      <w:szCs w:val="20"/>
    </w:rPr>
  </w:style>
  <w:style w:type="character" w:customStyle="1" w:styleId="FootnoteTextChar">
    <w:name w:val="Footnote Text Char"/>
    <w:basedOn w:val="DefaultParagraphFont"/>
    <w:link w:val="FootnoteText"/>
    <w:rsid w:val="00AC3263"/>
    <w:rPr>
      <w:sz w:val="20"/>
      <w:szCs w:val="20"/>
    </w:rPr>
  </w:style>
  <w:style w:type="character" w:styleId="FootnoteReference">
    <w:name w:val="footnote reference"/>
    <w:basedOn w:val="DefaultParagraphFont"/>
    <w:unhideWhenUsed/>
    <w:qFormat/>
    <w:rsid w:val="00AC3263"/>
    <w:rPr>
      <w:vertAlign w:val="superscript"/>
    </w:rPr>
  </w:style>
  <w:style w:type="paragraph" w:styleId="BalloonText">
    <w:name w:val="Balloon Text"/>
    <w:basedOn w:val="Normal"/>
    <w:link w:val="BalloonTextChar"/>
    <w:uiPriority w:val="99"/>
    <w:semiHidden/>
    <w:unhideWhenUsed/>
    <w:rsid w:val="00916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4DC"/>
    <w:rPr>
      <w:rFonts w:ascii="Segoe UI" w:hAnsi="Segoe UI" w:cs="Segoe UI"/>
      <w:sz w:val="18"/>
      <w:szCs w:val="18"/>
    </w:rPr>
  </w:style>
  <w:style w:type="character" w:styleId="CommentReference">
    <w:name w:val="annotation reference"/>
    <w:basedOn w:val="DefaultParagraphFont"/>
    <w:uiPriority w:val="99"/>
    <w:semiHidden/>
    <w:unhideWhenUsed/>
    <w:rsid w:val="00E008D6"/>
    <w:rPr>
      <w:sz w:val="16"/>
      <w:szCs w:val="16"/>
    </w:rPr>
  </w:style>
  <w:style w:type="paragraph" w:styleId="CommentText">
    <w:name w:val="annotation text"/>
    <w:basedOn w:val="Normal"/>
    <w:link w:val="CommentTextChar"/>
    <w:uiPriority w:val="99"/>
    <w:semiHidden/>
    <w:unhideWhenUsed/>
    <w:rsid w:val="00E008D6"/>
    <w:pPr>
      <w:spacing w:line="240" w:lineRule="auto"/>
    </w:pPr>
    <w:rPr>
      <w:sz w:val="20"/>
      <w:szCs w:val="20"/>
    </w:rPr>
  </w:style>
  <w:style w:type="character" w:customStyle="1" w:styleId="CommentTextChar">
    <w:name w:val="Comment Text Char"/>
    <w:basedOn w:val="DefaultParagraphFont"/>
    <w:link w:val="CommentText"/>
    <w:uiPriority w:val="99"/>
    <w:semiHidden/>
    <w:rsid w:val="00E008D6"/>
    <w:rPr>
      <w:sz w:val="20"/>
      <w:szCs w:val="20"/>
    </w:rPr>
  </w:style>
  <w:style w:type="paragraph" w:styleId="CommentSubject">
    <w:name w:val="annotation subject"/>
    <w:basedOn w:val="CommentText"/>
    <w:next w:val="CommentText"/>
    <w:link w:val="CommentSubjectChar"/>
    <w:uiPriority w:val="99"/>
    <w:semiHidden/>
    <w:unhideWhenUsed/>
    <w:rsid w:val="00E008D6"/>
    <w:rPr>
      <w:b/>
      <w:bCs/>
    </w:rPr>
  </w:style>
  <w:style w:type="character" w:customStyle="1" w:styleId="CommentSubjectChar">
    <w:name w:val="Comment Subject Char"/>
    <w:basedOn w:val="CommentTextChar"/>
    <w:link w:val="CommentSubject"/>
    <w:uiPriority w:val="99"/>
    <w:semiHidden/>
    <w:rsid w:val="00E008D6"/>
    <w:rPr>
      <w:b/>
      <w:bCs/>
      <w:sz w:val="20"/>
      <w:szCs w:val="20"/>
    </w:rPr>
  </w:style>
  <w:style w:type="character" w:styleId="FollowedHyperlink">
    <w:name w:val="FollowedHyperlink"/>
    <w:basedOn w:val="DefaultParagraphFont"/>
    <w:uiPriority w:val="99"/>
    <w:semiHidden/>
    <w:unhideWhenUsed/>
    <w:rsid w:val="009053F5"/>
    <w:rPr>
      <w:color w:val="954F72" w:themeColor="followedHyperlink"/>
      <w:u w:val="single"/>
    </w:rPr>
  </w:style>
  <w:style w:type="paragraph" w:styleId="Header">
    <w:name w:val="header"/>
    <w:basedOn w:val="Normal"/>
    <w:link w:val="HeaderChar"/>
    <w:uiPriority w:val="99"/>
    <w:unhideWhenUsed/>
    <w:rsid w:val="00EE2D4E"/>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E2D4E"/>
    <w:rPr>
      <w:rFonts w:ascii="Times New Roman" w:hAnsi="Times New Roman" w:cs="Times New Roman"/>
    </w:rPr>
  </w:style>
  <w:style w:type="paragraph" w:styleId="Footer">
    <w:name w:val="footer"/>
    <w:basedOn w:val="Normal"/>
    <w:link w:val="FooterChar"/>
    <w:uiPriority w:val="99"/>
    <w:unhideWhenUsed/>
    <w:rsid w:val="00EE2D4E"/>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E2D4E"/>
    <w:rPr>
      <w:rFonts w:ascii="Times New Roman" w:hAnsi="Times New Roman" w:cs="Times New Roman"/>
    </w:rPr>
  </w:style>
  <w:style w:type="paragraph" w:styleId="Revision">
    <w:name w:val="Revision"/>
    <w:hidden/>
    <w:uiPriority w:val="99"/>
    <w:semiHidden/>
    <w:rsid w:val="00C40631"/>
    <w:pPr>
      <w:spacing w:after="0" w:line="240" w:lineRule="auto"/>
    </w:pPr>
  </w:style>
  <w:style w:type="paragraph" w:customStyle="1" w:styleId="Style1">
    <w:name w:val="Style1"/>
    <w:basedOn w:val="FootnoteText"/>
    <w:qFormat/>
    <w:rsid w:val="00612C77"/>
    <w:pPr>
      <w:ind w:left="567" w:hanging="567"/>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8982">
      <w:bodyDiv w:val="1"/>
      <w:marLeft w:val="0"/>
      <w:marRight w:val="0"/>
      <w:marTop w:val="0"/>
      <w:marBottom w:val="0"/>
      <w:divBdr>
        <w:top w:val="none" w:sz="0" w:space="0" w:color="auto"/>
        <w:left w:val="none" w:sz="0" w:space="0" w:color="auto"/>
        <w:bottom w:val="none" w:sz="0" w:space="0" w:color="auto"/>
        <w:right w:val="none" w:sz="0" w:space="0" w:color="auto"/>
      </w:divBdr>
    </w:div>
    <w:div w:id="411199181">
      <w:bodyDiv w:val="1"/>
      <w:marLeft w:val="0"/>
      <w:marRight w:val="0"/>
      <w:marTop w:val="0"/>
      <w:marBottom w:val="0"/>
      <w:divBdr>
        <w:top w:val="none" w:sz="0" w:space="0" w:color="auto"/>
        <w:left w:val="none" w:sz="0" w:space="0" w:color="auto"/>
        <w:bottom w:val="none" w:sz="0" w:space="0" w:color="auto"/>
        <w:right w:val="none" w:sz="0" w:space="0" w:color="auto"/>
      </w:divBdr>
    </w:div>
    <w:div w:id="670254266">
      <w:bodyDiv w:val="1"/>
      <w:marLeft w:val="0"/>
      <w:marRight w:val="0"/>
      <w:marTop w:val="0"/>
      <w:marBottom w:val="0"/>
      <w:divBdr>
        <w:top w:val="none" w:sz="0" w:space="0" w:color="auto"/>
        <w:left w:val="none" w:sz="0" w:space="0" w:color="auto"/>
        <w:bottom w:val="none" w:sz="0" w:space="0" w:color="auto"/>
        <w:right w:val="none" w:sz="0" w:space="0" w:color="auto"/>
      </w:divBdr>
    </w:div>
    <w:div w:id="1115755481">
      <w:bodyDiv w:val="1"/>
      <w:marLeft w:val="0"/>
      <w:marRight w:val="0"/>
      <w:marTop w:val="0"/>
      <w:marBottom w:val="0"/>
      <w:divBdr>
        <w:top w:val="none" w:sz="0" w:space="0" w:color="auto"/>
        <w:left w:val="none" w:sz="0" w:space="0" w:color="auto"/>
        <w:bottom w:val="none" w:sz="0" w:space="0" w:color="auto"/>
        <w:right w:val="none" w:sz="0" w:space="0" w:color="auto"/>
      </w:divBdr>
    </w:div>
    <w:div w:id="1345398693">
      <w:bodyDiv w:val="1"/>
      <w:marLeft w:val="0"/>
      <w:marRight w:val="0"/>
      <w:marTop w:val="0"/>
      <w:marBottom w:val="0"/>
      <w:divBdr>
        <w:top w:val="none" w:sz="0" w:space="0" w:color="auto"/>
        <w:left w:val="none" w:sz="0" w:space="0" w:color="auto"/>
        <w:bottom w:val="none" w:sz="0" w:space="0" w:color="auto"/>
        <w:right w:val="none" w:sz="0" w:space="0" w:color="auto"/>
      </w:divBdr>
    </w:div>
    <w:div w:id="1372878191">
      <w:bodyDiv w:val="1"/>
      <w:marLeft w:val="0"/>
      <w:marRight w:val="0"/>
      <w:marTop w:val="0"/>
      <w:marBottom w:val="0"/>
      <w:divBdr>
        <w:top w:val="none" w:sz="0" w:space="0" w:color="auto"/>
        <w:left w:val="none" w:sz="0" w:space="0" w:color="auto"/>
        <w:bottom w:val="none" w:sz="0" w:space="0" w:color="auto"/>
        <w:right w:val="none" w:sz="0" w:space="0" w:color="auto"/>
      </w:divBdr>
    </w:div>
    <w:div w:id="1422095571">
      <w:bodyDiv w:val="1"/>
      <w:marLeft w:val="0"/>
      <w:marRight w:val="0"/>
      <w:marTop w:val="0"/>
      <w:marBottom w:val="0"/>
      <w:divBdr>
        <w:top w:val="none" w:sz="0" w:space="0" w:color="auto"/>
        <w:left w:val="none" w:sz="0" w:space="0" w:color="auto"/>
        <w:bottom w:val="none" w:sz="0" w:space="0" w:color="auto"/>
        <w:right w:val="none" w:sz="0" w:space="0" w:color="auto"/>
      </w:divBdr>
    </w:div>
    <w:div w:id="1486822115">
      <w:bodyDiv w:val="1"/>
      <w:marLeft w:val="0"/>
      <w:marRight w:val="0"/>
      <w:marTop w:val="0"/>
      <w:marBottom w:val="0"/>
      <w:divBdr>
        <w:top w:val="none" w:sz="0" w:space="0" w:color="auto"/>
        <w:left w:val="none" w:sz="0" w:space="0" w:color="auto"/>
        <w:bottom w:val="none" w:sz="0" w:space="0" w:color="auto"/>
        <w:right w:val="none" w:sz="0" w:space="0" w:color="auto"/>
      </w:divBdr>
      <w:divsChild>
        <w:div w:id="1382366579">
          <w:marLeft w:val="0"/>
          <w:marRight w:val="0"/>
          <w:marTop w:val="0"/>
          <w:marBottom w:val="0"/>
          <w:divBdr>
            <w:top w:val="none" w:sz="0" w:space="0" w:color="auto"/>
            <w:left w:val="none" w:sz="0" w:space="0" w:color="auto"/>
            <w:bottom w:val="none" w:sz="0" w:space="0" w:color="auto"/>
            <w:right w:val="none" w:sz="0" w:space="0" w:color="auto"/>
          </w:divBdr>
          <w:divsChild>
            <w:div w:id="1412504997">
              <w:marLeft w:val="0"/>
              <w:marRight w:val="0"/>
              <w:marTop w:val="0"/>
              <w:marBottom w:val="0"/>
              <w:divBdr>
                <w:top w:val="none" w:sz="0" w:space="0" w:color="auto"/>
                <w:left w:val="none" w:sz="0" w:space="0" w:color="auto"/>
                <w:bottom w:val="none" w:sz="0" w:space="0" w:color="auto"/>
                <w:right w:val="none" w:sz="0" w:space="0" w:color="auto"/>
              </w:divBdr>
              <w:divsChild>
                <w:div w:id="2023896130">
                  <w:marLeft w:val="0"/>
                  <w:marRight w:val="0"/>
                  <w:marTop w:val="0"/>
                  <w:marBottom w:val="0"/>
                  <w:divBdr>
                    <w:top w:val="none" w:sz="0" w:space="0" w:color="auto"/>
                    <w:left w:val="none" w:sz="0" w:space="0" w:color="auto"/>
                    <w:bottom w:val="none" w:sz="0" w:space="0" w:color="auto"/>
                    <w:right w:val="none" w:sz="0" w:space="0" w:color="auto"/>
                  </w:divBdr>
                  <w:divsChild>
                    <w:div w:id="978266825">
                      <w:marLeft w:val="0"/>
                      <w:marRight w:val="0"/>
                      <w:marTop w:val="0"/>
                      <w:marBottom w:val="0"/>
                      <w:divBdr>
                        <w:top w:val="none" w:sz="0" w:space="0" w:color="auto"/>
                        <w:left w:val="none" w:sz="0" w:space="0" w:color="auto"/>
                        <w:bottom w:val="none" w:sz="0" w:space="0" w:color="auto"/>
                        <w:right w:val="none" w:sz="0" w:space="0" w:color="auto"/>
                      </w:divBdr>
                      <w:divsChild>
                        <w:div w:id="1728331922">
                          <w:marLeft w:val="0"/>
                          <w:marRight w:val="0"/>
                          <w:marTop w:val="0"/>
                          <w:marBottom w:val="0"/>
                          <w:divBdr>
                            <w:top w:val="none" w:sz="0" w:space="0" w:color="auto"/>
                            <w:left w:val="none" w:sz="0" w:space="0" w:color="auto"/>
                            <w:bottom w:val="none" w:sz="0" w:space="0" w:color="auto"/>
                            <w:right w:val="none" w:sz="0" w:space="0" w:color="auto"/>
                          </w:divBdr>
                          <w:divsChild>
                            <w:div w:id="2110806073">
                              <w:marLeft w:val="0"/>
                              <w:marRight w:val="0"/>
                              <w:marTop w:val="0"/>
                              <w:marBottom w:val="0"/>
                              <w:divBdr>
                                <w:top w:val="none" w:sz="0" w:space="0" w:color="auto"/>
                                <w:left w:val="none" w:sz="0" w:space="0" w:color="auto"/>
                                <w:bottom w:val="none" w:sz="0" w:space="0" w:color="auto"/>
                                <w:right w:val="none" w:sz="0" w:space="0" w:color="auto"/>
                              </w:divBdr>
                            </w:div>
                            <w:div w:id="5130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99846">
          <w:marLeft w:val="0"/>
          <w:marRight w:val="0"/>
          <w:marTop w:val="0"/>
          <w:marBottom w:val="0"/>
          <w:divBdr>
            <w:top w:val="none" w:sz="0" w:space="0" w:color="auto"/>
            <w:left w:val="none" w:sz="0" w:space="0" w:color="auto"/>
            <w:bottom w:val="none" w:sz="0" w:space="0" w:color="auto"/>
            <w:right w:val="none" w:sz="0" w:space="0" w:color="auto"/>
          </w:divBdr>
          <w:divsChild>
            <w:div w:id="1510871160">
              <w:marLeft w:val="0"/>
              <w:marRight w:val="0"/>
              <w:marTop w:val="0"/>
              <w:marBottom w:val="0"/>
              <w:divBdr>
                <w:top w:val="none" w:sz="0" w:space="0" w:color="auto"/>
                <w:left w:val="none" w:sz="0" w:space="0" w:color="auto"/>
                <w:bottom w:val="none" w:sz="0" w:space="0" w:color="auto"/>
                <w:right w:val="none" w:sz="0" w:space="0" w:color="auto"/>
              </w:divBdr>
              <w:divsChild>
                <w:div w:id="1365713771">
                  <w:marLeft w:val="0"/>
                  <w:marRight w:val="0"/>
                  <w:marTop w:val="0"/>
                  <w:marBottom w:val="0"/>
                  <w:divBdr>
                    <w:top w:val="none" w:sz="0" w:space="0" w:color="auto"/>
                    <w:left w:val="none" w:sz="0" w:space="0" w:color="auto"/>
                    <w:bottom w:val="none" w:sz="0" w:space="0" w:color="auto"/>
                    <w:right w:val="none" w:sz="0" w:space="0" w:color="auto"/>
                  </w:divBdr>
                  <w:divsChild>
                    <w:div w:id="2097289691">
                      <w:marLeft w:val="0"/>
                      <w:marRight w:val="0"/>
                      <w:marTop w:val="0"/>
                      <w:marBottom w:val="0"/>
                      <w:divBdr>
                        <w:top w:val="none" w:sz="0" w:space="0" w:color="auto"/>
                        <w:left w:val="none" w:sz="0" w:space="0" w:color="auto"/>
                        <w:bottom w:val="none" w:sz="0" w:space="0" w:color="auto"/>
                        <w:right w:val="none" w:sz="0" w:space="0" w:color="auto"/>
                      </w:divBdr>
                    </w:div>
                    <w:div w:id="222639663">
                      <w:marLeft w:val="0"/>
                      <w:marRight w:val="0"/>
                      <w:marTop w:val="0"/>
                      <w:marBottom w:val="0"/>
                      <w:divBdr>
                        <w:top w:val="none" w:sz="0" w:space="0" w:color="auto"/>
                        <w:left w:val="none" w:sz="0" w:space="0" w:color="auto"/>
                        <w:bottom w:val="none" w:sz="0" w:space="0" w:color="auto"/>
                        <w:right w:val="none" w:sz="0" w:space="0" w:color="auto"/>
                      </w:divBdr>
                      <w:divsChild>
                        <w:div w:id="1848592857">
                          <w:blockQuote w:val="1"/>
                          <w:marLeft w:val="720"/>
                          <w:marRight w:val="720"/>
                          <w:marTop w:val="100"/>
                          <w:marBottom w:val="100"/>
                          <w:divBdr>
                            <w:top w:val="none" w:sz="0" w:space="0" w:color="auto"/>
                            <w:left w:val="none" w:sz="0" w:space="0" w:color="auto"/>
                            <w:bottom w:val="none" w:sz="0" w:space="0" w:color="auto"/>
                            <w:right w:val="none" w:sz="0" w:space="0" w:color="auto"/>
                          </w:divBdr>
                        </w:div>
                        <w:div w:id="8957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63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30187651">
      <w:bodyDiv w:val="1"/>
      <w:marLeft w:val="0"/>
      <w:marRight w:val="0"/>
      <w:marTop w:val="0"/>
      <w:marBottom w:val="0"/>
      <w:divBdr>
        <w:top w:val="none" w:sz="0" w:space="0" w:color="auto"/>
        <w:left w:val="none" w:sz="0" w:space="0" w:color="auto"/>
        <w:bottom w:val="none" w:sz="0" w:space="0" w:color="auto"/>
        <w:right w:val="none" w:sz="0" w:space="0" w:color="auto"/>
      </w:divBdr>
    </w:div>
    <w:div w:id="202731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XMKEDVFMMJCW-986967783-3108</_dlc_DocId>
    <_dlc_DocIdUrl xmlns="56a5413d-c261-4a00-870c-a20d3379ae6d">
      <Url>http://dm/eesc/2023/_layouts/15/DocIdRedir.aspx?ID=XMKEDVFMMJCW-986967783-3108</Url>
      <Description>XMKEDVFMMJCW-986967783-3108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DECL</TermName>
          <TermId xmlns="http://schemas.microsoft.com/office/infopath/2007/PartnerControls">3e2492ed-4ef9-4eb0-bb74-05f60f74f0a3</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2023-11-03T12:00:00+00:00</ProductionDate>
    <DocumentNumber xmlns="6a46d0b7-3319-45f4-9165-b2de5d5fa145">4762</DocumentNumber>
    <FicheYear xmlns="56a5413d-c261-4a00-870c-a20d3379ae6d" xsi:nil="true"/>
    <DossierNumber xmlns="56a5413d-c261-4a00-870c-a20d3379ae6d">184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6a5413d-c261-4a00-870c-a20d3379ae6d" xsi:nil="true"/>
    <TaxCatchAll xmlns="56a5413d-c261-4a00-870c-a20d3379ae6d">
      <Value>35</Value>
      <Value>104</Value>
      <Value>109</Value>
      <Value>157</Value>
      <Value>338</Value>
      <Value>10</Value>
      <Value>158</Value>
      <Value>46</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SQ</TermName>
          <TermId xmlns="http://schemas.microsoft.com/office/infopath/2007/PartnerControls">5ac17240-8d11-45ec-9893-659b209d7a00</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12049</FicheNumber>
    <OriginalSender xmlns="56a5413d-c261-4a00-870c-a20d3379ae6d">
      <UserInfo>
        <DisplayName>Sol Sandrine</DisplayName>
        <AccountId>823</AccountId>
        <AccountType/>
      </UserInfo>
    </OriginalSender>
    <DocumentPart xmlns="56a5413d-c261-4a00-870c-a20d3379ae6d">0</DocumentPart>
    <AdoptionDate xmlns="56a5413d-c261-4a00-870c-a20d3379ae6d" xsi:nil="true"/>
    <RequestingService xmlns="56a5413d-c261-4a00-870c-a20d3379ae6d">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MK</TermName>
          <TermId xmlns="http://schemas.microsoft.com/office/infopath/2007/PartnerControls">34ce48bb-063e-4413-a932-50853dc71c5c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SQ</TermName>
          <TermId xmlns="http://schemas.microsoft.com/office/infopath/2007/PartnerControls">5ac17240-8d11-45ec-9893-659b209d7a00</TermId>
        </TermInfo>
        <TermInfo xmlns="http://schemas.microsoft.com/office/infopath/2007/PartnerControls">
          <TermName xmlns="http://schemas.microsoft.com/office/infopath/2007/PartnerControls">SR</TermName>
          <TermId xmlns="http://schemas.microsoft.com/office/infopath/2007/PartnerControls">7f3a1d13-b985-4bfd-981e-afe31377edff</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466CA-0AD5-48B8-AA68-65EBA2DE3586}"/>
</file>

<file path=customXml/itemProps2.xml><?xml version="1.0" encoding="utf-8"?>
<ds:datastoreItem xmlns:ds="http://schemas.openxmlformats.org/officeDocument/2006/customXml" ds:itemID="{2A12A874-B99E-4DB4-BCC1-E428E822DE80}"/>
</file>

<file path=customXml/itemProps3.xml><?xml version="1.0" encoding="utf-8"?>
<ds:datastoreItem xmlns:ds="http://schemas.openxmlformats.org/officeDocument/2006/customXml" ds:itemID="{F50F74EA-6E51-49B1-BD56-EA4AF45E736B}"/>
</file>

<file path=customXml/itemProps4.xml><?xml version="1.0" encoding="utf-8"?>
<ds:datastoreItem xmlns:ds="http://schemas.openxmlformats.org/officeDocument/2006/customXml" ds:itemID="{BE07CBB2-B99B-4281-8D6B-A8E28B7555C3}"/>
</file>

<file path=docProps/app.xml><?xml version="1.0" encoding="utf-8"?>
<Properties xmlns="http://schemas.openxmlformats.org/officeDocument/2006/extended-properties" xmlns:vt="http://schemas.openxmlformats.org/officeDocument/2006/docPropsVTypes">
  <Template>Normal.dotm</Template>
  <TotalTime>1</TotalTime>
  <Pages>6</Pages>
  <Words>2276</Words>
  <Characters>12573</Characters>
  <Application>Microsoft Office Word</Application>
  <DocSecurity>0</DocSecurity>
  <Lines>104</Lines>
  <Paragraphs>29</Paragraphs>
  <ScaleCrop>false</ScaleCrop>
  <HeadingPairs>
    <vt:vector size="6" baseType="variant">
      <vt:variant>
        <vt:lpstr>Title</vt:lpstr>
      </vt:variant>
      <vt:variant>
        <vt:i4>1</vt:i4>
      </vt:variant>
      <vt:variant>
        <vt:lpstr>Naslov</vt:lpstr>
      </vt:variant>
      <vt:variant>
        <vt:i4>1</vt:i4>
      </vt:variant>
      <vt:variant>
        <vt:lpstr>Τίτλος</vt:lpstr>
      </vt:variant>
      <vt:variant>
        <vt:i4>1</vt:i4>
      </vt:variant>
    </vt:vector>
  </HeadingPairs>
  <TitlesOfParts>
    <vt:vector size="3" baseType="lpstr">
      <vt:lpstr>Final declaration 8th Western Balkans Civil Society Forum Skopje 2021</vt:lpstr>
      <vt:lpstr>Draft declaration 8th Western Balkans Civil Society Forum Skopje 2021</vt:lpstr>
      <vt:lpstr/>
    </vt:vector>
  </TitlesOfParts>
  <Company>CDT</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declaration WB Forum Thessaloniki</dc:title>
  <dc:subject>DECL</dc:subject>
  <dc:creator>CDT</dc:creator>
  <cp:keywords>EESC-2023-04762-00-00-DECL-TRA-EN</cp:keywords>
  <dc:description>Rapporteur:  - Original language: EN - Date of document: 03/11/2023 - Date of meeting:  - External documents:  - Administrator: M. HOIC David</dc:description>
  <cp:lastModifiedBy>Sol Sandrine</cp:lastModifiedBy>
  <cp:revision>5</cp:revision>
  <cp:lastPrinted>2023-09-20T07:56:00Z</cp:lastPrinted>
  <dcterms:created xsi:type="dcterms:W3CDTF">2023-11-03T15:42:00Z</dcterms:created>
  <dcterms:modified xsi:type="dcterms:W3CDTF">2023-11-03T15:42:00Z</dcterms:modified>
  <cp:category>REX/184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24/10/2023, 04/10/2021, 22/09/2021, 22/09/2021, 22/09/2021, 07/09/2021</vt:lpwstr>
  </property>
  <property fmtid="{D5CDD505-2E9C-101B-9397-08002B2CF9AE}" pid="4" name="Pref_Time">
    <vt:lpwstr>17:23:32, 15:01:50, 09:09:41, 08:53:25, 08:17:04, 17:11:53</vt:lpwstr>
  </property>
  <property fmtid="{D5CDD505-2E9C-101B-9397-08002B2CF9AE}" pid="5" name="Pref_User">
    <vt:lpwstr>jhvi, amett, hnic, hnic, ymur, amett</vt:lpwstr>
  </property>
  <property fmtid="{D5CDD505-2E9C-101B-9397-08002B2CF9AE}" pid="6" name="Pref_FileName">
    <vt:lpwstr>EESC-2023-04762-00-00-DECL-ORI.docx, EESC-2021-04389-00-02-DECL-TRA-EN-CRR.docx, EESC-2021-04389-00-01-DECL-ORI.docx, EESC-2021-04389-00-01-DECL-TRA-EN-CRR.docx, EESC-2021-04389-00-01-DECL-CRR-EN.docx, EESC-2021-04389-00-00-DECL-ORI.docx</vt:lpwstr>
  </property>
  <property fmtid="{D5CDD505-2E9C-101B-9397-08002B2CF9AE}" pid="7" name="ContentTypeId">
    <vt:lpwstr>0x010100EA97B91038054C99906057A708A1480A00E7E372CC74EDEC458A35EE5BAB8E5DAA</vt:lpwstr>
  </property>
  <property fmtid="{D5CDD505-2E9C-101B-9397-08002B2CF9AE}" pid="8" name="_dlc_DocIdItemGuid">
    <vt:lpwstr>38d57364-b51b-4670-bbc8-6b311d69aedf</vt:lpwstr>
  </property>
  <property fmtid="{D5CDD505-2E9C-101B-9397-08002B2CF9AE}" pid="9" name="AvailableTranslations">
    <vt:lpwstr>338;#MK|34ce48bb-063e-4413-a932-50853dc71c5c;#10;#FR|d2afafd3-4c81-4f60-8f52-ee33f2f54ff3;#46;#HR|2f555653-ed1a-4fe6-8362-9082d95989e5;#35;#SL|98a412ae-eb01-49e9-ae3d-585a81724cfc;#158;#SQ|5ac17240-8d11-45ec-9893-659b209d7a00;#157;#SR|7f3a1d13-b985-4bfd-981e-afe31377edff;#5;#EN|f2175f21-25d7-44a3-96da-d6a61b075e1b</vt:lpwstr>
  </property>
  <property fmtid="{D5CDD505-2E9C-101B-9397-08002B2CF9AE}" pid="10" name="DocumentType_0">
    <vt:lpwstr>DECL|3e2492ed-4ef9-4eb0-bb74-05f60f74f0a3</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4762</vt:i4>
  </property>
  <property fmtid="{D5CDD505-2E9C-101B-9397-08002B2CF9AE}" pid="14" name="DocumentVersion">
    <vt:i4>0</vt:i4>
  </property>
  <property fmtid="{D5CDD505-2E9C-101B-9397-08002B2CF9AE}" pid="15" name="DossierNumber">
    <vt:i4>184</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109;#REX|6820eaf5-116e-436b-ad9c-156f8a94c2a1</vt:lpwstr>
  </property>
  <property fmtid="{D5CDD505-2E9C-101B-9397-08002B2CF9AE}" pid="19" name="DocumentSource">
    <vt:lpwstr>1;#EESC|422833ec-8d7e-4e65-8e4e-8bed07ffb729</vt:lpwstr>
  </property>
  <property fmtid="{D5CDD505-2E9C-101B-9397-08002B2CF9AE}" pid="21" name="DocumentType">
    <vt:lpwstr>104;#DECL|3e2492ed-4ef9-4eb0-bb74-05f60f74f0a3</vt:lpwstr>
  </property>
  <property fmtid="{D5CDD505-2E9C-101B-9397-08002B2CF9AE}" pid="22" name="RequestingService">
    <vt:lpwstr>Relations extérieures</vt:lpwstr>
  </property>
  <property fmtid="{D5CDD505-2E9C-101B-9397-08002B2CF9AE}" pid="23" name="Confidentiality">
    <vt:lpwstr>6;#Internal|2451815e-8241-4bbf-a22e-1ab710712bf2</vt:lpwstr>
  </property>
  <property fmtid="{D5CDD505-2E9C-101B-9397-08002B2CF9AE}" pid="24" name="MeetingName_0">
    <vt:lpwstr/>
  </property>
  <property fmtid="{D5CDD505-2E9C-101B-9397-08002B2CF9AE}" pid="25" name="Confidentiality_0">
    <vt:lpwstr>Internal|2451815e-8241-4bbf-a22e-1ab710712bf2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FR|d2afafd3-4c81-4f60-8f52-ee33f2f54ff3;HR|2f555653-ed1a-4fe6-8362-9082d95989e5;SL|98a412ae-eb01-49e9-ae3d-585a81724cfc;EN|f2175f21-25d7-44a3-96da-d6a61b075e1b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46;#HR|2f555653-ed1a-4fe6-8362-9082d95989e5;#7;#Final|ea5e6674-7b27-4bac-b091-73adbb394efe;#10;#FR|d2afafd3-4c81-4f60-8f52-ee33f2f54ff3;#109;#REX|6820eaf5-116e-436b-ad9c-156f8a94c2a1;#6;#Internal|2451815e-8241-4bbf-a22e-1ab710712bf2;#5;#EN|f2175f21-25d7-44a3-96da-d6a61b075e1b;#3;#TRA|150d2a88-1431-44e6-a8ca-0bb753ab8672;#104;#DECL|3e2492ed-4ef9-4eb0-bb74-05f60f74f0a3;#1;#EESC|422833ec-8d7e-4e65-8e4e-8bed07ffb729;#35;#SL|98a412ae-eb01-49e9-ae3d-585a81724cfc</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12049</vt:i4>
  </property>
  <property fmtid="{D5CDD505-2E9C-101B-9397-08002B2CF9AE}" pid="37" name="DocumentLanguage">
    <vt:lpwstr>158;#SQ|5ac17240-8d11-45ec-9893-659b209d7a00</vt:lpwstr>
  </property>
  <property fmtid="{D5CDD505-2E9C-101B-9397-08002B2CF9AE}" pid="38" name="_docset_NoMedatataSyncRequired">
    <vt:lpwstr>False</vt:lpwstr>
  </property>
</Properties>
</file>