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4B6B" w:rsidR="004D7AC0" w:rsidP="00775FC4" w:rsidRDefault="005826D6" w14:paraId="785AE44C" w14:textId="5D3C1828">
      <w:pPr>
        <w:jc w:val="center"/>
      </w:pPr>
      <w:bookmarkStart w:name="_Hlk141173132" w:id="0"/>
      <w:r>
        <w:rPr>
          <w:noProof/>
        </w:rPr>
        <w:drawing>
          <wp:inline distT="0" distB="0" distL="0" distR="0" wp14:anchorId="37DAF156" wp14:editId="537F7F1B">
            <wp:extent cx="1792605" cy="1239520"/>
            <wp:effectExtent l="0" t="0" r="0" b="0"/>
            <wp:docPr id="2" name="Picture 2" title="EESCLogo_FR"/>
            <wp:cNvGraphicFramePr/>
            <a:graphic xmlns:a="http://schemas.openxmlformats.org/drawingml/2006/main">
              <a:graphicData uri="http://schemas.openxmlformats.org/drawingml/2006/picture">
                <pic:pic xmlns:pic="http://schemas.openxmlformats.org/drawingml/2006/picture">
                  <pic:nvPicPr>
                    <pic:cNvPr id="2" name="Picture 2" title="EESCLogo_F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38784" behindDoc="1" locked="0" layoutInCell="0" allowOverlap="1" wp14:editId="65779F34"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FR</w:t>
                      </w:r>
                    </w:p>
                  </w:txbxContent>
                </v:textbox>
                <w10:wrap anchorx="page" anchory="page"/>
              </v:shape>
            </w:pict>
          </mc:Fallback>
        </mc:AlternateContent>
      </w:r>
    </w:p>
    <w:p w:rsidRPr="00094B6B" w:rsidR="004D7AC0" w:rsidP="00775FC4" w:rsidRDefault="004D7AC0" w14:paraId="51F52D79" w14:textId="77777777"/>
    <w:p w:rsidRPr="00094B6B" w:rsidR="004D7AC0" w:rsidP="00775FC4" w:rsidRDefault="00014C93" w14:paraId="45DE4A28" w14:textId="0373D771">
      <w:pPr>
        <w:jc w:val="right"/>
      </w:pPr>
      <w:r>
        <w:t>Bruxelles, le 25 octobre 2023</w:t>
      </w:r>
    </w:p>
    <w:p w:rsidRPr="00094B6B" w:rsidR="004D7AC0" w:rsidP="00775FC4" w:rsidRDefault="004D7AC0" w14:paraId="6B250092" w14:textId="77777777"/>
    <w:p w:rsidRPr="00094B6B" w:rsidR="004D7AC0" w:rsidP="00775FC4" w:rsidRDefault="004D7AC0" w14:paraId="0593C6DF" w14:textId="77777777"/>
    <w:tbl>
      <w:tblPr>
        <w:tblW w:w="0" w:type="auto"/>
        <w:tblLook w:val="04A0" w:firstRow="1" w:lastRow="0" w:firstColumn="1" w:lastColumn="0" w:noHBand="0" w:noVBand="1"/>
      </w:tblPr>
      <w:tblGrid>
        <w:gridCol w:w="9289"/>
      </w:tblGrid>
      <w:tr w:rsidRPr="00094B6B" w:rsidR="004D7AC0" w:rsidTr="00662436" w14:paraId="6D7B3453" w14:textId="77777777">
        <w:tc>
          <w:tcPr>
            <w:tcW w:w="9289" w:type="dxa"/>
            <w:tcBorders>
              <w:bottom w:val="double" w:color="auto" w:sz="4" w:space="0"/>
            </w:tcBorders>
          </w:tcPr>
          <w:p w:rsidRPr="00094B6B" w:rsidR="001760E9" w:rsidP="00775FC4" w:rsidRDefault="00DA2D88" w14:paraId="3B286D4E" w14:textId="5159683B">
            <w:pPr>
              <w:snapToGrid w:val="0"/>
              <w:jc w:val="center"/>
              <w:rPr>
                <w:b/>
                <w:sz w:val="32"/>
              </w:rPr>
            </w:pPr>
            <w:r>
              <w:rPr>
                <w:b/>
                <w:sz w:val="32"/>
              </w:rPr>
              <w:t>581</w:t>
            </w:r>
            <w:r>
              <w:rPr>
                <w:b/>
                <w:sz w:val="32"/>
                <w:vertAlign w:val="superscript"/>
              </w:rPr>
              <w:t>e</w:t>
            </w:r>
            <w:r w:rsidR="0048572F">
              <w:rPr>
                <w:b/>
                <w:sz w:val="32"/>
              </w:rPr>
              <w:t> </w:t>
            </w:r>
            <w:r>
              <w:rPr>
                <w:b/>
                <w:sz w:val="32"/>
              </w:rPr>
              <w:t>SESSION PLÉNIÈRE</w:t>
            </w:r>
          </w:p>
          <w:p w:rsidRPr="00094B6B" w:rsidR="001760E9" w:rsidP="00775FC4" w:rsidRDefault="001760E9" w14:paraId="6C87A626" w14:textId="0AE2882C">
            <w:pPr>
              <w:snapToGrid w:val="0"/>
              <w:jc w:val="center"/>
              <w:rPr>
                <w:b/>
                <w:sz w:val="32"/>
              </w:rPr>
            </w:pPr>
          </w:p>
          <w:p w:rsidRPr="00094B6B" w:rsidR="001760E9" w:rsidP="00775FC4" w:rsidRDefault="00BC376C" w14:paraId="6CF7229C" w14:textId="7CFD4086">
            <w:pPr>
              <w:snapToGrid w:val="0"/>
              <w:jc w:val="center"/>
              <w:rPr>
                <w:b/>
                <w:sz w:val="32"/>
              </w:rPr>
            </w:pPr>
            <w:r>
              <w:rPr>
                <w:b/>
                <w:sz w:val="32"/>
              </w:rPr>
              <w:t>20 et 21 septembre 2023</w:t>
            </w:r>
          </w:p>
          <w:p w:rsidRPr="00094B6B" w:rsidR="001760E9" w:rsidP="00775FC4" w:rsidRDefault="001760E9" w14:paraId="0C44BD01" w14:textId="2F8EBB07">
            <w:pPr>
              <w:snapToGrid w:val="0"/>
              <w:jc w:val="center"/>
              <w:rPr>
                <w:b/>
                <w:sz w:val="32"/>
              </w:rPr>
            </w:pPr>
          </w:p>
          <w:p w:rsidRPr="00094B6B" w:rsidR="004D7AC0" w:rsidP="00775FC4" w:rsidRDefault="00CF2F88" w14:paraId="114106CC" w14:textId="11A9DA7B">
            <w:pPr>
              <w:snapToGrid w:val="0"/>
              <w:jc w:val="center"/>
              <w:rPr>
                <w:rFonts w:eastAsia="MS Mincho"/>
                <w:b/>
                <w:sz w:val="32"/>
                <w:szCs w:val="32"/>
              </w:rPr>
            </w:pPr>
            <w:r>
              <w:rPr>
                <w:b/>
                <w:sz w:val="32"/>
              </w:rPr>
              <w:t>SYNTHÈSE DES AVIS, RÉSOLUTIONS ET RAPPORTS D’INFORMATION/D’ÉVALUATION ADOPTÉS</w:t>
            </w:r>
          </w:p>
          <w:p w:rsidRPr="00094B6B" w:rsidR="004D7AC0" w:rsidP="00775FC4" w:rsidRDefault="004D7AC0" w14:paraId="06AE72EA" w14:textId="77777777">
            <w:pPr>
              <w:snapToGrid w:val="0"/>
            </w:pPr>
          </w:p>
        </w:tc>
      </w:tr>
      <w:tr w:rsidRPr="00094B6B"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094B6B" w:rsidR="00B16284" w:rsidP="00775FC4" w:rsidRDefault="004D7AC0" w14:paraId="0A87E35B" w14:textId="77777777">
            <w:pPr>
              <w:snapToGrid w:val="0"/>
              <w:jc w:val="center"/>
            </w:pPr>
            <w:r>
              <w:t>Ce document est disponible dans toutes les langues officielles de l’Union européenne sur le site internet du CESE à l’adresse suivante:</w:t>
            </w:r>
          </w:p>
          <w:p w:rsidRPr="00094B6B" w:rsidR="00B16284" w:rsidP="00775FC4" w:rsidRDefault="00B16284" w14:paraId="4F26A4CE" w14:textId="77777777">
            <w:pPr>
              <w:snapToGrid w:val="0"/>
              <w:jc w:val="center"/>
            </w:pPr>
          </w:p>
          <w:p w:rsidRPr="00094B6B" w:rsidR="004D7AC0" w:rsidP="00775FC4" w:rsidRDefault="006F4895" w14:paraId="2A9352A2" w14:textId="0680ADB6">
            <w:pPr>
              <w:snapToGrid w:val="0"/>
              <w:jc w:val="center"/>
            </w:pPr>
            <w:hyperlink w:history="1" r:id="rId13">
              <w:r w:rsidR="005826D6">
                <w:rPr>
                  <w:rStyle w:val="Hyperlink"/>
                  <w:highlight w:val="yellow"/>
                </w:rPr>
                <w:t>https://www.eesc.europa.eu/fr/our-work/opinions-information-reports/plenary-session-summaries</w:t>
              </w:r>
            </w:hyperlink>
            <w:r w:rsidR="005826D6">
              <w:t>.</w:t>
            </w:r>
          </w:p>
          <w:p w:rsidRPr="00094B6B" w:rsidR="004D7AC0" w:rsidP="00775FC4" w:rsidRDefault="004D7AC0" w14:paraId="70D5DBB4" w14:textId="77777777">
            <w:pPr>
              <w:snapToGrid w:val="0"/>
              <w:jc w:val="center"/>
            </w:pPr>
          </w:p>
          <w:p w:rsidRPr="00094B6B" w:rsidR="004D7AC0" w:rsidP="00775FC4" w:rsidRDefault="004D7AC0" w14:paraId="575A73D6" w14:textId="77777777">
            <w:pPr>
              <w:snapToGrid w:val="0"/>
              <w:jc w:val="center"/>
              <w:rPr>
                <w:rFonts w:eastAsia="SimSun"/>
              </w:rPr>
            </w:pPr>
          </w:p>
          <w:p w:rsidRPr="00094B6B" w:rsidR="00B16284" w:rsidP="00775FC4" w:rsidRDefault="004D7AC0" w14:paraId="1C64BC20" w14:textId="77777777">
            <w:pPr>
              <w:snapToGrid w:val="0"/>
              <w:jc w:val="center"/>
            </w:pPr>
            <w:r>
              <w:t>Les avis mentionnés peuvent être consultés en ligne au moyen du moteur de recherche du CESE:</w:t>
            </w:r>
          </w:p>
          <w:p w:rsidRPr="00094B6B" w:rsidR="00B16284" w:rsidP="00775FC4" w:rsidRDefault="00B16284" w14:paraId="7A5411A5" w14:textId="77777777">
            <w:pPr>
              <w:snapToGrid w:val="0"/>
              <w:jc w:val="center"/>
            </w:pPr>
          </w:p>
          <w:p w:rsidRPr="00094B6B" w:rsidR="004D7AC0" w:rsidP="00775FC4" w:rsidRDefault="006F4895" w14:paraId="441AC4DD" w14:textId="1194D751">
            <w:pPr>
              <w:snapToGrid w:val="0"/>
              <w:jc w:val="center"/>
            </w:pPr>
            <w:hyperlink w:history="1" r:id="rId14">
              <w:r w:rsidR="005826D6">
                <w:rPr>
                  <w:rStyle w:val="Hyperlink"/>
                </w:rPr>
                <w:t>https://dmsearch.eesc.europa.eu/search/opinion</w:t>
              </w:r>
            </w:hyperlink>
            <w:r w:rsidR="005826D6">
              <w:t>.</w:t>
            </w:r>
          </w:p>
          <w:p w:rsidRPr="00094B6B" w:rsidR="004D7AC0" w:rsidP="00775FC4" w:rsidRDefault="004D7AC0" w14:paraId="51FF303F" w14:textId="77777777">
            <w:pPr>
              <w:snapToGrid w:val="0"/>
              <w:jc w:val="center"/>
            </w:pPr>
          </w:p>
        </w:tc>
      </w:tr>
    </w:tbl>
    <w:p w:rsidRPr="00094B6B" w:rsidR="004D7AC0" w:rsidP="00775FC4" w:rsidRDefault="004D7AC0" w14:paraId="57C291FC" w14:textId="77777777"/>
    <w:p w:rsidRPr="00094B6B" w:rsidR="004D7AC0" w:rsidP="00775FC4" w:rsidRDefault="004D7AC0" w14:paraId="5E675360" w14:textId="77777777"/>
    <w:p w:rsidRPr="00094B6B" w:rsidR="005A29D5" w:rsidP="00775FC4" w:rsidRDefault="005A29D5" w14:paraId="3CF67A1E" w14:textId="77777777">
      <w:pPr>
        <w:sectPr w:rsidRPr="00094B6B" w:rsidR="005A29D5" w:rsidSect="00E4258F">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pPr>
    </w:p>
    <w:p w:rsidRPr="00094B6B" w:rsidR="004D7AC0" w:rsidP="00775FC4" w:rsidRDefault="004D7AC0" w14:paraId="56B7AE7C" w14:textId="77777777">
      <w:pPr>
        <w:ind w:hanging="284"/>
        <w:rPr>
          <w:b/>
        </w:rPr>
      </w:pPr>
    </w:p>
    <w:sdt>
      <w:sdtPr>
        <w:rPr>
          <w:rFonts w:ascii="Times New Roman" w:hAnsi="Times New Roman" w:eastAsia="Times New Roman" w:cs="Times New Roman"/>
          <w:color w:val="auto"/>
          <w:sz w:val="22"/>
          <w:szCs w:val="22"/>
        </w:rPr>
        <w:id w:val="-1409615385"/>
        <w:docPartObj>
          <w:docPartGallery w:val="Table of Contents"/>
          <w:docPartUnique/>
        </w:docPartObj>
      </w:sdtPr>
      <w:sdtEndPr>
        <w:rPr>
          <w:b/>
          <w:bCs/>
          <w:noProof/>
        </w:rPr>
      </w:sdtEndPr>
      <w:sdtContent>
        <w:p w:rsidR="00E86C69" w:rsidRDefault="00E86C69" w14:paraId="1E6CFE4C" w14:textId="66AEABB1">
          <w:pPr>
            <w:pStyle w:val="TOCHeading"/>
          </w:pPr>
          <w:r>
            <w:t>Contents</w:t>
          </w:r>
        </w:p>
        <w:p w:rsidR="00E86C69" w:rsidRDefault="00E86C69" w14:paraId="5726A333" w14:textId="07A648D4">
          <w:pPr>
            <w:pStyle w:val="TOC1"/>
            <w:rPr>
              <w:rFonts w:asciiTheme="minorHAnsi" w:hAnsiTheme="minorHAnsi" w:eastAsiaTheme="minorEastAsia" w:cstheme="minorBidi"/>
              <w:b w:val="0"/>
              <w:sz w:val="22"/>
              <w:szCs w:val="22"/>
              <w:lang w:val="fr-BE" w:eastAsia="fr-BE"/>
            </w:rPr>
          </w:pPr>
          <w:r>
            <w:fldChar w:fldCharType="begin"/>
          </w:r>
          <w:r>
            <w:instrText xml:space="preserve"> TOC \o "1-3" \h \z \u </w:instrText>
          </w:r>
          <w:r>
            <w:fldChar w:fldCharType="separate"/>
          </w:r>
          <w:hyperlink w:history="1" w:anchor="_Toc146880498">
            <w:r w:rsidRPr="00126FAD">
              <w:rPr>
                <w:rStyle w:val="Hyperlink"/>
              </w:rPr>
              <w:t>1.</w:t>
            </w:r>
            <w:r>
              <w:rPr>
                <w:rFonts w:asciiTheme="minorHAnsi" w:hAnsiTheme="minorHAnsi" w:eastAsiaTheme="minorEastAsia" w:cstheme="minorBidi"/>
                <w:b w:val="0"/>
                <w:sz w:val="22"/>
                <w:szCs w:val="22"/>
                <w:lang w:val="fr-BE" w:eastAsia="fr-BE"/>
              </w:rPr>
              <w:tab/>
            </w:r>
            <w:r w:rsidRPr="00126FAD">
              <w:rPr>
                <w:rStyle w:val="Hyperlink"/>
              </w:rPr>
              <w:t>UNION ÉCONOMIQUE ET MONÉTAIRE ET COHÉSION ÉCONOMIQUE ET SOCIALE</w:t>
            </w:r>
            <w:r>
              <w:rPr>
                <w:webHidden/>
              </w:rPr>
              <w:tab/>
            </w:r>
            <w:r>
              <w:rPr>
                <w:webHidden/>
              </w:rPr>
              <w:fldChar w:fldCharType="begin"/>
            </w:r>
            <w:r>
              <w:rPr>
                <w:webHidden/>
              </w:rPr>
              <w:instrText xml:space="preserve"> PAGEREF _Toc146880498 \h </w:instrText>
            </w:r>
            <w:r>
              <w:rPr>
                <w:webHidden/>
              </w:rPr>
            </w:r>
            <w:r>
              <w:rPr>
                <w:webHidden/>
              </w:rPr>
              <w:fldChar w:fldCharType="separate"/>
            </w:r>
            <w:r w:rsidR="001C74A3">
              <w:rPr>
                <w:webHidden/>
              </w:rPr>
              <w:t>3</w:t>
            </w:r>
            <w:r>
              <w:rPr>
                <w:webHidden/>
              </w:rPr>
              <w:fldChar w:fldCharType="end"/>
            </w:r>
          </w:hyperlink>
        </w:p>
        <w:p w:rsidR="00E86C69" w:rsidRDefault="006F4895" w14:paraId="568402DD" w14:textId="1826D955">
          <w:pPr>
            <w:pStyle w:val="TOC1"/>
            <w:rPr>
              <w:rFonts w:asciiTheme="minorHAnsi" w:hAnsiTheme="minorHAnsi" w:eastAsiaTheme="minorEastAsia" w:cstheme="minorBidi"/>
              <w:b w:val="0"/>
              <w:sz w:val="22"/>
              <w:szCs w:val="22"/>
              <w:lang w:val="fr-BE" w:eastAsia="fr-BE"/>
            </w:rPr>
          </w:pPr>
          <w:hyperlink w:history="1" w:anchor="_Toc146880520">
            <w:r w:rsidRPr="00126FAD" w:rsidR="00E86C69">
              <w:rPr>
                <w:rStyle w:val="Hyperlink"/>
              </w:rPr>
              <w:t>2.</w:t>
            </w:r>
            <w:r w:rsidR="00E86C69">
              <w:rPr>
                <w:rFonts w:asciiTheme="minorHAnsi" w:hAnsiTheme="minorHAnsi" w:eastAsiaTheme="minorEastAsia" w:cstheme="minorBidi"/>
                <w:b w:val="0"/>
                <w:sz w:val="22"/>
                <w:szCs w:val="22"/>
                <w:lang w:val="fr-BE" w:eastAsia="fr-BE"/>
              </w:rPr>
              <w:tab/>
            </w:r>
            <w:r w:rsidRPr="00126FAD" w:rsidR="00E86C69">
              <w:rPr>
                <w:rStyle w:val="Hyperlink"/>
              </w:rPr>
              <w:t>EMPLOI, AFFAIRES SOCIALES ET CITOYENNETÉ</w:t>
            </w:r>
            <w:r w:rsidR="00E86C69">
              <w:rPr>
                <w:webHidden/>
              </w:rPr>
              <w:tab/>
            </w:r>
            <w:r w:rsidR="00E86C69">
              <w:rPr>
                <w:webHidden/>
              </w:rPr>
              <w:fldChar w:fldCharType="begin"/>
            </w:r>
            <w:r w:rsidR="00E86C69">
              <w:rPr>
                <w:webHidden/>
              </w:rPr>
              <w:instrText xml:space="preserve"> PAGEREF _Toc146880520 \h </w:instrText>
            </w:r>
            <w:r w:rsidR="00E86C69">
              <w:rPr>
                <w:webHidden/>
              </w:rPr>
            </w:r>
            <w:r w:rsidR="00E86C69">
              <w:rPr>
                <w:webHidden/>
              </w:rPr>
              <w:fldChar w:fldCharType="separate"/>
            </w:r>
            <w:r w:rsidR="001C74A3">
              <w:rPr>
                <w:webHidden/>
              </w:rPr>
              <w:t>11</w:t>
            </w:r>
            <w:r w:rsidR="00E86C69">
              <w:rPr>
                <w:webHidden/>
              </w:rPr>
              <w:fldChar w:fldCharType="end"/>
            </w:r>
          </w:hyperlink>
        </w:p>
        <w:p w:rsidR="00E86C69" w:rsidRDefault="006F4895" w14:paraId="216EC2D6" w14:textId="2AABF4F1">
          <w:pPr>
            <w:pStyle w:val="TOC1"/>
            <w:rPr>
              <w:rFonts w:asciiTheme="minorHAnsi" w:hAnsiTheme="minorHAnsi" w:eastAsiaTheme="minorEastAsia" w:cstheme="minorBidi"/>
              <w:b w:val="0"/>
              <w:sz w:val="22"/>
              <w:szCs w:val="22"/>
              <w:lang w:val="fr-BE" w:eastAsia="fr-BE"/>
            </w:rPr>
          </w:pPr>
          <w:hyperlink w:history="1" w:anchor="_Toc146880521">
            <w:r w:rsidRPr="00126FAD" w:rsidR="00E86C69">
              <w:rPr>
                <w:rStyle w:val="Hyperlink"/>
              </w:rPr>
              <w:t>3.</w:t>
            </w:r>
            <w:r w:rsidR="00E86C69">
              <w:rPr>
                <w:rFonts w:asciiTheme="minorHAnsi" w:hAnsiTheme="minorHAnsi" w:eastAsiaTheme="minorEastAsia" w:cstheme="minorBidi"/>
                <w:b w:val="0"/>
                <w:sz w:val="22"/>
                <w:szCs w:val="22"/>
                <w:lang w:val="fr-BE" w:eastAsia="fr-BE"/>
              </w:rPr>
              <w:tab/>
            </w:r>
            <w:r w:rsidRPr="00126FAD" w:rsidR="00E86C69">
              <w:rPr>
                <w:rStyle w:val="Hyperlink"/>
              </w:rPr>
              <w:t>MARCHÉ UNIQUE, PRODUCTION ET CONSOMMATION</w:t>
            </w:r>
            <w:r w:rsidR="00E86C69">
              <w:rPr>
                <w:webHidden/>
              </w:rPr>
              <w:tab/>
            </w:r>
            <w:r w:rsidR="00E86C69">
              <w:rPr>
                <w:webHidden/>
              </w:rPr>
              <w:fldChar w:fldCharType="begin"/>
            </w:r>
            <w:r w:rsidR="00E86C69">
              <w:rPr>
                <w:webHidden/>
              </w:rPr>
              <w:instrText xml:space="preserve"> PAGEREF _Toc146880521 \h </w:instrText>
            </w:r>
            <w:r w:rsidR="00E86C69">
              <w:rPr>
                <w:webHidden/>
              </w:rPr>
            </w:r>
            <w:r w:rsidR="00E86C69">
              <w:rPr>
                <w:webHidden/>
              </w:rPr>
              <w:fldChar w:fldCharType="separate"/>
            </w:r>
            <w:r w:rsidR="001C74A3">
              <w:rPr>
                <w:webHidden/>
              </w:rPr>
              <w:t>15</w:t>
            </w:r>
            <w:r w:rsidR="00E86C69">
              <w:rPr>
                <w:webHidden/>
              </w:rPr>
              <w:fldChar w:fldCharType="end"/>
            </w:r>
          </w:hyperlink>
        </w:p>
        <w:p w:rsidR="00E86C69" w:rsidRDefault="006F4895" w14:paraId="31354A75" w14:textId="3BE48C60">
          <w:pPr>
            <w:pStyle w:val="TOC1"/>
            <w:rPr>
              <w:rFonts w:asciiTheme="minorHAnsi" w:hAnsiTheme="minorHAnsi" w:eastAsiaTheme="minorEastAsia" w:cstheme="minorBidi"/>
              <w:b w:val="0"/>
              <w:sz w:val="22"/>
              <w:szCs w:val="22"/>
              <w:lang w:val="fr-BE" w:eastAsia="fr-BE"/>
            </w:rPr>
          </w:pPr>
          <w:hyperlink w:history="1" w:anchor="_Toc146880522">
            <w:r w:rsidRPr="00126FAD" w:rsidR="00E86C69">
              <w:rPr>
                <w:rStyle w:val="Hyperlink"/>
              </w:rPr>
              <w:t>4.</w:t>
            </w:r>
            <w:r w:rsidR="00E86C69">
              <w:rPr>
                <w:rFonts w:asciiTheme="minorHAnsi" w:hAnsiTheme="minorHAnsi" w:eastAsiaTheme="minorEastAsia" w:cstheme="minorBidi"/>
                <w:b w:val="0"/>
                <w:sz w:val="22"/>
                <w:szCs w:val="22"/>
                <w:lang w:val="fr-BE" w:eastAsia="fr-BE"/>
              </w:rPr>
              <w:tab/>
            </w:r>
            <w:r w:rsidRPr="00126FAD" w:rsidR="00E86C69">
              <w:rPr>
                <w:rStyle w:val="Hyperlink"/>
              </w:rPr>
              <w:t>AGRICULTURE, DÉVELOPPEMENT RURAL ET ENVIRONNEMENT</w:t>
            </w:r>
            <w:r w:rsidR="00E86C69">
              <w:rPr>
                <w:webHidden/>
              </w:rPr>
              <w:tab/>
            </w:r>
            <w:r w:rsidR="00E86C69">
              <w:rPr>
                <w:webHidden/>
              </w:rPr>
              <w:fldChar w:fldCharType="begin"/>
            </w:r>
            <w:r w:rsidR="00E86C69">
              <w:rPr>
                <w:webHidden/>
              </w:rPr>
              <w:instrText xml:space="preserve"> PAGEREF _Toc146880522 \h </w:instrText>
            </w:r>
            <w:r w:rsidR="00E86C69">
              <w:rPr>
                <w:webHidden/>
              </w:rPr>
            </w:r>
            <w:r w:rsidR="00E86C69">
              <w:rPr>
                <w:webHidden/>
              </w:rPr>
              <w:fldChar w:fldCharType="separate"/>
            </w:r>
            <w:r w:rsidR="001C74A3">
              <w:rPr>
                <w:webHidden/>
              </w:rPr>
              <w:t>19</w:t>
            </w:r>
            <w:r w:rsidR="00E86C69">
              <w:rPr>
                <w:webHidden/>
              </w:rPr>
              <w:fldChar w:fldCharType="end"/>
            </w:r>
          </w:hyperlink>
        </w:p>
        <w:p w:rsidR="00E86C69" w:rsidRDefault="006F4895" w14:paraId="4082A0C1" w14:textId="14FCE483">
          <w:pPr>
            <w:pStyle w:val="TOC1"/>
            <w:rPr>
              <w:rFonts w:asciiTheme="minorHAnsi" w:hAnsiTheme="minorHAnsi" w:eastAsiaTheme="minorEastAsia" w:cstheme="minorBidi"/>
              <w:b w:val="0"/>
              <w:sz w:val="22"/>
              <w:szCs w:val="22"/>
              <w:lang w:val="fr-BE" w:eastAsia="fr-BE"/>
            </w:rPr>
          </w:pPr>
          <w:hyperlink w:history="1" w:anchor="_Toc146880535">
            <w:r w:rsidRPr="00126FAD" w:rsidR="00E86C69">
              <w:rPr>
                <w:rStyle w:val="Hyperlink"/>
              </w:rPr>
              <w:t>5.</w:t>
            </w:r>
            <w:r w:rsidR="00E86C69">
              <w:rPr>
                <w:rFonts w:asciiTheme="minorHAnsi" w:hAnsiTheme="minorHAnsi" w:eastAsiaTheme="minorEastAsia" w:cstheme="minorBidi"/>
                <w:b w:val="0"/>
                <w:sz w:val="22"/>
                <w:szCs w:val="22"/>
                <w:lang w:val="fr-BE" w:eastAsia="fr-BE"/>
              </w:rPr>
              <w:tab/>
            </w:r>
            <w:r w:rsidRPr="00126FAD" w:rsidR="00E86C69">
              <w:rPr>
                <w:rStyle w:val="Hyperlink"/>
              </w:rPr>
              <w:t>RELATIONS EXTÉRIEURES</w:t>
            </w:r>
            <w:r w:rsidR="00E86C69">
              <w:rPr>
                <w:webHidden/>
              </w:rPr>
              <w:tab/>
            </w:r>
            <w:r w:rsidR="00E86C69">
              <w:rPr>
                <w:webHidden/>
              </w:rPr>
              <w:fldChar w:fldCharType="begin"/>
            </w:r>
            <w:r w:rsidR="00E86C69">
              <w:rPr>
                <w:webHidden/>
              </w:rPr>
              <w:instrText xml:space="preserve"> PAGEREF _Toc146880535 \h </w:instrText>
            </w:r>
            <w:r w:rsidR="00E86C69">
              <w:rPr>
                <w:webHidden/>
              </w:rPr>
            </w:r>
            <w:r w:rsidR="00E86C69">
              <w:rPr>
                <w:webHidden/>
              </w:rPr>
              <w:fldChar w:fldCharType="separate"/>
            </w:r>
            <w:r w:rsidR="001C74A3">
              <w:rPr>
                <w:webHidden/>
              </w:rPr>
              <w:t>22</w:t>
            </w:r>
            <w:r w:rsidR="00E86C69">
              <w:rPr>
                <w:webHidden/>
              </w:rPr>
              <w:fldChar w:fldCharType="end"/>
            </w:r>
          </w:hyperlink>
        </w:p>
        <w:p w:rsidR="00E86C69" w:rsidRDefault="006F4895" w14:paraId="6E5DD8D6" w14:textId="55D42BF3">
          <w:pPr>
            <w:pStyle w:val="TOC1"/>
            <w:rPr>
              <w:rFonts w:asciiTheme="minorHAnsi" w:hAnsiTheme="minorHAnsi" w:eastAsiaTheme="minorEastAsia" w:cstheme="minorBidi"/>
              <w:b w:val="0"/>
              <w:sz w:val="22"/>
              <w:szCs w:val="22"/>
              <w:lang w:val="fr-BE" w:eastAsia="fr-BE"/>
            </w:rPr>
          </w:pPr>
          <w:hyperlink w:history="1" w:anchor="_Toc146880536">
            <w:r w:rsidRPr="00126FAD" w:rsidR="00E86C69">
              <w:rPr>
                <w:rStyle w:val="Hyperlink"/>
              </w:rPr>
              <w:t>6.</w:t>
            </w:r>
            <w:r w:rsidR="00E86C69">
              <w:rPr>
                <w:rFonts w:asciiTheme="minorHAnsi" w:hAnsiTheme="minorHAnsi" w:eastAsiaTheme="minorEastAsia" w:cstheme="minorBidi"/>
                <w:b w:val="0"/>
                <w:sz w:val="22"/>
                <w:szCs w:val="22"/>
                <w:lang w:val="fr-BE" w:eastAsia="fr-BE"/>
              </w:rPr>
              <w:tab/>
            </w:r>
            <w:r w:rsidRPr="00126FAD" w:rsidR="00E86C69">
              <w:rPr>
                <w:rStyle w:val="Hyperlink"/>
              </w:rPr>
              <w:t>TRANSPORTS, ÉNERGIE, INFRASTRUCTURES ET SOCIÉTÉ DE L’INFORMATION</w:t>
            </w:r>
            <w:r w:rsidR="00E86C69">
              <w:rPr>
                <w:webHidden/>
              </w:rPr>
              <w:tab/>
            </w:r>
            <w:r w:rsidR="00E86C69">
              <w:rPr>
                <w:webHidden/>
              </w:rPr>
              <w:fldChar w:fldCharType="begin"/>
            </w:r>
            <w:r w:rsidR="00E86C69">
              <w:rPr>
                <w:webHidden/>
              </w:rPr>
              <w:instrText xml:space="preserve"> PAGEREF _Toc146880536 \h </w:instrText>
            </w:r>
            <w:r w:rsidR="00E86C69">
              <w:rPr>
                <w:webHidden/>
              </w:rPr>
            </w:r>
            <w:r w:rsidR="00E86C69">
              <w:rPr>
                <w:webHidden/>
              </w:rPr>
              <w:fldChar w:fldCharType="separate"/>
            </w:r>
            <w:r w:rsidR="001C74A3">
              <w:rPr>
                <w:webHidden/>
              </w:rPr>
              <w:t>27</w:t>
            </w:r>
            <w:r w:rsidR="00E86C69">
              <w:rPr>
                <w:webHidden/>
              </w:rPr>
              <w:fldChar w:fldCharType="end"/>
            </w:r>
          </w:hyperlink>
        </w:p>
        <w:p w:rsidR="00E86C69" w:rsidRDefault="00E86C69" w14:paraId="566461E1" w14:textId="61FDF50C">
          <w:r>
            <w:rPr>
              <w:b/>
              <w:bCs/>
              <w:noProof/>
            </w:rPr>
            <w:fldChar w:fldCharType="end"/>
          </w:r>
        </w:p>
      </w:sdtContent>
    </w:sdt>
    <w:p w:rsidRPr="00B66035" w:rsidR="00B807B4" w:rsidP="00450AD7" w:rsidRDefault="004D7AC0" w14:paraId="3CAC710B" w14:textId="07082C26">
      <w:pPr>
        <w:pStyle w:val="Heading1"/>
        <w:numPr>
          <w:ilvl w:val="0"/>
          <w:numId w:val="6"/>
        </w:numPr>
        <w:tabs>
          <w:tab w:val="clear" w:pos="9063"/>
          <w:tab w:val="right" w:leader="dot" w:pos="8789"/>
        </w:tabs>
        <w:spacing w:before="0"/>
        <w:ind w:left="567" w:right="0" w:hanging="567"/>
        <w:rPr>
          <w:b/>
          <w:bCs/>
        </w:rPr>
      </w:pPr>
      <w:r>
        <w:br w:type="page"/>
      </w:r>
      <w:bookmarkStart w:name="_Toc146880447" w:id="1"/>
      <w:bookmarkStart w:name="_Toc146880498" w:id="2"/>
      <w:r>
        <w:rPr>
          <w:b/>
        </w:rPr>
        <w:lastRenderedPageBreak/>
        <w:t>UNION ÉCONOMIQUE ET MONÉTAIRE ET COHÉSION ÉCONOMIQUE ET SOCIALE</w:t>
      </w:r>
      <w:bookmarkEnd w:id="1"/>
      <w:bookmarkEnd w:id="2"/>
    </w:p>
    <w:p w:rsidR="00F5099E" w:rsidP="00450AD7" w:rsidRDefault="00F5099E" w14:paraId="75D0735E" w14:textId="77777777">
      <w:pPr>
        <w:widowControl w:val="0"/>
      </w:pPr>
    </w:p>
    <w:p w:rsidRPr="00450AD7" w:rsidR="006D1026" w:rsidP="00450AD7" w:rsidRDefault="006F4895" w14:paraId="31F74DEB" w14:textId="15586CEA">
      <w:pPr>
        <w:pStyle w:val="ListParagraph"/>
        <w:widowControl w:val="0"/>
        <w:numPr>
          <w:ilvl w:val="0"/>
          <w:numId w:val="24"/>
        </w:numPr>
        <w:rPr>
          <w:bCs/>
          <w:iCs/>
        </w:rPr>
      </w:pPr>
      <w:hyperlink w:history="1" r:id="rId21">
        <w:r w:rsidRPr="00450AD7" w:rsidR="006D1026">
          <w:rPr>
            <w:rStyle w:val="Hyperlink"/>
            <w:b/>
            <w:i/>
            <w:sz w:val="28"/>
          </w:rPr>
          <w:t>Services en euros numériques dans les États membres dont la monnaie n’est pas l’euro</w:t>
        </w:r>
      </w:hyperlink>
    </w:p>
    <w:p w:rsidR="006D1026" w:rsidP="006D1026" w:rsidRDefault="006D1026" w14:paraId="777501BD" w14:textId="77777777">
      <w:pPr>
        <w:tabs>
          <w:tab w:val="center" w:pos="284"/>
        </w:tabs>
        <w:ind w:left="266" w:hanging="266"/>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A6689B" w:rsidR="006D1026" w:rsidTr="00195CCE" w14:paraId="3104B7FB" w14:textId="77777777">
        <w:tc>
          <w:tcPr>
            <w:tcW w:w="1701" w:type="dxa"/>
          </w:tcPr>
          <w:p w:rsidRPr="00A6689B" w:rsidR="006D1026" w:rsidP="00195CCE" w:rsidRDefault="006D1026" w14:paraId="0878B1B5" w14:textId="77777777">
            <w:pPr>
              <w:tabs>
                <w:tab w:val="center" w:pos="284"/>
              </w:tabs>
              <w:ind w:left="266" w:hanging="266"/>
              <w:rPr>
                <w:b/>
              </w:rPr>
            </w:pPr>
            <w:r>
              <w:rPr>
                <w:b/>
              </w:rPr>
              <w:t>Rapporteur</w:t>
            </w:r>
          </w:p>
        </w:tc>
        <w:tc>
          <w:tcPr>
            <w:tcW w:w="5670" w:type="dxa"/>
          </w:tcPr>
          <w:p w:rsidRPr="00A6689B" w:rsidR="006D1026" w:rsidP="00195CCE" w:rsidRDefault="006D1026" w14:paraId="1946179E" w14:textId="6532C254">
            <w:pPr>
              <w:tabs>
                <w:tab w:val="center" w:pos="284"/>
              </w:tabs>
              <w:ind w:left="266" w:hanging="266"/>
            </w:pPr>
            <w:r>
              <w:t>Avis de catégorie C</w:t>
            </w:r>
          </w:p>
        </w:tc>
      </w:tr>
      <w:tr w:rsidRPr="00A6689B" w:rsidR="006D1026" w:rsidTr="00195CCE" w14:paraId="7712ED6E" w14:textId="77777777">
        <w:tc>
          <w:tcPr>
            <w:tcW w:w="7371" w:type="dxa"/>
            <w:gridSpan w:val="2"/>
          </w:tcPr>
          <w:p w:rsidRPr="00A6689B" w:rsidR="006D1026" w:rsidP="00195CCE" w:rsidRDefault="006D1026" w14:paraId="1D12D8C6" w14:textId="77777777">
            <w:pPr>
              <w:tabs>
                <w:tab w:val="center" w:pos="284"/>
              </w:tabs>
              <w:spacing w:line="160" w:lineRule="exact"/>
              <w:ind w:left="266" w:hanging="266"/>
              <w:rPr>
                <w:lang w:val="en-US"/>
              </w:rPr>
            </w:pPr>
          </w:p>
        </w:tc>
      </w:tr>
      <w:tr w:rsidRPr="00A6689B" w:rsidR="006D1026" w:rsidTr="00195CCE" w14:paraId="1630CC3F" w14:textId="77777777">
        <w:tc>
          <w:tcPr>
            <w:tcW w:w="1701" w:type="dxa"/>
            <w:vMerge w:val="restart"/>
          </w:tcPr>
          <w:p w:rsidRPr="00A6689B" w:rsidR="006D1026" w:rsidP="00195CCE" w:rsidRDefault="006D1026" w14:paraId="2C2B9C6F" w14:textId="77777777">
            <w:pPr>
              <w:tabs>
                <w:tab w:val="center" w:pos="284"/>
              </w:tabs>
              <w:ind w:left="266" w:hanging="266"/>
              <w:rPr>
                <w:b/>
              </w:rPr>
            </w:pPr>
            <w:r>
              <w:rPr>
                <w:b/>
              </w:rPr>
              <w:t>Références</w:t>
            </w:r>
          </w:p>
        </w:tc>
        <w:tc>
          <w:tcPr>
            <w:tcW w:w="5670" w:type="dxa"/>
          </w:tcPr>
          <w:p w:rsidRPr="00A6689B" w:rsidR="006D1026" w:rsidP="00195CCE" w:rsidRDefault="006D1026" w14:paraId="201D1163" w14:textId="51BD0711">
            <w:pPr>
              <w:tabs>
                <w:tab w:val="center" w:pos="284"/>
              </w:tabs>
              <w:ind w:left="266" w:hanging="266"/>
            </w:pPr>
            <w:r>
              <w:t>COM(2023) 368 final</w:t>
            </w:r>
          </w:p>
        </w:tc>
      </w:tr>
      <w:tr w:rsidRPr="00A6689B" w:rsidR="006D1026" w:rsidTr="00195CCE" w14:paraId="3E8B3ED0" w14:textId="77777777">
        <w:tc>
          <w:tcPr>
            <w:tcW w:w="1701" w:type="dxa"/>
            <w:vMerge/>
          </w:tcPr>
          <w:p w:rsidRPr="00A6689B" w:rsidR="006D1026" w:rsidP="00195CCE" w:rsidRDefault="006D1026" w14:paraId="69185916" w14:textId="77777777">
            <w:pPr>
              <w:tabs>
                <w:tab w:val="center" w:pos="284"/>
              </w:tabs>
              <w:ind w:left="266" w:hanging="266"/>
              <w:rPr>
                <w:b/>
                <w:lang w:val="en-US"/>
              </w:rPr>
            </w:pPr>
          </w:p>
        </w:tc>
        <w:tc>
          <w:tcPr>
            <w:tcW w:w="5670" w:type="dxa"/>
          </w:tcPr>
          <w:p w:rsidRPr="00A6689B" w:rsidR="006D1026" w:rsidP="00195CCE" w:rsidRDefault="006D1026" w14:paraId="661E96C7" w14:textId="4C6F7A81">
            <w:pPr>
              <w:tabs>
                <w:tab w:val="center" w:pos="284"/>
              </w:tabs>
              <w:ind w:left="266" w:hanging="266"/>
            </w:pPr>
            <w:r>
              <w:t>EESC-2023-03599-00-00-AC</w:t>
            </w:r>
          </w:p>
        </w:tc>
      </w:tr>
    </w:tbl>
    <w:p w:rsidRPr="00A6689B" w:rsidR="006D1026" w:rsidP="006D1026" w:rsidRDefault="006D1026" w14:paraId="7EF58853" w14:textId="77777777">
      <w:pPr>
        <w:tabs>
          <w:tab w:val="center" w:pos="284"/>
        </w:tabs>
        <w:ind w:left="266" w:hanging="266"/>
        <w:rPr>
          <w:b/>
        </w:rPr>
      </w:pPr>
    </w:p>
    <w:p w:rsidRPr="00A6689B" w:rsidR="006D1026" w:rsidP="006D1026" w:rsidRDefault="006D1026" w14:paraId="281C164E" w14:textId="77777777">
      <w:pPr>
        <w:keepNext/>
        <w:keepLines/>
        <w:tabs>
          <w:tab w:val="center" w:pos="284"/>
        </w:tabs>
        <w:ind w:left="266" w:hanging="266"/>
        <w:rPr>
          <w:b/>
        </w:rPr>
      </w:pPr>
      <w:r>
        <w:rPr>
          <w:b/>
        </w:rPr>
        <w:t>Points clés</w:t>
      </w:r>
    </w:p>
    <w:p w:rsidRPr="00A6689B" w:rsidR="006D1026" w:rsidP="006D1026" w:rsidRDefault="006D1026" w14:paraId="5890742B" w14:textId="77777777">
      <w:pPr>
        <w:keepNext/>
        <w:keepLines/>
        <w:tabs>
          <w:tab w:val="center" w:pos="284"/>
        </w:tabs>
        <w:ind w:left="266" w:hanging="266"/>
        <w:rPr>
          <w:b/>
        </w:rPr>
      </w:pPr>
    </w:p>
    <w:p w:rsidR="006D1026" w:rsidP="006D1026" w:rsidRDefault="006D1026" w14:paraId="38C57A8D" w14:textId="77777777">
      <w:pPr>
        <w:pStyle w:val="ListParagraph"/>
        <w:ind w:left="0"/>
        <w:rPr>
          <w:bCs/>
          <w:iCs/>
        </w:rPr>
      </w:pPr>
      <w:r>
        <w:t>Considérant qu’il approuve le contenu de la proposition à l’examen et s’est déjà exprimé sur la question de l’euro numérique dans un autre de ses avis, sur le thème «Euro numérique et étendue et effets du cours légal des billets de banque et pièces en euros»</w:t>
      </w:r>
      <w:r>
        <w:rPr>
          <w:rStyle w:val="FootnoteReference"/>
          <w:bCs/>
          <w:i/>
        </w:rPr>
        <w:footnoteReference w:id="1"/>
      </w:r>
      <w:r>
        <w:t>, qui doit être adopté lors de la même session plénière de septembre 2023, le Comité a décidé d’émettre un avis qui soutient le texte proposé et de renvoyer à la position qu’il a prise dans le document susmentionné.</w:t>
      </w:r>
    </w:p>
    <w:p w:rsidRPr="00460168" w:rsidR="006D1026" w:rsidP="006D1026" w:rsidRDefault="006D1026" w14:paraId="0AFB4067" w14:textId="77777777">
      <w:pPr>
        <w:pStyle w:val="ListParagraph"/>
        <w:ind w:left="0"/>
        <w:rPr>
          <w:color w:val="000000" w:themeColor="text1"/>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6689B" w:rsidR="006D1026" w:rsidTr="00195CCE" w14:paraId="78194AA4" w14:textId="77777777">
        <w:tc>
          <w:tcPr>
            <w:tcW w:w="1418" w:type="dxa"/>
          </w:tcPr>
          <w:p w:rsidRPr="00A6689B" w:rsidR="006D1026" w:rsidP="00195CCE" w:rsidRDefault="006D1026" w14:paraId="63E26657" w14:textId="77777777">
            <w:pPr>
              <w:spacing w:line="240" w:lineRule="auto"/>
              <w:rPr>
                <w:i/>
              </w:rPr>
            </w:pPr>
            <w:r>
              <w:rPr>
                <w:b/>
                <w:i/>
              </w:rPr>
              <w:t>Contact:</w:t>
            </w:r>
          </w:p>
        </w:tc>
        <w:tc>
          <w:tcPr>
            <w:tcW w:w="5670" w:type="dxa"/>
          </w:tcPr>
          <w:p w:rsidRPr="00A6689B" w:rsidR="006D1026" w:rsidP="00195CCE" w:rsidRDefault="006D1026" w14:paraId="7F7CF6E9" w14:textId="77777777">
            <w:pPr>
              <w:spacing w:line="240" w:lineRule="auto"/>
              <w:rPr>
                <w:i/>
              </w:rPr>
            </w:pPr>
            <w:proofErr w:type="spellStart"/>
            <w:r>
              <w:rPr>
                <w:i/>
              </w:rPr>
              <w:t>Krisztina</w:t>
            </w:r>
            <w:proofErr w:type="spellEnd"/>
            <w:r>
              <w:rPr>
                <w:i/>
              </w:rPr>
              <w:t xml:space="preserve"> PERLAKY-TÓTH </w:t>
            </w:r>
          </w:p>
        </w:tc>
      </w:tr>
      <w:tr w:rsidRPr="00A6689B" w:rsidR="006D1026" w:rsidTr="00195CCE" w14:paraId="63E0FE8A" w14:textId="77777777">
        <w:tc>
          <w:tcPr>
            <w:tcW w:w="1418" w:type="dxa"/>
          </w:tcPr>
          <w:p w:rsidRPr="00A6689B" w:rsidR="006D1026" w:rsidP="00195CCE" w:rsidRDefault="006D1026" w14:paraId="7D517B79" w14:textId="77777777">
            <w:pPr>
              <w:spacing w:line="240" w:lineRule="auto"/>
              <w:rPr>
                <w:i/>
              </w:rPr>
            </w:pPr>
            <w:r>
              <w:rPr>
                <w:i/>
              </w:rPr>
              <w:t>Tél.</w:t>
            </w:r>
          </w:p>
        </w:tc>
        <w:tc>
          <w:tcPr>
            <w:tcW w:w="5670" w:type="dxa"/>
          </w:tcPr>
          <w:p w:rsidRPr="00A6689B" w:rsidR="006D1026" w:rsidP="00195CCE" w:rsidRDefault="006D1026" w14:paraId="39FAC193" w14:textId="77777777">
            <w:pPr>
              <w:spacing w:line="240" w:lineRule="auto"/>
              <w:rPr>
                <w:i/>
              </w:rPr>
            </w:pPr>
            <w:r>
              <w:rPr>
                <w:i/>
              </w:rPr>
              <w:t>+32 25469740</w:t>
            </w:r>
          </w:p>
        </w:tc>
      </w:tr>
      <w:tr w:rsidRPr="00A6689B" w:rsidR="006D1026" w:rsidTr="00195CCE" w14:paraId="127DE3A0" w14:textId="77777777">
        <w:tc>
          <w:tcPr>
            <w:tcW w:w="1418" w:type="dxa"/>
          </w:tcPr>
          <w:p w:rsidRPr="00A6689B" w:rsidR="006D1026" w:rsidP="00195CCE" w:rsidRDefault="006D1026" w14:paraId="4991E1AD" w14:textId="77777777">
            <w:pPr>
              <w:spacing w:line="240" w:lineRule="auto"/>
              <w:rPr>
                <w:i/>
              </w:rPr>
            </w:pPr>
            <w:r>
              <w:rPr>
                <w:i/>
              </w:rPr>
              <w:t>Courriel</w:t>
            </w:r>
          </w:p>
        </w:tc>
        <w:tc>
          <w:tcPr>
            <w:tcW w:w="5670" w:type="dxa"/>
          </w:tcPr>
          <w:p w:rsidRPr="00A6689B" w:rsidR="006D1026" w:rsidP="00195CCE" w:rsidRDefault="006F4895" w14:paraId="7C8B991D" w14:textId="77777777">
            <w:pPr>
              <w:spacing w:line="240" w:lineRule="auto"/>
              <w:rPr>
                <w:i/>
              </w:rPr>
            </w:pPr>
            <w:hyperlink w:history="1" r:id="rId22">
              <w:r w:rsidR="006D1026">
                <w:rPr>
                  <w:rStyle w:val="Hyperlink"/>
                </w:rPr>
                <w:t>Krisztina.PerlakyToth@eesc.europa.eu</w:t>
              </w:r>
            </w:hyperlink>
          </w:p>
        </w:tc>
      </w:tr>
    </w:tbl>
    <w:p w:rsidR="00E56E9F" w:rsidP="00775FC4" w:rsidRDefault="00E56E9F" w14:paraId="2FA63BE9" w14:textId="5BC2E53F">
      <w:pPr>
        <w:jc w:val="left"/>
      </w:pPr>
    </w:p>
    <w:p w:rsidR="00B95A48" w:rsidP="00775FC4" w:rsidRDefault="00B95A48" w14:paraId="5EE19B92" w14:textId="77777777">
      <w:pPr>
        <w:jc w:val="left"/>
      </w:pPr>
    </w:p>
    <w:p w:rsidRPr="00450AD7" w:rsidR="006D1026" w:rsidP="00450AD7" w:rsidRDefault="006F4895" w14:paraId="36C365CA" w14:textId="2CC2231F">
      <w:pPr>
        <w:pStyle w:val="ListParagraph"/>
        <w:widowControl w:val="0"/>
        <w:numPr>
          <w:ilvl w:val="0"/>
          <w:numId w:val="22"/>
        </w:numPr>
        <w:overflowPunct w:val="0"/>
        <w:autoSpaceDE w:val="0"/>
        <w:autoSpaceDN w:val="0"/>
        <w:adjustRightInd w:val="0"/>
        <w:textAlignment w:val="baseline"/>
        <w:rPr>
          <w:sz w:val="20"/>
        </w:rPr>
      </w:pPr>
      <w:hyperlink w:history="1" r:id="rId23">
        <w:r w:rsidRPr="00450AD7" w:rsidR="006D1026">
          <w:rPr>
            <w:rStyle w:val="Hyperlink"/>
            <w:b/>
            <w:i/>
            <w:sz w:val="28"/>
          </w:rPr>
          <w:t>Révision à mi-parcours du cadre financier pluriannuel</w:t>
        </w:r>
      </w:hyperlink>
    </w:p>
    <w:p w:rsidRPr="0099603E" w:rsidR="006D1026" w:rsidP="006D1026" w:rsidRDefault="006D1026" w14:paraId="0124BD0B" w14:textId="77777777">
      <w:pPr>
        <w:tabs>
          <w:tab w:val="center" w:pos="284"/>
        </w:tabs>
        <w:ind w:left="266" w:hanging="266"/>
        <w:rPr>
          <w:b/>
          <w:sz w:val="16"/>
          <w:szCs w:val="16"/>
        </w:rPr>
      </w:pPr>
    </w:p>
    <w:tbl>
      <w:tblPr>
        <w:tblStyle w:val="TableGrid"/>
        <w:tblW w:w="8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5"/>
        <w:gridCol w:w="7070"/>
      </w:tblGrid>
      <w:tr w:rsidRPr="00A6689B" w:rsidR="006D1026" w:rsidTr="00581360" w14:paraId="1D3CAC6C" w14:textId="77777777">
        <w:tc>
          <w:tcPr>
            <w:tcW w:w="1685" w:type="dxa"/>
          </w:tcPr>
          <w:p w:rsidRPr="00A6689B" w:rsidR="006D1026" w:rsidP="00195CCE" w:rsidRDefault="006D1026" w14:paraId="79750D7C" w14:textId="3112F2BD">
            <w:pPr>
              <w:tabs>
                <w:tab w:val="center" w:pos="284"/>
              </w:tabs>
              <w:ind w:left="266" w:hanging="266"/>
              <w:rPr>
                <w:b/>
              </w:rPr>
            </w:pPr>
            <w:r>
              <w:rPr>
                <w:b/>
              </w:rPr>
              <w:t>Rapporteur</w:t>
            </w:r>
            <w:r w:rsidR="004136D5">
              <w:rPr>
                <w:b/>
              </w:rPr>
              <w:t>s</w:t>
            </w:r>
          </w:p>
        </w:tc>
        <w:tc>
          <w:tcPr>
            <w:tcW w:w="7070" w:type="dxa"/>
          </w:tcPr>
          <w:p w:rsidRPr="00A6689B" w:rsidR="006D1026" w:rsidP="00195CCE" w:rsidRDefault="006D1026" w14:paraId="1A933A9F" w14:textId="77777777">
            <w:pPr>
              <w:tabs>
                <w:tab w:val="center" w:pos="0"/>
              </w:tabs>
            </w:pPr>
            <w:r>
              <w:t>Elena-Alexandra CALISTRU (groupe des organisations de la société civile — RO)</w:t>
            </w:r>
          </w:p>
        </w:tc>
      </w:tr>
      <w:tr w:rsidRPr="00A6689B" w:rsidR="006D1026" w:rsidTr="00581360" w14:paraId="35AB15B3" w14:textId="77777777">
        <w:tc>
          <w:tcPr>
            <w:tcW w:w="1685" w:type="dxa"/>
          </w:tcPr>
          <w:p w:rsidR="006D1026" w:rsidP="00195CCE" w:rsidRDefault="006D1026" w14:paraId="3BAF69BA" w14:textId="3EF71560">
            <w:pPr>
              <w:tabs>
                <w:tab w:val="center" w:pos="284"/>
              </w:tabs>
              <w:ind w:left="266" w:hanging="266"/>
              <w:rPr>
                <w:b/>
              </w:rPr>
            </w:pPr>
          </w:p>
        </w:tc>
        <w:tc>
          <w:tcPr>
            <w:tcW w:w="7070" w:type="dxa"/>
          </w:tcPr>
          <w:p w:rsidRPr="000A67D6" w:rsidR="006D1026" w:rsidP="00195CCE" w:rsidRDefault="006D1026" w14:paraId="5377CAC7" w14:textId="77777777">
            <w:pPr>
              <w:tabs>
                <w:tab w:val="center" w:pos="284"/>
              </w:tabs>
              <w:ind w:left="266" w:hanging="266"/>
            </w:pPr>
            <w:r>
              <w:t>Konstantinos DIAMANTOUROS (groupe des employeurs — EL)</w:t>
            </w:r>
          </w:p>
        </w:tc>
      </w:tr>
      <w:tr w:rsidRPr="00A6689B" w:rsidR="006D1026" w:rsidTr="00581360" w14:paraId="10B0B6E6" w14:textId="77777777">
        <w:tc>
          <w:tcPr>
            <w:tcW w:w="1685" w:type="dxa"/>
          </w:tcPr>
          <w:p w:rsidR="006D1026" w:rsidP="00195CCE" w:rsidRDefault="006D1026" w14:paraId="7F6C52F5" w14:textId="27FBE01D">
            <w:pPr>
              <w:tabs>
                <w:tab w:val="center" w:pos="284"/>
              </w:tabs>
              <w:ind w:left="266" w:hanging="266"/>
              <w:rPr>
                <w:b/>
                <w:bCs/>
              </w:rPr>
            </w:pPr>
          </w:p>
        </w:tc>
        <w:tc>
          <w:tcPr>
            <w:tcW w:w="7070" w:type="dxa"/>
          </w:tcPr>
          <w:p w:rsidRPr="000A67D6" w:rsidR="006D1026" w:rsidP="00195CCE" w:rsidRDefault="006D1026" w14:paraId="79B78686" w14:textId="77777777">
            <w:pPr>
              <w:tabs>
                <w:tab w:val="center" w:pos="284"/>
              </w:tabs>
              <w:ind w:left="266" w:hanging="266"/>
            </w:pPr>
            <w:r>
              <w:t>Stefano PALMIERI (groupe des travailleurs — IT)</w:t>
            </w:r>
          </w:p>
        </w:tc>
      </w:tr>
      <w:tr w:rsidRPr="00A6689B" w:rsidR="006D1026" w:rsidTr="00581360" w14:paraId="551D1BAF" w14:textId="77777777">
        <w:tc>
          <w:tcPr>
            <w:tcW w:w="8755" w:type="dxa"/>
            <w:gridSpan w:val="2"/>
          </w:tcPr>
          <w:p w:rsidRPr="00A6689B" w:rsidR="006D1026" w:rsidP="00195CCE" w:rsidRDefault="006D1026" w14:paraId="66653E8A" w14:textId="77777777">
            <w:pPr>
              <w:tabs>
                <w:tab w:val="center" w:pos="284"/>
              </w:tabs>
              <w:spacing w:line="160" w:lineRule="exact"/>
              <w:ind w:left="266" w:hanging="266"/>
              <w:rPr>
                <w:lang w:val="en-US"/>
              </w:rPr>
            </w:pPr>
          </w:p>
        </w:tc>
      </w:tr>
      <w:tr w:rsidRPr="00A6689B" w:rsidR="006D1026" w:rsidTr="00581360" w14:paraId="3E715E92" w14:textId="77777777">
        <w:tc>
          <w:tcPr>
            <w:tcW w:w="1685" w:type="dxa"/>
            <w:vMerge w:val="restart"/>
          </w:tcPr>
          <w:p w:rsidRPr="00A6689B" w:rsidR="006D1026" w:rsidP="00195CCE" w:rsidRDefault="006D1026" w14:paraId="58BBE376" w14:textId="77777777">
            <w:pPr>
              <w:tabs>
                <w:tab w:val="center" w:pos="284"/>
              </w:tabs>
              <w:ind w:left="266" w:hanging="266"/>
              <w:rPr>
                <w:b/>
              </w:rPr>
            </w:pPr>
            <w:r>
              <w:rPr>
                <w:b/>
              </w:rPr>
              <w:t>Références</w:t>
            </w:r>
          </w:p>
        </w:tc>
        <w:tc>
          <w:tcPr>
            <w:tcW w:w="7070" w:type="dxa"/>
          </w:tcPr>
          <w:p w:rsidRPr="00A6689B" w:rsidR="006D1026" w:rsidP="00195CCE" w:rsidRDefault="006D1026" w14:paraId="3B120C5F" w14:textId="77777777">
            <w:pPr>
              <w:tabs>
                <w:tab w:val="center" w:pos="284"/>
              </w:tabs>
              <w:ind w:left="266" w:hanging="266"/>
            </w:pPr>
            <w:r>
              <w:t>COM(2023) 336 final</w:t>
            </w:r>
          </w:p>
        </w:tc>
      </w:tr>
      <w:tr w:rsidRPr="00A6689B" w:rsidR="006D1026" w:rsidTr="00581360" w14:paraId="413611D4" w14:textId="77777777">
        <w:tc>
          <w:tcPr>
            <w:tcW w:w="1685" w:type="dxa"/>
            <w:vMerge/>
          </w:tcPr>
          <w:p w:rsidR="006D1026" w:rsidP="00195CCE" w:rsidRDefault="006D1026" w14:paraId="1E45DA83" w14:textId="77777777">
            <w:pPr>
              <w:tabs>
                <w:tab w:val="center" w:pos="284"/>
              </w:tabs>
              <w:ind w:left="266" w:hanging="266"/>
              <w:rPr>
                <w:b/>
                <w:lang w:val="en-US"/>
              </w:rPr>
            </w:pPr>
          </w:p>
        </w:tc>
        <w:tc>
          <w:tcPr>
            <w:tcW w:w="7070" w:type="dxa"/>
          </w:tcPr>
          <w:p w:rsidRPr="000F5CCF" w:rsidR="006D1026" w:rsidP="00195CCE" w:rsidRDefault="006D1026" w14:paraId="78DC9466" w14:textId="38E29B19">
            <w:pPr>
              <w:tabs>
                <w:tab w:val="center" w:pos="284"/>
              </w:tabs>
              <w:ind w:left="266" w:hanging="266"/>
            </w:pPr>
            <w:r>
              <w:t>EESC-2023-03172-00-AC</w:t>
            </w:r>
          </w:p>
        </w:tc>
      </w:tr>
    </w:tbl>
    <w:p w:rsidR="00581360" w:rsidP="006D1026" w:rsidRDefault="00581360" w14:paraId="51D4571D" w14:textId="77777777">
      <w:pPr>
        <w:keepNext/>
        <w:keepLines/>
        <w:tabs>
          <w:tab w:val="center" w:pos="284"/>
        </w:tabs>
        <w:ind w:left="266" w:hanging="266"/>
        <w:rPr>
          <w:b/>
        </w:rPr>
      </w:pPr>
    </w:p>
    <w:p w:rsidRPr="00A6689B" w:rsidR="006D1026" w:rsidP="006D1026" w:rsidRDefault="006D1026" w14:paraId="5256C6C2" w14:textId="6379C701">
      <w:pPr>
        <w:keepNext/>
        <w:keepLines/>
        <w:tabs>
          <w:tab w:val="center" w:pos="284"/>
        </w:tabs>
        <w:ind w:left="266" w:hanging="266"/>
        <w:rPr>
          <w:b/>
        </w:rPr>
      </w:pPr>
      <w:r>
        <w:rPr>
          <w:b/>
        </w:rPr>
        <w:t>Points clés</w:t>
      </w:r>
    </w:p>
    <w:p w:rsidRPr="0099603E" w:rsidR="006D1026" w:rsidP="006D1026" w:rsidRDefault="006D1026" w14:paraId="6613EB06" w14:textId="77777777">
      <w:pPr>
        <w:keepNext/>
        <w:keepLines/>
        <w:tabs>
          <w:tab w:val="center" w:pos="284"/>
        </w:tabs>
        <w:ind w:left="266" w:hanging="266"/>
        <w:rPr>
          <w:b/>
          <w:sz w:val="16"/>
          <w:szCs w:val="16"/>
        </w:rPr>
      </w:pPr>
    </w:p>
    <w:p w:rsidR="006D1026" w:rsidP="006D1026" w:rsidRDefault="006D1026" w14:paraId="252C2A43" w14:textId="57F9AC06">
      <w:r>
        <w:t>Le CESE:</w:t>
      </w:r>
    </w:p>
    <w:p w:rsidRPr="00B04763" w:rsidR="006D1026" w:rsidP="0048572F" w:rsidRDefault="006D1026" w14:paraId="2A5E0117" w14:textId="77777777">
      <w:pPr>
        <w:pStyle w:val="ListParagraph"/>
        <w:numPr>
          <w:ilvl w:val="0"/>
          <w:numId w:val="20"/>
        </w:numPr>
        <w:spacing w:after="200" w:line="276" w:lineRule="auto"/>
        <w:rPr>
          <w:color w:val="000000" w:themeColor="text1"/>
        </w:rPr>
      </w:pPr>
      <w:r>
        <w:rPr>
          <w:color w:val="000000" w:themeColor="text1"/>
        </w:rPr>
        <w:t>tient le cadre financier pluriannuel (CFP) pour un instrument important afin de financer les programmes et les mesures dans l’ensemble des domaines d’action politique conformément aux priorités à long terme de l’Union européenne;</w:t>
      </w:r>
    </w:p>
    <w:p w:rsidRPr="00B04763" w:rsidR="006D1026" w:rsidP="0048572F" w:rsidRDefault="006D1026" w14:paraId="735CA465" w14:textId="77777777">
      <w:pPr>
        <w:pStyle w:val="ListParagraph"/>
        <w:numPr>
          <w:ilvl w:val="0"/>
          <w:numId w:val="20"/>
        </w:numPr>
        <w:spacing w:after="200" w:line="276" w:lineRule="auto"/>
        <w:rPr>
          <w:color w:val="000000" w:themeColor="text1"/>
        </w:rPr>
      </w:pPr>
      <w:r>
        <w:rPr>
          <w:color w:val="000000" w:themeColor="text1"/>
        </w:rPr>
        <w:t>convient sans réserve de la nécessité et de l’urgence de parvenir à s’accorder promptement sur la révision à mi-parcours du cadre financier pluriannuel 2021‑2027, en partant des principes suivants:</w:t>
      </w:r>
    </w:p>
    <w:p w:rsidRPr="00B04763" w:rsidR="006D1026" w:rsidP="0048572F" w:rsidRDefault="006D1026" w14:paraId="441BBD1D" w14:textId="77777777">
      <w:pPr>
        <w:pStyle w:val="ListParagraph"/>
        <w:numPr>
          <w:ilvl w:val="0"/>
          <w:numId w:val="20"/>
        </w:numPr>
        <w:spacing w:after="200" w:line="276" w:lineRule="auto"/>
        <w:ind w:left="851"/>
        <w:rPr>
          <w:color w:val="000000" w:themeColor="text1"/>
        </w:rPr>
      </w:pPr>
      <w:r>
        <w:rPr>
          <w:color w:val="000000" w:themeColor="text1"/>
        </w:rPr>
        <w:lastRenderedPageBreak/>
        <w:t>fournir un soutien continu à l’Ukraine, en procurant à ce pays les financements dont il a besoin pour se reconstruire et pour rencontrer les obligations qui découlent de son cheminement vers l’adhésion à l’Union européenne;</w:t>
      </w:r>
    </w:p>
    <w:p w:rsidRPr="00B04763" w:rsidR="006D1026" w:rsidP="0048572F" w:rsidRDefault="006D1026" w14:paraId="7732D647" w14:textId="77777777">
      <w:pPr>
        <w:pStyle w:val="ListParagraph"/>
        <w:numPr>
          <w:ilvl w:val="0"/>
          <w:numId w:val="20"/>
        </w:numPr>
        <w:spacing w:after="200" w:line="276" w:lineRule="auto"/>
        <w:ind w:left="851"/>
        <w:rPr>
          <w:color w:val="000000" w:themeColor="text1"/>
        </w:rPr>
      </w:pPr>
      <w:r>
        <w:rPr>
          <w:color w:val="000000" w:themeColor="text1"/>
        </w:rPr>
        <w:t>doter l’Union européenne des moyens financiers dont elle a besoin pour accomplir ses priorités politiques dans des domaines tels que les transitions écologique et numérique, la migration, la santé, le socle européen des droits sociaux et la relance de l’économie;</w:t>
      </w:r>
    </w:p>
    <w:p w:rsidRPr="00B04763" w:rsidR="006D1026" w:rsidP="0048572F" w:rsidRDefault="006D1026" w14:paraId="74534C57" w14:textId="77777777">
      <w:pPr>
        <w:pStyle w:val="ListParagraph"/>
        <w:numPr>
          <w:ilvl w:val="0"/>
          <w:numId w:val="20"/>
        </w:numPr>
        <w:spacing w:after="200" w:line="276" w:lineRule="auto"/>
        <w:ind w:left="851"/>
        <w:rPr>
          <w:color w:val="000000" w:themeColor="text1"/>
        </w:rPr>
      </w:pPr>
      <w:r>
        <w:rPr>
          <w:color w:val="000000" w:themeColor="text1"/>
        </w:rPr>
        <w:t>faire valoir l’état de droit aussi bien au sein des États membres de l’Union que dans le processus de reconstruction de l’Ukraine, en subordonnant les financements à des conditions liées aux réformes;</w:t>
      </w:r>
    </w:p>
    <w:p w:rsidRPr="00B04763" w:rsidR="006D1026" w:rsidP="0048572F" w:rsidRDefault="006D1026" w14:paraId="3AA48AD6" w14:textId="77777777">
      <w:pPr>
        <w:pStyle w:val="ListParagraph"/>
        <w:numPr>
          <w:ilvl w:val="0"/>
          <w:numId w:val="20"/>
        </w:numPr>
        <w:spacing w:after="200" w:line="276" w:lineRule="auto"/>
        <w:ind w:left="851"/>
        <w:rPr>
          <w:color w:val="000000" w:themeColor="text1"/>
        </w:rPr>
      </w:pPr>
      <w:r>
        <w:rPr>
          <w:color w:val="000000" w:themeColor="text1"/>
        </w:rPr>
        <w:t>mettre en place des mesures efficaces de suivi afin de surveiller la mise en œuvre des programmes, en prévoyant d’associer les organisations de la société civile à ce processus;</w:t>
      </w:r>
    </w:p>
    <w:p w:rsidRPr="00B04763" w:rsidR="006D1026" w:rsidP="0048572F" w:rsidRDefault="006D1026" w14:paraId="556EF681" w14:textId="77777777">
      <w:pPr>
        <w:pStyle w:val="ListParagraph"/>
        <w:numPr>
          <w:ilvl w:val="0"/>
          <w:numId w:val="20"/>
        </w:numPr>
        <w:spacing w:after="200" w:line="276" w:lineRule="auto"/>
        <w:ind w:left="851"/>
        <w:rPr>
          <w:color w:val="000000" w:themeColor="text1"/>
        </w:rPr>
      </w:pPr>
      <w:r>
        <w:rPr>
          <w:color w:val="000000" w:themeColor="text1"/>
        </w:rPr>
        <w:t>associer largement la société civile à la conception, à la planification et à la mise en œuvre du programme touchant au CFP;</w:t>
      </w:r>
    </w:p>
    <w:p w:rsidRPr="00B04763" w:rsidR="006D1026" w:rsidP="0048572F" w:rsidRDefault="006D1026" w14:paraId="1CF386A3" w14:textId="77777777">
      <w:pPr>
        <w:pStyle w:val="ListParagraph"/>
        <w:numPr>
          <w:ilvl w:val="0"/>
          <w:numId w:val="20"/>
        </w:numPr>
        <w:spacing w:after="200" w:line="276" w:lineRule="auto"/>
        <w:rPr>
          <w:color w:val="000000" w:themeColor="text1"/>
        </w:rPr>
      </w:pPr>
      <w:r>
        <w:rPr>
          <w:color w:val="000000" w:themeColor="text1"/>
        </w:rPr>
        <w:t>considère que la révision propose des modifications d’une portée limitée, qui témoignent d’un manque d’ambition et qui ne reviennent qu’à rapiécer le cadre financier. En outre, cette révision est complètement déconnectée des travaux que mène la Commission européenne en matière de prospective stratégique;</w:t>
      </w:r>
    </w:p>
    <w:p w:rsidRPr="00B04763" w:rsidR="006D1026" w:rsidP="0048572F" w:rsidRDefault="006D1026" w14:paraId="4580D18A" w14:textId="77777777">
      <w:pPr>
        <w:pStyle w:val="ListParagraph"/>
        <w:numPr>
          <w:ilvl w:val="0"/>
          <w:numId w:val="20"/>
        </w:numPr>
        <w:spacing w:after="200" w:line="276" w:lineRule="auto"/>
        <w:rPr>
          <w:color w:val="000000" w:themeColor="text1"/>
        </w:rPr>
      </w:pPr>
      <w:r>
        <w:rPr>
          <w:color w:val="000000" w:themeColor="text1"/>
        </w:rPr>
        <w:t>considère que la révision ne traite pas des effets d’un budget contraint sur l’emploi et sur les entreprises ni de l’amoindrissement du pouvoir d’achat du CFP en raison d’une inflation élevée. Des problèmes essentiels sont également omis, tels que le vieillissement de la société et les mutations démographiques de l’Europe; le CESE estime de plus que le CFP devrait mieux traduire l’ensemble des principales priorités de l’Union européenne;</w:t>
      </w:r>
    </w:p>
    <w:p w:rsidRPr="00B04763" w:rsidR="006D1026" w:rsidP="0048572F" w:rsidRDefault="006D1026" w14:paraId="79F3690E" w14:textId="77777777">
      <w:pPr>
        <w:pStyle w:val="ListParagraph"/>
        <w:numPr>
          <w:ilvl w:val="0"/>
          <w:numId w:val="20"/>
        </w:numPr>
        <w:spacing w:after="200" w:line="276" w:lineRule="auto"/>
        <w:rPr>
          <w:color w:val="000000" w:themeColor="text1"/>
        </w:rPr>
      </w:pPr>
      <w:r>
        <w:rPr>
          <w:color w:val="000000" w:themeColor="text1"/>
        </w:rPr>
        <w:t>estime que le programme proposé concernant la plateforme «Technologies stratégiques pour l’Europe» (STEP) revêt une ampleur et une portée bien trop restreintes par rapport à des initiatives similaires lancées dans d’autres pays;</w:t>
      </w:r>
    </w:p>
    <w:p w:rsidR="006D1026" w:rsidP="0048572F" w:rsidRDefault="006D1026" w14:paraId="0A123AB2" w14:textId="77777777">
      <w:pPr>
        <w:pStyle w:val="ListParagraph"/>
        <w:numPr>
          <w:ilvl w:val="0"/>
          <w:numId w:val="20"/>
        </w:numPr>
        <w:spacing w:after="200" w:line="276" w:lineRule="auto"/>
        <w:rPr>
          <w:color w:val="000000" w:themeColor="text1"/>
        </w:rPr>
      </w:pPr>
      <w:r>
        <w:rPr>
          <w:color w:val="000000" w:themeColor="text1"/>
        </w:rPr>
        <w:t>recommande d’adopter des stratégies à long terme, et notamment de créer un cadre budgétaire soutenable qui réduit au minimum l’exposition aux taux d’intérêt, d’allouer plus efficacement les ressources administratives et d’incorporer des mesures préventives en cas d’événements imprévus;</w:t>
      </w:r>
    </w:p>
    <w:p w:rsidRPr="00B04763" w:rsidR="006D1026" w:rsidP="0048572F" w:rsidRDefault="006D1026" w14:paraId="786274D6" w14:textId="77777777">
      <w:pPr>
        <w:pStyle w:val="ListParagraph"/>
        <w:numPr>
          <w:ilvl w:val="0"/>
          <w:numId w:val="20"/>
        </w:numPr>
        <w:spacing w:after="200" w:line="276" w:lineRule="auto"/>
        <w:rPr>
          <w:color w:val="000000" w:themeColor="text1"/>
        </w:rPr>
      </w:pPr>
      <w:r>
        <w:rPr>
          <w:color w:val="000000" w:themeColor="text1"/>
        </w:rPr>
        <w:t>demande également de réviser le cadre de comptabilisation des plafonds de dépenses, de s’attacher prioritairement aux recettes, qui croissent à concurrence du taux d’inflation actuel tandis que les dépenses augmentent selon un rythme fixé à long terme à 2 %.</w:t>
      </w:r>
    </w:p>
    <w:p w:rsidRPr="0099603E" w:rsidR="006D1026" w:rsidP="006D1026" w:rsidRDefault="006D1026" w14:paraId="74291C17" w14:textId="77777777">
      <w:pPr>
        <w:pStyle w:val="ListParagraph"/>
        <w:ind w:left="567"/>
        <w:rPr>
          <w:color w:val="000000" w:themeColor="text1"/>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6689B" w:rsidR="006D1026" w:rsidTr="00195CCE" w14:paraId="064DF707" w14:textId="77777777">
        <w:tc>
          <w:tcPr>
            <w:tcW w:w="1418" w:type="dxa"/>
          </w:tcPr>
          <w:p w:rsidRPr="00A6689B" w:rsidR="006D1026" w:rsidP="00195CCE" w:rsidRDefault="006D1026" w14:paraId="6827A35A" w14:textId="77777777">
            <w:pPr>
              <w:spacing w:line="240" w:lineRule="auto"/>
              <w:rPr>
                <w:i/>
              </w:rPr>
            </w:pPr>
            <w:r>
              <w:rPr>
                <w:b/>
                <w:i/>
              </w:rPr>
              <w:t>Contact</w:t>
            </w:r>
          </w:p>
        </w:tc>
        <w:tc>
          <w:tcPr>
            <w:tcW w:w="5670" w:type="dxa"/>
          </w:tcPr>
          <w:p w:rsidRPr="00A6689B" w:rsidR="006D1026" w:rsidP="00195CCE" w:rsidRDefault="006D1026" w14:paraId="53B29D6B" w14:textId="33BB973A">
            <w:pPr>
              <w:spacing w:line="240" w:lineRule="auto"/>
              <w:rPr>
                <w:i/>
              </w:rPr>
            </w:pPr>
            <w:r>
              <w:rPr>
                <w:i/>
              </w:rPr>
              <w:t xml:space="preserve">Gerald </w:t>
            </w:r>
            <w:r w:rsidR="00581360">
              <w:rPr>
                <w:i/>
              </w:rPr>
              <w:t xml:space="preserve">KLEC </w:t>
            </w:r>
          </w:p>
        </w:tc>
      </w:tr>
      <w:tr w:rsidRPr="00A6689B" w:rsidR="006D1026" w:rsidTr="00195CCE" w14:paraId="16DE54C7" w14:textId="77777777">
        <w:tc>
          <w:tcPr>
            <w:tcW w:w="1418" w:type="dxa"/>
          </w:tcPr>
          <w:p w:rsidRPr="00A6689B" w:rsidR="006D1026" w:rsidP="00195CCE" w:rsidRDefault="006D1026" w14:paraId="780A8342" w14:textId="77777777">
            <w:pPr>
              <w:spacing w:line="240" w:lineRule="auto"/>
              <w:rPr>
                <w:i/>
              </w:rPr>
            </w:pPr>
            <w:r>
              <w:rPr>
                <w:i/>
              </w:rPr>
              <w:t>Tél.</w:t>
            </w:r>
          </w:p>
        </w:tc>
        <w:tc>
          <w:tcPr>
            <w:tcW w:w="5670" w:type="dxa"/>
          </w:tcPr>
          <w:p w:rsidRPr="00A6689B" w:rsidR="006D1026" w:rsidP="00195CCE" w:rsidRDefault="006D1026" w14:paraId="465A7243" w14:textId="77777777">
            <w:pPr>
              <w:spacing w:line="240" w:lineRule="auto"/>
              <w:rPr>
                <w:i/>
              </w:rPr>
            </w:pPr>
            <w:r>
              <w:rPr>
                <w:i/>
              </w:rPr>
              <w:t>+32 2 546 99 09</w:t>
            </w:r>
          </w:p>
        </w:tc>
      </w:tr>
      <w:tr w:rsidRPr="00A6689B" w:rsidR="006D1026" w:rsidTr="00195CCE" w14:paraId="2FBE4458" w14:textId="77777777">
        <w:tc>
          <w:tcPr>
            <w:tcW w:w="1418" w:type="dxa"/>
          </w:tcPr>
          <w:p w:rsidRPr="00A6689B" w:rsidR="006D1026" w:rsidP="00195CCE" w:rsidRDefault="006D1026" w14:paraId="6A670100" w14:textId="77777777">
            <w:pPr>
              <w:spacing w:line="240" w:lineRule="auto"/>
              <w:rPr>
                <w:i/>
              </w:rPr>
            </w:pPr>
            <w:r>
              <w:rPr>
                <w:i/>
              </w:rPr>
              <w:t>Courriel</w:t>
            </w:r>
          </w:p>
        </w:tc>
        <w:tc>
          <w:tcPr>
            <w:tcW w:w="5670" w:type="dxa"/>
          </w:tcPr>
          <w:p w:rsidRPr="006B38AB" w:rsidR="006D1026" w:rsidP="00195CCE" w:rsidRDefault="006F4895" w14:paraId="0C9E4B5F" w14:textId="77777777">
            <w:pPr>
              <w:spacing w:line="240" w:lineRule="auto"/>
            </w:pPr>
            <w:hyperlink w:history="1" r:id="rId24">
              <w:r w:rsidR="006D1026">
                <w:rPr>
                  <w:rStyle w:val="Hyperlink"/>
                </w:rPr>
                <w:t>Gerald.Klec@eesc.europa.eu</w:t>
              </w:r>
            </w:hyperlink>
          </w:p>
        </w:tc>
      </w:tr>
    </w:tbl>
    <w:p w:rsidR="006D1026" w:rsidP="006D1026" w:rsidRDefault="006D1026" w14:paraId="3150ACBA" w14:textId="7827E7D8">
      <w:pPr>
        <w:jc w:val="center"/>
        <w:rPr>
          <w:sz w:val="16"/>
          <w:szCs w:val="16"/>
        </w:rPr>
      </w:pPr>
    </w:p>
    <w:p w:rsidRPr="0099603E" w:rsidR="00B95A48" w:rsidP="006D1026" w:rsidRDefault="00B95A48" w14:paraId="6CE4EFAC" w14:textId="77777777">
      <w:pPr>
        <w:jc w:val="center"/>
        <w:rPr>
          <w:sz w:val="16"/>
          <w:szCs w:val="16"/>
        </w:rPr>
      </w:pPr>
    </w:p>
    <w:p w:rsidRPr="00F01B38" w:rsidR="006D1026" w:rsidP="004136D5" w:rsidRDefault="006F4895" w14:paraId="7F579F5C" w14:textId="734BA19C">
      <w:pPr>
        <w:pStyle w:val="ListParagraph"/>
        <w:keepNext/>
        <w:widowControl w:val="0"/>
        <w:numPr>
          <w:ilvl w:val="0"/>
          <w:numId w:val="5"/>
        </w:numPr>
        <w:spacing w:line="276" w:lineRule="auto"/>
        <w:ind w:left="426" w:hanging="426"/>
        <w:rPr>
          <w:rStyle w:val="Hyperlink"/>
          <w:b/>
        </w:rPr>
      </w:pPr>
      <w:hyperlink w:history="1" r:id="rId25">
        <w:r w:rsidR="006D1026">
          <w:rPr>
            <w:rStyle w:val="Hyperlink"/>
            <w:b/>
            <w:i/>
            <w:sz w:val="28"/>
          </w:rPr>
          <w:t>Évaluation à mi-parcours de la facilité pour la reprise et la résilience (FRR)</w:t>
        </w:r>
      </w:hyperlink>
    </w:p>
    <w:p w:rsidRPr="00C00791" w:rsidR="006D1026" w:rsidP="004136D5" w:rsidRDefault="006D1026" w14:paraId="5F897C4A" w14:textId="77777777">
      <w:pPr>
        <w:pStyle w:val="ListParagraph"/>
        <w:keepNext/>
        <w:widowControl w:val="0"/>
        <w:spacing w:line="276" w:lineRule="auto"/>
        <w:ind w:left="142"/>
        <w:jc w:val="left"/>
        <w:rPr>
          <w:rStyle w:val="Hyperlink"/>
          <w:b/>
        </w:rPr>
      </w:pPr>
    </w:p>
    <w:tbl>
      <w:tblPr>
        <w:tblStyle w:val="TableGrid"/>
        <w:tblW w:w="88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6946"/>
      </w:tblGrid>
      <w:tr w:rsidRPr="00C00791" w:rsidR="006D1026" w:rsidTr="00581360" w14:paraId="674482E4" w14:textId="77777777">
        <w:tc>
          <w:tcPr>
            <w:tcW w:w="1951" w:type="dxa"/>
          </w:tcPr>
          <w:p w:rsidRPr="00C00791" w:rsidR="006D1026" w:rsidP="004136D5" w:rsidRDefault="006D1026" w14:paraId="0912CA35" w14:textId="77777777">
            <w:pPr>
              <w:pStyle w:val="ListParagraph"/>
              <w:keepNext/>
              <w:widowControl w:val="0"/>
              <w:spacing w:line="276" w:lineRule="auto"/>
              <w:ind w:left="142"/>
              <w:jc w:val="left"/>
              <w:rPr>
                <w:b/>
                <w:bCs/>
                <w:iCs/>
                <w:noProof/>
              </w:rPr>
            </w:pPr>
            <w:proofErr w:type="spellStart"/>
            <w:r>
              <w:rPr>
                <w:b/>
              </w:rPr>
              <w:t>Rapporteure</w:t>
            </w:r>
            <w:proofErr w:type="spellEnd"/>
          </w:p>
        </w:tc>
        <w:tc>
          <w:tcPr>
            <w:tcW w:w="6946" w:type="dxa"/>
          </w:tcPr>
          <w:p w:rsidR="00581360" w:rsidP="004136D5" w:rsidRDefault="006D1026" w14:paraId="60923381" w14:textId="77777777">
            <w:pPr>
              <w:pStyle w:val="ListParagraph"/>
              <w:keepNext/>
              <w:widowControl w:val="0"/>
              <w:spacing w:line="276" w:lineRule="auto"/>
              <w:ind w:left="0" w:right="-1380"/>
            </w:pPr>
            <w:r>
              <w:t xml:space="preserve">Elena-Alexandra CALISTRU (groupe des organisations de la société civile </w:t>
            </w:r>
          </w:p>
          <w:p w:rsidRPr="00C00791" w:rsidR="006D1026" w:rsidP="004136D5" w:rsidRDefault="0048572F" w14:paraId="39896716" w14:textId="3960127F">
            <w:pPr>
              <w:pStyle w:val="ListParagraph"/>
              <w:keepNext/>
              <w:widowControl w:val="0"/>
              <w:spacing w:line="276" w:lineRule="auto"/>
              <w:ind w:left="0" w:right="-1380"/>
              <w:jc w:val="left"/>
              <w:rPr>
                <w:bCs/>
                <w:iCs/>
                <w:noProof/>
              </w:rPr>
            </w:pPr>
            <w:r>
              <w:t xml:space="preserve">— </w:t>
            </w:r>
            <w:r w:rsidR="006D1026">
              <w:t xml:space="preserve">RO) </w:t>
            </w:r>
          </w:p>
        </w:tc>
      </w:tr>
      <w:tr w:rsidRPr="00C00791" w:rsidR="006D1026" w:rsidTr="00581360" w14:paraId="61C7320B" w14:textId="77777777">
        <w:tc>
          <w:tcPr>
            <w:tcW w:w="1951" w:type="dxa"/>
          </w:tcPr>
          <w:p w:rsidRPr="00C00791" w:rsidR="006D1026" w:rsidP="004136D5" w:rsidRDefault="006D1026" w14:paraId="4A5E651B" w14:textId="77777777">
            <w:pPr>
              <w:pStyle w:val="ListParagraph"/>
              <w:keepNext/>
              <w:widowControl w:val="0"/>
              <w:spacing w:line="276" w:lineRule="auto"/>
              <w:ind w:left="142" w:right="-253"/>
              <w:jc w:val="left"/>
              <w:rPr>
                <w:b/>
                <w:bCs/>
                <w:iCs/>
                <w:noProof/>
              </w:rPr>
            </w:pPr>
            <w:r>
              <w:rPr>
                <w:b/>
              </w:rPr>
              <w:t>Corapporteur</w:t>
            </w:r>
          </w:p>
        </w:tc>
        <w:tc>
          <w:tcPr>
            <w:tcW w:w="6946" w:type="dxa"/>
          </w:tcPr>
          <w:p w:rsidRPr="00C00791" w:rsidR="006D1026" w:rsidP="004136D5" w:rsidRDefault="006D1026" w14:paraId="22599573" w14:textId="77777777">
            <w:pPr>
              <w:pStyle w:val="ListParagraph"/>
              <w:keepNext/>
              <w:widowControl w:val="0"/>
              <w:spacing w:line="276" w:lineRule="auto"/>
              <w:ind w:left="0"/>
              <w:jc w:val="left"/>
              <w:rPr>
                <w:bCs/>
                <w:iCs/>
                <w:noProof/>
              </w:rPr>
            </w:pPr>
            <w:r>
              <w:t>Javier DOZ ORRIT (groupe des travailleurs — ES)</w:t>
            </w:r>
          </w:p>
        </w:tc>
      </w:tr>
      <w:tr w:rsidRPr="00A6689B" w:rsidR="006D1026" w:rsidTr="00581360" w14:paraId="04C7A052" w14:textId="77777777">
        <w:tc>
          <w:tcPr>
            <w:tcW w:w="1951" w:type="dxa"/>
          </w:tcPr>
          <w:p w:rsidRPr="00C00791" w:rsidR="006D1026" w:rsidP="004136D5" w:rsidRDefault="006D1026" w14:paraId="31D7C4F6" w14:textId="77777777">
            <w:pPr>
              <w:keepNext/>
              <w:tabs>
                <w:tab w:val="center" w:pos="176"/>
              </w:tabs>
              <w:ind w:left="266" w:hanging="90"/>
              <w:rPr>
                <w:b/>
              </w:rPr>
            </w:pPr>
            <w:r>
              <w:rPr>
                <w:b/>
              </w:rPr>
              <w:t>Référence</w:t>
            </w:r>
          </w:p>
        </w:tc>
        <w:tc>
          <w:tcPr>
            <w:tcW w:w="6946" w:type="dxa"/>
          </w:tcPr>
          <w:p w:rsidRPr="00C00791" w:rsidR="006D1026" w:rsidP="004136D5" w:rsidRDefault="006D1026" w14:paraId="3DABD999" w14:textId="7CAAFE3B">
            <w:pPr>
              <w:keepNext/>
              <w:tabs>
                <w:tab w:val="center" w:pos="284"/>
              </w:tabs>
              <w:ind w:left="266" w:hanging="266"/>
            </w:pPr>
            <w:r>
              <w:t>Rapport d’évaluation — EESC-2023-00508-00-00-RE</w:t>
            </w:r>
          </w:p>
        </w:tc>
      </w:tr>
    </w:tbl>
    <w:p w:rsidR="006D1026" w:rsidP="004136D5" w:rsidRDefault="006D1026" w14:paraId="795E262E" w14:textId="77777777">
      <w:pPr>
        <w:keepNext/>
        <w:keepLines/>
        <w:tabs>
          <w:tab w:val="center" w:pos="284"/>
        </w:tabs>
        <w:ind w:left="266" w:hanging="266"/>
        <w:rPr>
          <w:b/>
        </w:rPr>
      </w:pPr>
    </w:p>
    <w:p w:rsidR="006D1026" w:rsidP="004136D5" w:rsidRDefault="006D1026" w14:paraId="2BEB9BFD" w14:textId="3971863B">
      <w:pPr>
        <w:keepNext/>
        <w:keepLines/>
        <w:tabs>
          <w:tab w:val="center" w:pos="284"/>
        </w:tabs>
        <w:ind w:left="266" w:hanging="266"/>
        <w:rPr>
          <w:b/>
        </w:rPr>
      </w:pPr>
      <w:r>
        <w:rPr>
          <w:b/>
        </w:rPr>
        <w:t>Points clés</w:t>
      </w:r>
    </w:p>
    <w:p w:rsidRPr="002C62A6" w:rsidR="004136D5" w:rsidP="004136D5" w:rsidRDefault="004136D5" w14:paraId="53375442" w14:textId="77777777">
      <w:pPr>
        <w:keepNext/>
        <w:keepLines/>
        <w:tabs>
          <w:tab w:val="center" w:pos="284"/>
        </w:tabs>
        <w:ind w:left="266" w:hanging="266"/>
        <w:rPr>
          <w:b/>
        </w:rPr>
      </w:pPr>
    </w:p>
    <w:p w:rsidR="006D1026" w:rsidP="004136D5" w:rsidRDefault="006D1026" w14:paraId="08CBF455" w14:textId="0EC67182">
      <w:pPr>
        <w:keepNext/>
        <w:keepLines/>
      </w:pPr>
      <w:r>
        <w:t>Le CESE:</w:t>
      </w:r>
    </w:p>
    <w:p w:rsidR="006D1026" w:rsidP="00581360" w:rsidRDefault="006D1026" w14:paraId="136915EE" w14:textId="77777777">
      <w:pPr>
        <w:pStyle w:val="ListParagraph"/>
        <w:keepNext/>
        <w:keepLines/>
        <w:numPr>
          <w:ilvl w:val="0"/>
          <w:numId w:val="8"/>
        </w:numPr>
      </w:pPr>
      <w:r>
        <w:t>affirme qu’il faut améliorer la mise en œuvre des réformes de la FRR dans chaque pays. Cet objectif pourrait être atteint en fournissant des lignes directrices plus claires, en facilitant la collaboration entre les parties prenantes et en s’attaquant aux obstacles et difficultés rencontrés dans les différents secteurs;</w:t>
      </w:r>
    </w:p>
    <w:p w:rsidR="006D1026" w:rsidP="00426D38" w:rsidRDefault="006D1026" w14:paraId="417B1604" w14:textId="77777777">
      <w:pPr>
        <w:pStyle w:val="ListParagraph"/>
        <w:numPr>
          <w:ilvl w:val="0"/>
          <w:numId w:val="8"/>
        </w:numPr>
      </w:pPr>
      <w:r>
        <w:t>invite la Commission européenne et les gouvernements nationaux à veiller au respect du règlement FRR en ce qui concerne la participation de la société civile organisée à la phase de mise en œuvre des plans pour la reprise et la résilience (PRR) au moyen de processus de consultation officiels, structurés et permanents;</w:t>
      </w:r>
    </w:p>
    <w:p w:rsidR="006D1026" w:rsidP="00426D38" w:rsidRDefault="006D1026" w14:paraId="2A086707" w14:textId="77777777">
      <w:pPr>
        <w:pStyle w:val="ListParagraph"/>
        <w:numPr>
          <w:ilvl w:val="0"/>
          <w:numId w:val="8"/>
        </w:numPr>
      </w:pPr>
      <w:r>
        <w:t>concernant le flux d’informations, souligne que la mise en œuvre des PRR par les différents bénéficiaires intermédiaires et finaux doit faire l’objet d’informations plus détaillées, opportunes et harmonisées, précisant à tout le moins le montant total de chaque contrat, sa portée et son échéance. En outre, les institutions responsables devraient fournir des mises à jour plus claires et régulières sur l’état d’avancement de la mise en œuvre, la réalisation des jalons, les objectifs et le décaissement des fonds;</w:t>
      </w:r>
    </w:p>
    <w:p w:rsidR="006D1026" w:rsidP="00426D38" w:rsidRDefault="006D1026" w14:paraId="1F654DA3" w14:textId="77777777">
      <w:pPr>
        <w:pStyle w:val="ListParagraph"/>
        <w:numPr>
          <w:ilvl w:val="0"/>
          <w:numId w:val="8"/>
        </w:numPr>
      </w:pPr>
      <w:r>
        <w:t>insiste sur le fait que la lenteur de la mise en œuvre des projets, en particulier dans certains secteurs, doit être abordée sans tarder, et invite dès lors la Commission et les gouvernements nationaux à prendre des mesures pour rationaliser les processus, réduire la bureaucratie et fournir le soutien nécessaire pour garantir une mise en œuvre rapide et efficace des projets;</w:t>
      </w:r>
    </w:p>
    <w:p w:rsidR="006D1026" w:rsidP="00426D38" w:rsidRDefault="006D1026" w14:paraId="0C6034BE" w14:textId="77777777">
      <w:pPr>
        <w:pStyle w:val="ListParagraph"/>
        <w:numPr>
          <w:ilvl w:val="0"/>
          <w:numId w:val="8"/>
        </w:numPr>
      </w:pPr>
      <w:r>
        <w:t>fait observer que des mesures devraient être prises pour simplifier les procédures, réduire les contraintes administratives et fournir un soutien ciblé aux PME pour leur permettre de bénéficier de la FRR;</w:t>
      </w:r>
    </w:p>
    <w:p w:rsidR="006D1026" w:rsidP="00426D38" w:rsidRDefault="006D1026" w14:paraId="61D41E49" w14:textId="77777777">
      <w:pPr>
        <w:pStyle w:val="ListParagraph"/>
        <w:numPr>
          <w:ilvl w:val="0"/>
          <w:numId w:val="8"/>
        </w:numPr>
      </w:pPr>
      <w:r>
        <w:t xml:space="preserve">demande une plus grande flexibilité quant à la sélection des projets, à l’allocation des fonds et au calendrier, pour pouvoir répondre aux circonstances qui évoluent et aux besoins qui se font jour, ainsi qu’une meilleure coordination entre la FRR et d’autres instruments d’investissement européens tels que les fonds structurels et de cohésion et le programme </w:t>
      </w:r>
      <w:proofErr w:type="spellStart"/>
      <w:r>
        <w:t>InvestEU</w:t>
      </w:r>
      <w:proofErr w:type="spellEnd"/>
      <w:r>
        <w:t>;</w:t>
      </w:r>
    </w:p>
    <w:p w:rsidR="006D1026" w:rsidP="00426D38" w:rsidRDefault="006D1026" w14:paraId="219AB861" w14:textId="77777777">
      <w:pPr>
        <w:pStyle w:val="ListParagraph"/>
        <w:numPr>
          <w:ilvl w:val="0"/>
          <w:numId w:val="8"/>
        </w:numPr>
      </w:pPr>
      <w:r>
        <w:t>souligne l’appel lancé par la société civile organisée pour que la période de mise en œuvre soit prolongée du temps nécessaire à l’utilisation de tous les fonds;</w:t>
      </w:r>
    </w:p>
    <w:p w:rsidR="006D1026" w:rsidP="00426D38" w:rsidRDefault="006D1026" w14:paraId="47A01D41" w14:textId="77777777">
      <w:pPr>
        <w:pStyle w:val="ListParagraph"/>
        <w:numPr>
          <w:ilvl w:val="0"/>
          <w:numId w:val="8"/>
        </w:numPr>
      </w:pPr>
      <w:r>
        <w:t>souligne qu’il importe de mettre en place des mécanismes de suivi et d’évaluation plus efficaces afin de jauger la durabilité et l’impact à long terme de la FRR, auxquels la société civile organisée doit être associée;</w:t>
      </w:r>
    </w:p>
    <w:p w:rsidRPr="00282861" w:rsidR="006D1026" w:rsidP="00426D38" w:rsidRDefault="006D1026" w14:paraId="648F3368" w14:textId="77777777">
      <w:pPr>
        <w:pStyle w:val="ListParagraph"/>
        <w:numPr>
          <w:ilvl w:val="0"/>
          <w:numId w:val="8"/>
        </w:numPr>
      </w:pPr>
      <w:r>
        <w:t>fait valoir qu’il devrait exister une obligation de mettre en place un comité de suivi (ou des organes similaires) ou d’associer ceux déjà établis dans d’autres domaines, à l’instar d’autres programmes liés au versement de fonds de l’Union.</w:t>
      </w:r>
    </w:p>
    <w:p w:rsidRPr="00C5117D" w:rsidR="006D1026" w:rsidP="006D1026" w:rsidRDefault="006D1026" w14:paraId="64B41317" w14:textId="77777777">
      <w:pPr>
        <w:pStyle w:val="ListParagraph"/>
        <w:ind w:left="567"/>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2C62A6" w:rsidR="006D1026" w:rsidTr="00195CCE" w14:paraId="04B151D6" w14:textId="77777777">
        <w:tc>
          <w:tcPr>
            <w:tcW w:w="1418" w:type="dxa"/>
          </w:tcPr>
          <w:p w:rsidRPr="002C62A6" w:rsidR="006D1026" w:rsidP="00195CCE" w:rsidRDefault="006D1026" w14:paraId="6B4D524A" w14:textId="77777777">
            <w:pPr>
              <w:rPr>
                <w:i/>
              </w:rPr>
            </w:pPr>
            <w:r>
              <w:rPr>
                <w:b/>
                <w:i/>
              </w:rPr>
              <w:t>Contact</w:t>
            </w:r>
          </w:p>
        </w:tc>
        <w:tc>
          <w:tcPr>
            <w:tcW w:w="5670" w:type="dxa"/>
          </w:tcPr>
          <w:p w:rsidRPr="004136D5" w:rsidR="006D1026" w:rsidP="00195CCE" w:rsidRDefault="006D1026" w14:paraId="105AC12B" w14:textId="2E703AE9">
            <w:pPr>
              <w:rPr>
                <w:bCs/>
                <w:i/>
                <w:iCs/>
              </w:rPr>
            </w:pPr>
            <w:r w:rsidRPr="004136D5">
              <w:rPr>
                <w:bCs/>
                <w:i/>
              </w:rPr>
              <w:t xml:space="preserve">Colombe </w:t>
            </w:r>
            <w:r w:rsidRPr="004136D5" w:rsidR="004136D5">
              <w:rPr>
                <w:bCs/>
                <w:i/>
              </w:rPr>
              <w:t>GREGOIRE</w:t>
            </w:r>
          </w:p>
        </w:tc>
      </w:tr>
      <w:tr w:rsidRPr="002C62A6" w:rsidR="006D1026" w:rsidTr="00195CCE" w14:paraId="447BD8AB" w14:textId="77777777">
        <w:tc>
          <w:tcPr>
            <w:tcW w:w="1418" w:type="dxa"/>
          </w:tcPr>
          <w:p w:rsidRPr="002C62A6" w:rsidR="006D1026" w:rsidP="00195CCE" w:rsidRDefault="006D1026" w14:paraId="219D2F99" w14:textId="77777777">
            <w:pPr>
              <w:rPr>
                <w:i/>
              </w:rPr>
            </w:pPr>
            <w:r>
              <w:rPr>
                <w:i/>
              </w:rPr>
              <w:t>Tél.</w:t>
            </w:r>
          </w:p>
        </w:tc>
        <w:tc>
          <w:tcPr>
            <w:tcW w:w="5670" w:type="dxa"/>
          </w:tcPr>
          <w:p w:rsidRPr="002C62A6" w:rsidR="006D1026" w:rsidP="00195CCE" w:rsidRDefault="006D1026" w14:paraId="2637C48B" w14:textId="77777777">
            <w:pPr>
              <w:rPr>
                <w:i/>
                <w:iCs/>
              </w:rPr>
            </w:pPr>
            <w:r>
              <w:rPr>
                <w:i/>
              </w:rPr>
              <w:t>+32 25469286</w:t>
            </w:r>
          </w:p>
        </w:tc>
      </w:tr>
      <w:tr w:rsidRPr="002C62A6" w:rsidR="006D1026" w:rsidTr="00195CCE" w14:paraId="60D96D1F" w14:textId="77777777">
        <w:tc>
          <w:tcPr>
            <w:tcW w:w="1418" w:type="dxa"/>
          </w:tcPr>
          <w:p w:rsidRPr="002C62A6" w:rsidR="006D1026" w:rsidP="00195CCE" w:rsidRDefault="006D1026" w14:paraId="5E33FF98" w14:textId="77777777">
            <w:pPr>
              <w:rPr>
                <w:i/>
              </w:rPr>
            </w:pPr>
            <w:r>
              <w:rPr>
                <w:i/>
              </w:rPr>
              <w:t>Courriel</w:t>
            </w:r>
          </w:p>
        </w:tc>
        <w:tc>
          <w:tcPr>
            <w:tcW w:w="5670" w:type="dxa"/>
          </w:tcPr>
          <w:p w:rsidRPr="002C62A6" w:rsidR="006D1026" w:rsidP="00195CCE" w:rsidRDefault="006F4895" w14:paraId="0BE16481" w14:textId="77777777">
            <w:pPr>
              <w:rPr>
                <w:i/>
                <w:iCs/>
              </w:rPr>
            </w:pPr>
            <w:hyperlink w:history="1" r:id="rId26">
              <w:r w:rsidR="006D1026">
                <w:rPr>
                  <w:rStyle w:val="Hyperlink"/>
                </w:rPr>
                <w:t>Colombe.gregoire@eesc.europa.eu</w:t>
              </w:r>
            </w:hyperlink>
            <w:r w:rsidR="006D1026">
              <w:t xml:space="preserve"> </w:t>
            </w:r>
          </w:p>
        </w:tc>
      </w:tr>
    </w:tbl>
    <w:p w:rsidR="00B95A48" w:rsidP="00775FC4" w:rsidRDefault="00B95A48" w14:paraId="51E2CF72" w14:textId="2290BA2A">
      <w:pPr>
        <w:jc w:val="left"/>
      </w:pPr>
    </w:p>
    <w:p w:rsidR="004136D5" w:rsidP="00775FC4" w:rsidRDefault="004136D5" w14:paraId="2542959B" w14:textId="77777777">
      <w:pPr>
        <w:jc w:val="left"/>
      </w:pPr>
    </w:p>
    <w:p w:rsidRPr="00E404B5" w:rsidR="00450AD7" w:rsidP="004136D5" w:rsidRDefault="006F4895" w14:paraId="3BF643A0" w14:textId="7E1207E6">
      <w:pPr>
        <w:widowControl w:val="0"/>
        <w:numPr>
          <w:ilvl w:val="0"/>
          <w:numId w:val="7"/>
        </w:numPr>
        <w:overflowPunct w:val="0"/>
        <w:autoSpaceDE w:val="0"/>
        <w:autoSpaceDN w:val="0"/>
        <w:adjustRightInd w:val="0"/>
        <w:spacing w:after="120"/>
        <w:ind w:left="426" w:hanging="426"/>
        <w:textAlignment w:val="baseline"/>
        <w:rPr>
          <w:rStyle w:val="Hyperlink"/>
          <w:b/>
          <w:i/>
          <w:iCs/>
          <w:sz w:val="28"/>
          <w:szCs w:val="28"/>
        </w:rPr>
      </w:pPr>
      <w:hyperlink w:history="1" r:id="rId27">
        <w:r w:rsidR="00450AD7">
          <w:rPr>
            <w:rStyle w:val="Hyperlink"/>
            <w:b/>
            <w:i/>
            <w:sz w:val="28"/>
          </w:rPr>
          <w:t>Facilité pour la reprise et la résilience et politique de cohésion : vers une politique de cohésion 2.0</w:t>
        </w:r>
      </w:hyperlink>
    </w:p>
    <w:p w:rsidRPr="00E404B5" w:rsidR="00450AD7" w:rsidP="00450AD7" w:rsidRDefault="00450AD7" w14:paraId="718D1E86" w14:textId="77777777">
      <w:pPr>
        <w:widowControl w:val="0"/>
        <w:ind w:left="266"/>
        <w:rPr>
          <w:rStyle w:val="Hyperlink"/>
          <w:b/>
          <w:i/>
          <w:iCs/>
          <w:sz w:val="10"/>
          <w:szCs w:val="10"/>
        </w:rPr>
      </w:pPr>
    </w:p>
    <w:tbl>
      <w:tblPr>
        <w:tblStyle w:val="TableGrid"/>
        <w:tblW w:w="88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6"/>
        <w:gridCol w:w="7177"/>
        <w:gridCol w:w="34"/>
      </w:tblGrid>
      <w:tr w:rsidRPr="00A6689B" w:rsidR="00450AD7" w:rsidTr="00450AD7" w14:paraId="319908C4" w14:textId="77777777">
        <w:trPr>
          <w:gridAfter w:val="1"/>
          <w:wAfter w:w="34" w:type="dxa"/>
        </w:trPr>
        <w:tc>
          <w:tcPr>
            <w:tcW w:w="1686" w:type="dxa"/>
          </w:tcPr>
          <w:p w:rsidRPr="00A6689B" w:rsidR="00450AD7" w:rsidP="00177A3F" w:rsidRDefault="00450AD7" w14:paraId="4DD8ECDF" w14:textId="77777777">
            <w:pPr>
              <w:tabs>
                <w:tab w:val="center" w:pos="284"/>
              </w:tabs>
              <w:ind w:left="266" w:hanging="266"/>
              <w:rPr>
                <w:b/>
              </w:rPr>
            </w:pPr>
            <w:proofErr w:type="spellStart"/>
            <w:r>
              <w:rPr>
                <w:b/>
              </w:rPr>
              <w:t>Rapporteure</w:t>
            </w:r>
            <w:proofErr w:type="spellEnd"/>
          </w:p>
        </w:tc>
        <w:tc>
          <w:tcPr>
            <w:tcW w:w="7177" w:type="dxa"/>
          </w:tcPr>
          <w:p w:rsidRPr="00C232CB" w:rsidR="00450AD7" w:rsidP="00177A3F" w:rsidRDefault="00450AD7" w14:paraId="1603F9F6" w14:textId="77777777">
            <w:pPr>
              <w:tabs>
                <w:tab w:val="center" w:pos="284"/>
              </w:tabs>
              <w:ind w:left="266" w:hanging="266"/>
              <w:rPr>
                <w:bCs/>
              </w:rPr>
            </w:pPr>
            <w:r>
              <w:t>María </w:t>
            </w:r>
            <w:proofErr w:type="spellStart"/>
            <w:r>
              <w:t>del</w:t>
            </w:r>
            <w:proofErr w:type="spellEnd"/>
            <w:r>
              <w:t> Carmen BARRERA CHAMORRO (groupe des travailleurs — ES)</w:t>
            </w:r>
          </w:p>
        </w:tc>
      </w:tr>
      <w:tr w:rsidRPr="00A6689B" w:rsidR="00450AD7" w:rsidTr="00450AD7" w14:paraId="4C6350BA" w14:textId="77777777">
        <w:tc>
          <w:tcPr>
            <w:tcW w:w="1686" w:type="dxa"/>
          </w:tcPr>
          <w:p w:rsidRPr="00A6689B" w:rsidR="00450AD7" w:rsidP="00177A3F" w:rsidRDefault="00450AD7" w14:paraId="56F21C19" w14:textId="77777777">
            <w:pPr>
              <w:tabs>
                <w:tab w:val="center" w:pos="284"/>
              </w:tabs>
              <w:ind w:left="266" w:hanging="266"/>
              <w:rPr>
                <w:b/>
              </w:rPr>
            </w:pPr>
            <w:r>
              <w:rPr>
                <w:b/>
              </w:rPr>
              <w:t>Corapporteur</w:t>
            </w:r>
          </w:p>
        </w:tc>
        <w:tc>
          <w:tcPr>
            <w:tcW w:w="7211" w:type="dxa"/>
            <w:gridSpan w:val="2"/>
          </w:tcPr>
          <w:p w:rsidRPr="00C232CB" w:rsidR="00450AD7" w:rsidP="00177A3F" w:rsidRDefault="00450AD7" w14:paraId="212CBD35" w14:textId="77777777">
            <w:pPr>
              <w:tabs>
                <w:tab w:val="center" w:pos="284"/>
              </w:tabs>
              <w:ind w:left="266" w:hanging="266"/>
              <w:rPr>
                <w:bCs/>
              </w:rPr>
            </w:pPr>
            <w:r>
              <w:t>David SVENTEK (groupe des employeurs — CZ)</w:t>
            </w:r>
          </w:p>
        </w:tc>
      </w:tr>
      <w:tr w:rsidRPr="00A6689B" w:rsidR="00450AD7" w:rsidTr="00450AD7" w14:paraId="00B52F54" w14:textId="77777777">
        <w:tc>
          <w:tcPr>
            <w:tcW w:w="8897" w:type="dxa"/>
            <w:gridSpan w:val="3"/>
          </w:tcPr>
          <w:p w:rsidRPr="00A6689B" w:rsidR="00450AD7" w:rsidP="00177A3F" w:rsidRDefault="00450AD7" w14:paraId="191CCB6F" w14:textId="77777777">
            <w:pPr>
              <w:tabs>
                <w:tab w:val="center" w:pos="284"/>
              </w:tabs>
              <w:spacing w:line="160" w:lineRule="exact"/>
              <w:ind w:left="266" w:hanging="266"/>
              <w:rPr>
                <w:lang w:val="en-US"/>
              </w:rPr>
            </w:pPr>
          </w:p>
        </w:tc>
      </w:tr>
      <w:tr w:rsidRPr="00A6689B" w:rsidR="00450AD7" w:rsidTr="00450AD7" w14:paraId="2274BED9" w14:textId="77777777">
        <w:tc>
          <w:tcPr>
            <w:tcW w:w="1686" w:type="dxa"/>
          </w:tcPr>
          <w:p w:rsidRPr="00A6689B" w:rsidR="00450AD7" w:rsidP="00177A3F" w:rsidRDefault="00450AD7" w14:paraId="41E5605D" w14:textId="77777777">
            <w:pPr>
              <w:tabs>
                <w:tab w:val="center" w:pos="284"/>
              </w:tabs>
              <w:ind w:left="266" w:hanging="266"/>
              <w:rPr>
                <w:b/>
              </w:rPr>
            </w:pPr>
            <w:r>
              <w:rPr>
                <w:b/>
              </w:rPr>
              <w:t>Références</w:t>
            </w:r>
          </w:p>
        </w:tc>
        <w:tc>
          <w:tcPr>
            <w:tcW w:w="7211" w:type="dxa"/>
            <w:gridSpan w:val="2"/>
          </w:tcPr>
          <w:p w:rsidR="00450AD7" w:rsidP="00450AD7" w:rsidRDefault="00450AD7" w14:paraId="69A55527" w14:textId="77777777">
            <w:pPr>
              <w:tabs>
                <w:tab w:val="center" w:pos="284"/>
              </w:tabs>
              <w:ind w:left="10" w:hanging="10"/>
            </w:pPr>
            <w:r>
              <w:t xml:space="preserve">Avis exploratoire </w:t>
            </w:r>
            <w:r w:rsidRPr="00450AD7">
              <w:t>à la demande de la présidence espagnole du Conseil de l’Union européenne</w:t>
            </w:r>
          </w:p>
          <w:p w:rsidRPr="00C232CB" w:rsidR="00450AD7" w:rsidP="00177A3F" w:rsidRDefault="00450AD7" w14:paraId="17AEA821" w14:textId="5DC50032">
            <w:pPr>
              <w:tabs>
                <w:tab w:val="center" w:pos="284"/>
              </w:tabs>
              <w:ind w:left="266" w:hanging="266"/>
            </w:pPr>
            <w:r>
              <w:t>EESC-2023-02427-00-00-AC-TRA</w:t>
            </w:r>
          </w:p>
        </w:tc>
      </w:tr>
    </w:tbl>
    <w:p w:rsidRPr="00E404B5" w:rsidR="00450AD7" w:rsidP="00450AD7" w:rsidRDefault="00450AD7" w14:paraId="73CA61E5" w14:textId="77777777">
      <w:pPr>
        <w:keepNext/>
        <w:keepLines/>
        <w:tabs>
          <w:tab w:val="center" w:pos="284"/>
        </w:tabs>
        <w:ind w:left="266" w:hanging="266"/>
        <w:rPr>
          <w:b/>
          <w:sz w:val="16"/>
          <w:szCs w:val="14"/>
        </w:rPr>
      </w:pPr>
    </w:p>
    <w:p w:rsidR="00450AD7" w:rsidP="00450AD7" w:rsidRDefault="00450AD7" w14:paraId="361A90F1" w14:textId="77777777">
      <w:pPr>
        <w:keepNext/>
        <w:keepLines/>
        <w:tabs>
          <w:tab w:val="center" w:pos="284"/>
        </w:tabs>
        <w:spacing w:before="120"/>
        <w:ind w:left="266" w:hanging="266"/>
        <w:rPr>
          <w:b/>
        </w:rPr>
      </w:pPr>
      <w:r>
        <w:rPr>
          <w:b/>
        </w:rPr>
        <w:t>Points clés</w:t>
      </w:r>
    </w:p>
    <w:p w:rsidRPr="00A6689B" w:rsidR="00450AD7" w:rsidP="00450AD7" w:rsidRDefault="00450AD7" w14:paraId="3437460B" w14:textId="77777777">
      <w:pPr>
        <w:keepNext/>
        <w:keepLines/>
        <w:tabs>
          <w:tab w:val="center" w:pos="284"/>
        </w:tabs>
        <w:ind w:left="266" w:hanging="266"/>
        <w:rPr>
          <w:b/>
        </w:rPr>
      </w:pPr>
    </w:p>
    <w:p w:rsidR="00450AD7" w:rsidP="00450AD7" w:rsidRDefault="00450AD7" w14:paraId="4786DB54" w14:textId="284D05EC">
      <w:r>
        <w:t>Le CESE:</w:t>
      </w:r>
    </w:p>
    <w:p w:rsidRPr="00340CD9" w:rsidR="00450AD7" w:rsidP="0048572F" w:rsidRDefault="00450AD7" w14:paraId="57161CE7" w14:textId="77777777">
      <w:pPr>
        <w:pStyle w:val="ListParagraph"/>
        <w:numPr>
          <w:ilvl w:val="0"/>
          <w:numId w:val="25"/>
        </w:numPr>
        <w:spacing w:after="200" w:line="276" w:lineRule="auto"/>
        <w:ind w:left="426"/>
        <w:rPr>
          <w:bCs/>
          <w:iCs/>
        </w:rPr>
      </w:pPr>
      <w:r>
        <w:t>souligne que le principe fondamental de la politique de cohésion, à savoir que personne ne peut être laissé pour compte, reste correct et conserve toute sa validité, et que les partenaires de la société civile sont disposés à poursuivre leur travail en faveur de son application, qui passe par une action d’investissement robuste de la part de l’Union. L’esprit de cette politique doit être conservé, en dépit de ses imperfections;</w:t>
      </w:r>
    </w:p>
    <w:p w:rsidR="00450AD7" w:rsidP="0048572F" w:rsidRDefault="00450AD7" w14:paraId="065FAEB3" w14:textId="77777777">
      <w:pPr>
        <w:pStyle w:val="ListParagraph"/>
        <w:numPr>
          <w:ilvl w:val="0"/>
          <w:numId w:val="25"/>
        </w:numPr>
        <w:spacing w:after="200" w:line="276" w:lineRule="auto"/>
        <w:ind w:left="426"/>
        <w:rPr>
          <w:szCs w:val="20"/>
        </w:rPr>
      </w:pPr>
      <w:r>
        <w:t>tient à faire valoir que l’inégalité des chances peut exercer, au niveau des régions, des États membres et de toute l’Union, un effet dommageable sur la croissance et la compétitivité à long terme. Il est donc nécessaire de diversifier et d’assouplir davantage la politique de cohésion afin de pouvoir accorder une plus grande attention aux personnes, en particulier aux plus vulnérables, et de mieux lutter contre l’inégalité des chances à laquelle sont confrontées nombre d’entre elles;</w:t>
      </w:r>
    </w:p>
    <w:p w:rsidRPr="00340CD9" w:rsidR="00450AD7" w:rsidP="0048572F" w:rsidRDefault="00450AD7" w14:paraId="1FBDC845" w14:textId="77777777">
      <w:pPr>
        <w:pStyle w:val="ListParagraph"/>
        <w:numPr>
          <w:ilvl w:val="0"/>
          <w:numId w:val="25"/>
        </w:numPr>
        <w:spacing w:after="200" w:line="276" w:lineRule="auto"/>
        <w:ind w:left="426"/>
        <w:rPr>
          <w:szCs w:val="20"/>
        </w:rPr>
      </w:pPr>
      <w:r>
        <w:t>affirme qu’il y a lieu d’élargir, moderniser ou revoir l’éventail des instruments et des approches, afin de construire une politique de cohésion forte, efficace, flexible et renouvelée, en concentrant davantage l’attention, au-delà des seuls investissements, sur les capacités, les liens interrégionaux, l’efficacité des résultats et les perspectives offertes aux bénéficiaires des actions;</w:t>
      </w:r>
    </w:p>
    <w:p w:rsidRPr="009D7BAB" w:rsidR="00450AD7" w:rsidP="0048572F" w:rsidRDefault="00450AD7" w14:paraId="4EB8BE3B" w14:textId="77777777">
      <w:pPr>
        <w:pStyle w:val="ListParagraph"/>
        <w:numPr>
          <w:ilvl w:val="0"/>
          <w:numId w:val="25"/>
        </w:numPr>
        <w:ind w:left="426"/>
        <w:rPr>
          <w:szCs w:val="20"/>
        </w:rPr>
      </w:pPr>
      <w:r>
        <w:t>défend l’idée qu’il y a lieu de garantir que le recours aux fonds de la facilité pour la reprise et la résilience (FRR) soit pleinement compatible avec la mise en œuvre de la politique de cohésion et que les investissements et programmes déjà lancés par son truchement ne se trouvent pas interrompus;</w:t>
      </w:r>
    </w:p>
    <w:p w:rsidR="00450AD7" w:rsidP="0048572F" w:rsidRDefault="00450AD7" w14:paraId="2066BBFF" w14:textId="7E0FC917">
      <w:pPr>
        <w:pStyle w:val="ListParagraph"/>
        <w:numPr>
          <w:ilvl w:val="0"/>
          <w:numId w:val="25"/>
        </w:numPr>
        <w:ind w:left="426"/>
        <w:rPr>
          <w:szCs w:val="20"/>
        </w:rPr>
      </w:pPr>
      <w:r>
        <w:t>juge nécessaire d’accorder une attention particulière aux groupes de population qui, affichant les taux d’emploi les plus faibles, comme les femmes, les jeunes, les immigrés ou les personnes à faible niveau d’éducation, ont besoin, sur le terrain, de programmes spécifiques de formation et de requalification;</w:t>
      </w:r>
    </w:p>
    <w:p w:rsidR="00450AD7" w:rsidP="0048572F" w:rsidRDefault="00450AD7" w14:paraId="2046E1F5" w14:textId="77777777">
      <w:pPr>
        <w:pStyle w:val="ListParagraph"/>
        <w:numPr>
          <w:ilvl w:val="0"/>
          <w:numId w:val="25"/>
        </w:numPr>
        <w:ind w:left="426"/>
        <w:rPr>
          <w:szCs w:val="20"/>
        </w:rPr>
      </w:pPr>
      <w:r>
        <w:t xml:space="preserve">est d’avis qu’il est nécessaire de continuer à protéger les petites et moyennes entreprises et leur durabilité, tout en trouvant les moyens de financer les grandes entreprises, qui constituent un facteur important en matière de convergence, notamment s’agissant des </w:t>
      </w:r>
      <w:r>
        <w:lastRenderedPageBreak/>
        <w:t>technologies stratégiques, couvertes par le nouvel instrument STEP, ou « plateforme sur les technologies stratégiques pour l’Europe »;</w:t>
      </w:r>
    </w:p>
    <w:p w:rsidR="00450AD7" w:rsidP="0048572F" w:rsidRDefault="00450AD7" w14:paraId="5A572FF2" w14:textId="77777777">
      <w:pPr>
        <w:pStyle w:val="ListParagraph"/>
        <w:numPr>
          <w:ilvl w:val="0"/>
          <w:numId w:val="25"/>
        </w:numPr>
        <w:ind w:left="426"/>
        <w:rPr>
          <w:szCs w:val="20"/>
        </w:rPr>
      </w:pPr>
      <w:r>
        <w:t>insiste sur l’importance d’ouvrir des perspectives économiques d’un type inédit pour les régions moins développées ou périphériques, les aires rurales à faible densité de population, les îles de l’Union européenne et ses zones ultrapériphériques. Il est également nécessaire de combler le fossé entre les zones rurales et urbaines et les centres-villes;</w:t>
      </w:r>
    </w:p>
    <w:p w:rsidRPr="00192492" w:rsidR="00192492" w:rsidP="0048572F" w:rsidRDefault="00450AD7" w14:paraId="57CA5AD3" w14:textId="77777777">
      <w:pPr>
        <w:pStyle w:val="ListParagraph"/>
        <w:numPr>
          <w:ilvl w:val="0"/>
          <w:numId w:val="25"/>
        </w:numPr>
        <w:ind w:left="426"/>
        <w:rPr>
          <w:szCs w:val="20"/>
        </w:rPr>
      </w:pPr>
      <w:r>
        <w:t>fait valoir que la diversification et la spécialisation devraient se traduire par des différenciations encore plus poussées dans le domaine du soutien financier, des modalités d’aide, de la gestion budgétaire, des objectifs et des investissements, et pense qu’il importe tout particulièrement de demander aux États membres et aux régions de l’Union européenne que les partenaires sociaux et les autres organisations de la société civile soient associés à cette démarche de la manière la plus large et opérante possible;</w:t>
      </w:r>
    </w:p>
    <w:p w:rsidRPr="00192492" w:rsidR="00192492" w:rsidP="0048572F" w:rsidRDefault="00450AD7" w14:paraId="0502B810" w14:textId="77777777">
      <w:pPr>
        <w:pStyle w:val="ListParagraph"/>
        <w:numPr>
          <w:ilvl w:val="0"/>
          <w:numId w:val="25"/>
        </w:numPr>
        <w:ind w:left="426"/>
        <w:rPr>
          <w:szCs w:val="20"/>
        </w:rPr>
      </w:pPr>
      <w:r>
        <w:t>est convaincu que la politique de cohésion doit rester la principale politique d’investissement de l’Union, s’agissant de soutenir la politique régionale européenne d’adaptation aux objectifs climatiques, de manière à parvenir à une société neutre en émissions de carbone et à réussir à opérer cette transition;</w:t>
      </w:r>
    </w:p>
    <w:p w:rsidRPr="00192492" w:rsidR="00192492" w:rsidP="0048572F" w:rsidRDefault="00450AD7" w14:paraId="36E6FA87" w14:textId="77777777">
      <w:pPr>
        <w:pStyle w:val="ListParagraph"/>
        <w:numPr>
          <w:ilvl w:val="0"/>
          <w:numId w:val="25"/>
        </w:numPr>
        <w:ind w:left="426"/>
        <w:rPr>
          <w:szCs w:val="20"/>
        </w:rPr>
      </w:pPr>
      <w:r>
        <w:t>estime que la politique de cohésion doit renforcer les investissements numériques dans les programmes existants qui visent à combler la fracture du numérique, étant donné que la transition numérique comporte des risques du point de vue des disparités sociales et territoriales, et a pour avis que la politique de cohésion donner la garantie que les bienfaits de la numérisation soient répartis de manière efficace et équitable;</w:t>
      </w:r>
    </w:p>
    <w:p w:rsidRPr="00192492" w:rsidR="00450AD7" w:rsidP="0048572F" w:rsidRDefault="00450AD7" w14:paraId="143D17D1" w14:textId="042FC00A">
      <w:pPr>
        <w:pStyle w:val="ListParagraph"/>
        <w:numPr>
          <w:ilvl w:val="0"/>
          <w:numId w:val="25"/>
        </w:numPr>
        <w:ind w:left="426"/>
        <w:rPr>
          <w:szCs w:val="20"/>
        </w:rPr>
      </w:pPr>
      <w:r>
        <w:t>considère qu’il est primordial d’opérer une rationalisation dans la politique de cohésion à l’intention de ses bénéficiaires, par des mesures de simplification et d’assouplissement dans l’exécution des fonds à utiliser pour en réaliser les visées.</w:t>
      </w:r>
    </w:p>
    <w:p w:rsidR="00450AD7" w:rsidP="00450AD7" w:rsidRDefault="00450AD7" w14:paraId="06C75E4F" w14:textId="77777777">
      <w:pPr>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6689B" w:rsidR="00450AD7" w:rsidTr="00177A3F" w14:paraId="27EECFF0" w14:textId="77777777">
        <w:tc>
          <w:tcPr>
            <w:tcW w:w="1418" w:type="dxa"/>
          </w:tcPr>
          <w:p w:rsidRPr="00A6689B" w:rsidR="00450AD7" w:rsidP="00177A3F" w:rsidRDefault="00450AD7" w14:paraId="2979A4B6" w14:textId="77777777">
            <w:pPr>
              <w:spacing w:line="240" w:lineRule="auto"/>
              <w:rPr>
                <w:i/>
              </w:rPr>
            </w:pPr>
            <w:r>
              <w:rPr>
                <w:b/>
                <w:i/>
              </w:rPr>
              <w:t>Contact</w:t>
            </w:r>
          </w:p>
        </w:tc>
        <w:tc>
          <w:tcPr>
            <w:tcW w:w="5670" w:type="dxa"/>
          </w:tcPr>
          <w:p w:rsidRPr="00192492" w:rsidR="00450AD7" w:rsidP="00177A3F" w:rsidRDefault="00450AD7" w14:paraId="3AB0B3CF" w14:textId="77777777">
            <w:pPr>
              <w:spacing w:line="240" w:lineRule="auto"/>
              <w:rPr>
                <w:bCs/>
                <w:i/>
              </w:rPr>
            </w:pPr>
            <w:proofErr w:type="spellStart"/>
            <w:r w:rsidRPr="00192492">
              <w:rPr>
                <w:bCs/>
                <w:i/>
              </w:rPr>
              <w:t>Georgios</w:t>
            </w:r>
            <w:proofErr w:type="spellEnd"/>
            <w:r w:rsidRPr="00192492">
              <w:rPr>
                <w:bCs/>
                <w:i/>
              </w:rPr>
              <w:t> MELEAS</w:t>
            </w:r>
          </w:p>
        </w:tc>
      </w:tr>
      <w:tr w:rsidRPr="00A6689B" w:rsidR="00450AD7" w:rsidTr="00177A3F" w14:paraId="06DD1DFC" w14:textId="77777777">
        <w:tc>
          <w:tcPr>
            <w:tcW w:w="1418" w:type="dxa"/>
          </w:tcPr>
          <w:p w:rsidRPr="00A6689B" w:rsidR="00450AD7" w:rsidP="00177A3F" w:rsidRDefault="00450AD7" w14:paraId="0FABE576" w14:textId="77777777">
            <w:pPr>
              <w:spacing w:line="240" w:lineRule="auto"/>
              <w:rPr>
                <w:i/>
              </w:rPr>
            </w:pPr>
            <w:r>
              <w:rPr>
                <w:i/>
              </w:rPr>
              <w:t>Tél.</w:t>
            </w:r>
          </w:p>
        </w:tc>
        <w:tc>
          <w:tcPr>
            <w:tcW w:w="5670" w:type="dxa"/>
          </w:tcPr>
          <w:p w:rsidRPr="00A6689B" w:rsidR="00450AD7" w:rsidP="00177A3F" w:rsidRDefault="00450AD7" w14:paraId="508E86FB" w14:textId="77777777">
            <w:pPr>
              <w:spacing w:line="240" w:lineRule="auto"/>
              <w:rPr>
                <w:i/>
              </w:rPr>
            </w:pPr>
            <w:r>
              <w:rPr>
                <w:i/>
              </w:rPr>
              <w:t>+32 25469795</w:t>
            </w:r>
          </w:p>
        </w:tc>
      </w:tr>
      <w:tr w:rsidRPr="00A6689B" w:rsidR="00450AD7" w:rsidTr="00177A3F" w14:paraId="535831BB" w14:textId="77777777">
        <w:tc>
          <w:tcPr>
            <w:tcW w:w="1418" w:type="dxa"/>
          </w:tcPr>
          <w:p w:rsidRPr="00A6689B" w:rsidR="00450AD7" w:rsidP="00177A3F" w:rsidRDefault="00450AD7" w14:paraId="6BD3F501" w14:textId="77777777">
            <w:pPr>
              <w:spacing w:line="240" w:lineRule="auto"/>
              <w:rPr>
                <w:i/>
              </w:rPr>
            </w:pPr>
            <w:r>
              <w:rPr>
                <w:i/>
              </w:rPr>
              <w:t>Courriel</w:t>
            </w:r>
          </w:p>
        </w:tc>
        <w:tc>
          <w:tcPr>
            <w:tcW w:w="5670" w:type="dxa"/>
          </w:tcPr>
          <w:p w:rsidRPr="00A6689B" w:rsidR="00450AD7" w:rsidP="00177A3F" w:rsidRDefault="006F4895" w14:paraId="3D6B2ADD" w14:textId="77777777">
            <w:pPr>
              <w:spacing w:line="240" w:lineRule="auto"/>
              <w:rPr>
                <w:i/>
              </w:rPr>
            </w:pPr>
            <w:hyperlink w:history="1" r:id="rId28">
              <w:r w:rsidR="00450AD7">
                <w:rPr>
                  <w:rStyle w:val="Hyperlink"/>
                  <w:i/>
                </w:rPr>
                <w:t>Georgios.Meleas@eesc.europa.eu</w:t>
              </w:r>
            </w:hyperlink>
          </w:p>
        </w:tc>
      </w:tr>
    </w:tbl>
    <w:p w:rsidR="004136D5" w:rsidP="004136D5" w:rsidRDefault="004136D5" w14:paraId="6FAE27D6" w14:textId="47A6DDF2">
      <w:pPr>
        <w:widowControl w:val="0"/>
        <w:overflowPunct w:val="0"/>
        <w:autoSpaceDE w:val="0"/>
        <w:autoSpaceDN w:val="0"/>
        <w:adjustRightInd w:val="0"/>
        <w:ind w:left="360"/>
        <w:textAlignment w:val="baseline"/>
        <w:rPr>
          <w:sz w:val="20"/>
        </w:rPr>
      </w:pPr>
    </w:p>
    <w:p w:rsidRPr="004136D5" w:rsidR="001C74A3" w:rsidP="004136D5" w:rsidRDefault="001C74A3" w14:paraId="679D707E" w14:textId="77777777">
      <w:pPr>
        <w:widowControl w:val="0"/>
        <w:overflowPunct w:val="0"/>
        <w:autoSpaceDE w:val="0"/>
        <w:autoSpaceDN w:val="0"/>
        <w:adjustRightInd w:val="0"/>
        <w:ind w:left="360"/>
        <w:textAlignment w:val="baseline"/>
        <w:rPr>
          <w:sz w:val="20"/>
        </w:rPr>
      </w:pPr>
    </w:p>
    <w:p w:rsidRPr="00DB4CB3" w:rsidR="00B95A48" w:rsidP="004136D5" w:rsidRDefault="006F4895" w14:paraId="3411F309" w14:textId="5AFE7A7E">
      <w:pPr>
        <w:keepNext/>
        <w:widowControl w:val="0"/>
        <w:numPr>
          <w:ilvl w:val="0"/>
          <w:numId w:val="20"/>
        </w:numPr>
        <w:overflowPunct w:val="0"/>
        <w:autoSpaceDE w:val="0"/>
        <w:autoSpaceDN w:val="0"/>
        <w:adjustRightInd w:val="0"/>
        <w:ind w:left="426" w:hanging="426"/>
        <w:textAlignment w:val="baseline"/>
        <w:rPr>
          <w:sz w:val="20"/>
        </w:rPr>
      </w:pPr>
      <w:hyperlink w:history="1" r:id="rId29">
        <w:r w:rsidR="00B95A48">
          <w:rPr>
            <w:rStyle w:val="Hyperlink"/>
            <w:b/>
            <w:i/>
            <w:sz w:val="28"/>
          </w:rPr>
          <w:t>Euro numérique et étendue et effets du cours légal des billets de banque et pièces en euros</w:t>
        </w:r>
      </w:hyperlink>
    </w:p>
    <w:p w:rsidRPr="00DB4CB3" w:rsidR="00B95A48" w:rsidP="004136D5" w:rsidRDefault="00B95A48" w14:paraId="2FA57756" w14:textId="77777777">
      <w:pPr>
        <w:keepNext/>
        <w:tabs>
          <w:tab w:val="center" w:pos="284"/>
        </w:tabs>
        <w:ind w:left="266" w:hanging="266"/>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63"/>
      </w:tblGrid>
      <w:tr w:rsidR="00B95A48" w:rsidTr="00195CCE" w14:paraId="06DAE6A6" w14:textId="77777777">
        <w:tc>
          <w:tcPr>
            <w:tcW w:w="1701" w:type="dxa"/>
          </w:tcPr>
          <w:p w:rsidRPr="001832DE" w:rsidR="00B95A48" w:rsidP="004136D5" w:rsidRDefault="00B95A48" w14:paraId="79DFFAA0" w14:textId="77777777">
            <w:pPr>
              <w:keepNext/>
              <w:tabs>
                <w:tab w:val="center" w:pos="284"/>
              </w:tabs>
              <w:ind w:left="266" w:hanging="266"/>
              <w:rPr>
                <w:b/>
              </w:rPr>
            </w:pPr>
            <w:r>
              <w:rPr>
                <w:b/>
              </w:rPr>
              <w:t>Rapporteur</w:t>
            </w:r>
          </w:p>
        </w:tc>
        <w:tc>
          <w:tcPr>
            <w:tcW w:w="6663" w:type="dxa"/>
          </w:tcPr>
          <w:p w:rsidRPr="001832DE" w:rsidR="00B95A48" w:rsidP="004136D5" w:rsidRDefault="00B95A48" w14:paraId="209ECAE8" w14:textId="77777777">
            <w:pPr>
              <w:keepNext/>
              <w:tabs>
                <w:tab w:val="center" w:pos="284"/>
              </w:tabs>
              <w:ind w:left="266" w:hanging="266"/>
            </w:pPr>
            <w:r>
              <w:t>Antonio GARCÍA DEL RIEGO (groupe des employeurs — ES)</w:t>
            </w:r>
          </w:p>
        </w:tc>
      </w:tr>
      <w:tr w:rsidR="00B95A48" w:rsidTr="00195CCE" w14:paraId="3CBEEF44" w14:textId="77777777">
        <w:tc>
          <w:tcPr>
            <w:tcW w:w="1701" w:type="dxa"/>
          </w:tcPr>
          <w:p w:rsidRPr="001832DE" w:rsidR="00B95A48" w:rsidP="004136D5" w:rsidRDefault="00B95A48" w14:paraId="16CF22E8" w14:textId="77777777">
            <w:pPr>
              <w:keepNext/>
              <w:tabs>
                <w:tab w:val="center" w:pos="284"/>
              </w:tabs>
              <w:ind w:left="266" w:hanging="266"/>
              <w:rPr>
                <w:b/>
              </w:rPr>
            </w:pPr>
            <w:r>
              <w:rPr>
                <w:b/>
              </w:rPr>
              <w:t>Corapporteur</w:t>
            </w:r>
          </w:p>
        </w:tc>
        <w:tc>
          <w:tcPr>
            <w:tcW w:w="6663" w:type="dxa"/>
          </w:tcPr>
          <w:p w:rsidRPr="001832DE" w:rsidR="00B95A48" w:rsidP="004136D5" w:rsidRDefault="00B95A48" w14:paraId="237AE564" w14:textId="77777777">
            <w:pPr>
              <w:keepNext/>
              <w:tabs>
                <w:tab w:val="center" w:pos="284"/>
              </w:tabs>
              <w:ind w:left="266" w:hanging="266"/>
            </w:pPr>
            <w:r>
              <w:t>Stefano PALMIERI (groupe des travailleurs — IT)</w:t>
            </w:r>
          </w:p>
        </w:tc>
      </w:tr>
      <w:tr w:rsidR="00B95A48" w:rsidTr="00195CCE" w14:paraId="5672F983" w14:textId="77777777">
        <w:tc>
          <w:tcPr>
            <w:tcW w:w="8364" w:type="dxa"/>
            <w:gridSpan w:val="2"/>
          </w:tcPr>
          <w:p w:rsidRPr="001832DE" w:rsidR="00B95A48" w:rsidP="004136D5" w:rsidRDefault="00B95A48" w14:paraId="03EDD78D" w14:textId="77777777">
            <w:pPr>
              <w:keepNext/>
              <w:tabs>
                <w:tab w:val="center" w:pos="284"/>
              </w:tabs>
              <w:spacing w:line="160" w:lineRule="exact"/>
              <w:ind w:left="266" w:hanging="266"/>
            </w:pPr>
          </w:p>
        </w:tc>
      </w:tr>
      <w:tr w:rsidR="00B95A48" w:rsidTr="00195CCE" w14:paraId="7645CCA8" w14:textId="77777777">
        <w:tc>
          <w:tcPr>
            <w:tcW w:w="1701" w:type="dxa"/>
            <w:vMerge w:val="restart"/>
          </w:tcPr>
          <w:p w:rsidRPr="001832DE" w:rsidR="00B95A48" w:rsidP="004136D5" w:rsidRDefault="00B95A48" w14:paraId="13DB06C3" w14:textId="77777777">
            <w:pPr>
              <w:keepNext/>
              <w:tabs>
                <w:tab w:val="center" w:pos="284"/>
              </w:tabs>
              <w:ind w:left="266" w:hanging="266"/>
              <w:rPr>
                <w:b/>
              </w:rPr>
            </w:pPr>
            <w:r>
              <w:rPr>
                <w:b/>
              </w:rPr>
              <w:t>Références</w:t>
            </w:r>
          </w:p>
        </w:tc>
        <w:tc>
          <w:tcPr>
            <w:tcW w:w="6663" w:type="dxa"/>
          </w:tcPr>
          <w:p w:rsidRPr="001832DE" w:rsidR="00B95A48" w:rsidP="004136D5" w:rsidRDefault="00B95A48" w14:paraId="549F1718" w14:textId="77777777">
            <w:pPr>
              <w:keepNext/>
              <w:tabs>
                <w:tab w:val="center" w:pos="284"/>
              </w:tabs>
            </w:pPr>
            <w:r>
              <w:t>Avis exploratoire à la demande de la présidence espagnole du Conseil de l’Union européenne</w:t>
            </w:r>
          </w:p>
        </w:tc>
      </w:tr>
      <w:tr w:rsidR="00B95A48" w:rsidTr="00195CCE" w14:paraId="2770F4C7" w14:textId="77777777">
        <w:tc>
          <w:tcPr>
            <w:tcW w:w="1701" w:type="dxa"/>
            <w:vMerge/>
          </w:tcPr>
          <w:p w:rsidRPr="001832DE" w:rsidR="00B95A48" w:rsidP="004136D5" w:rsidRDefault="00B95A48" w14:paraId="6EC93A2C" w14:textId="77777777">
            <w:pPr>
              <w:keepNext/>
              <w:tabs>
                <w:tab w:val="center" w:pos="284"/>
              </w:tabs>
              <w:ind w:left="266" w:hanging="266"/>
              <w:rPr>
                <w:b/>
              </w:rPr>
            </w:pPr>
          </w:p>
        </w:tc>
        <w:tc>
          <w:tcPr>
            <w:tcW w:w="6663" w:type="dxa"/>
          </w:tcPr>
          <w:p w:rsidRPr="001832DE" w:rsidR="00B95A48" w:rsidP="004136D5" w:rsidRDefault="00B95A48" w14:paraId="38C98E9D" w14:textId="75BFE3F4">
            <w:pPr>
              <w:keepNext/>
              <w:tabs>
                <w:tab w:val="center" w:pos="284"/>
              </w:tabs>
              <w:ind w:left="266" w:hanging="266"/>
            </w:pPr>
            <w:r>
              <w:t>EESC-2023-00814-00-00-AC</w:t>
            </w:r>
          </w:p>
        </w:tc>
      </w:tr>
    </w:tbl>
    <w:p w:rsidR="00B95A48" w:rsidP="004136D5" w:rsidRDefault="00B95A48" w14:paraId="336B44AB" w14:textId="77777777">
      <w:pPr>
        <w:keepNext/>
        <w:keepLines/>
        <w:tabs>
          <w:tab w:val="center" w:pos="284"/>
        </w:tabs>
        <w:ind w:left="266" w:hanging="266"/>
        <w:rPr>
          <w:b/>
        </w:rPr>
      </w:pPr>
    </w:p>
    <w:p w:rsidR="00B95A48" w:rsidP="004136D5" w:rsidRDefault="00B95A48" w14:paraId="35362DD0" w14:textId="77777777">
      <w:pPr>
        <w:keepNext/>
        <w:keepLines/>
        <w:tabs>
          <w:tab w:val="center" w:pos="284"/>
        </w:tabs>
        <w:ind w:left="266" w:hanging="266"/>
        <w:rPr>
          <w:b/>
        </w:rPr>
      </w:pPr>
      <w:r>
        <w:rPr>
          <w:b/>
        </w:rPr>
        <w:t>Points clés</w:t>
      </w:r>
    </w:p>
    <w:p w:rsidRPr="004A5DAB" w:rsidR="00B95A48" w:rsidP="004136D5" w:rsidRDefault="00B95A48" w14:paraId="7A88484B" w14:textId="6850220C">
      <w:pPr>
        <w:keepNext/>
        <w:keepLines/>
        <w:tabs>
          <w:tab w:val="center" w:pos="284"/>
        </w:tabs>
        <w:ind w:left="266" w:hanging="266"/>
      </w:pPr>
    </w:p>
    <w:p w:rsidR="00B95A48" w:rsidP="004136D5" w:rsidRDefault="00B95A48" w14:paraId="594A6D3D" w14:textId="073B2472">
      <w:pPr>
        <w:keepNext/>
        <w:rPr>
          <w:color w:val="000000" w:themeColor="text1"/>
        </w:rPr>
      </w:pPr>
      <w:r>
        <w:rPr>
          <w:color w:val="000000" w:themeColor="text1"/>
        </w:rPr>
        <w:t>Le CESE:</w:t>
      </w:r>
    </w:p>
    <w:p w:rsidRPr="006761B6" w:rsidR="00B95A48" w:rsidP="004136D5" w:rsidRDefault="00B95A48" w14:paraId="1A8EFFAB" w14:textId="77777777">
      <w:pPr>
        <w:pStyle w:val="Heading2"/>
        <w:keepNext/>
        <w:numPr>
          <w:ilvl w:val="0"/>
          <w:numId w:val="9"/>
        </w:numPr>
        <w:ind w:left="644"/>
        <w:rPr>
          <w:color w:val="000000" w:themeColor="text1"/>
        </w:rPr>
      </w:pPr>
      <w:bookmarkStart w:name="_Toc146880248" w:id="3"/>
      <w:bookmarkStart w:name="_Toc146880448" w:id="4"/>
      <w:bookmarkStart w:name="_Toc146880499" w:id="5"/>
      <w:r>
        <w:rPr>
          <w:color w:val="000000" w:themeColor="text1"/>
        </w:rPr>
        <w:t xml:space="preserve">estime que la réussite du projet de l’euro numérique dépendra largement de la </w:t>
      </w:r>
      <w:r>
        <w:rPr>
          <w:b/>
          <w:color w:val="000000" w:themeColor="text1"/>
        </w:rPr>
        <w:t>valeur ajoutée</w:t>
      </w:r>
      <w:r>
        <w:rPr>
          <w:color w:val="000000" w:themeColor="text1"/>
        </w:rPr>
        <w:t xml:space="preserve"> qu’il apportera dans la pratique, qui découlera de la sécurité, de la confiance, de l’acceptation générale et de l’accès aisé et gratuit qu’il procurera aux citoyens et aux </w:t>
      </w:r>
      <w:r>
        <w:rPr>
          <w:color w:val="000000" w:themeColor="text1"/>
        </w:rPr>
        <w:lastRenderedPageBreak/>
        <w:t xml:space="preserve">agents économiques. Pour le CESE, l’objectif de bâtir un euro numérique en qualité de </w:t>
      </w:r>
      <w:r>
        <w:rPr>
          <w:b/>
          <w:color w:val="000000" w:themeColor="text1"/>
        </w:rPr>
        <w:t>« bien public » européen</w:t>
      </w:r>
      <w:r>
        <w:rPr>
          <w:color w:val="000000" w:themeColor="text1"/>
        </w:rPr>
        <w:t xml:space="preserve"> gratuit est important;</w:t>
      </w:r>
      <w:bookmarkEnd w:id="3"/>
      <w:bookmarkEnd w:id="4"/>
      <w:bookmarkEnd w:id="5"/>
    </w:p>
    <w:p w:rsidRPr="006761B6" w:rsidR="00B95A48" w:rsidP="00426D38" w:rsidRDefault="00B95A48" w14:paraId="7AF30DD2" w14:textId="77777777">
      <w:pPr>
        <w:pStyle w:val="Heading2"/>
        <w:numPr>
          <w:ilvl w:val="0"/>
          <w:numId w:val="9"/>
        </w:numPr>
        <w:ind w:left="644"/>
        <w:rPr>
          <w:color w:val="000000" w:themeColor="text1"/>
        </w:rPr>
      </w:pPr>
      <w:bookmarkStart w:name="_Toc146880249" w:id="6"/>
      <w:bookmarkStart w:name="_Toc146880449" w:id="7"/>
      <w:bookmarkStart w:name="_Toc146880500" w:id="8"/>
      <w:r>
        <w:t xml:space="preserve">souligne l’importance de disposer d’un </w:t>
      </w:r>
      <w:r>
        <w:rPr>
          <w:b/>
        </w:rPr>
        <w:t>cadre européen juridique clair</w:t>
      </w:r>
      <w:r>
        <w:t xml:space="preserve"> à même de prévoir la possibilité exceptionnelle d’exemptions temporaires pour certains (types de) payeurs, ainsi que d’harmoniser des pratiques et des normes qui varient d’un État membre à l’autre;</w:t>
      </w:r>
      <w:bookmarkEnd w:id="6"/>
      <w:bookmarkEnd w:id="7"/>
      <w:bookmarkEnd w:id="8"/>
    </w:p>
    <w:p w:rsidR="00B95A48" w:rsidP="00426D38" w:rsidRDefault="00B95A48" w14:paraId="59663529" w14:textId="77777777">
      <w:pPr>
        <w:pStyle w:val="Heading2"/>
        <w:numPr>
          <w:ilvl w:val="0"/>
          <w:numId w:val="9"/>
        </w:numPr>
        <w:ind w:left="644"/>
        <w:rPr>
          <w:color w:val="000000" w:themeColor="text1"/>
        </w:rPr>
      </w:pPr>
      <w:bookmarkStart w:name="_Toc146880250" w:id="9"/>
      <w:bookmarkStart w:name="_Toc146880450" w:id="10"/>
      <w:bookmarkStart w:name="_Toc146880501" w:id="11"/>
      <w:r>
        <w:rPr>
          <w:color w:val="000000" w:themeColor="text1"/>
        </w:rPr>
        <w:t xml:space="preserve">est d’avis qu’afin de </w:t>
      </w:r>
      <w:r>
        <w:rPr>
          <w:b/>
          <w:color w:val="000000" w:themeColor="text1"/>
        </w:rPr>
        <w:t>s’assurer</w:t>
      </w:r>
      <w:r>
        <w:rPr>
          <w:color w:val="000000" w:themeColor="text1"/>
        </w:rPr>
        <w:t xml:space="preserve"> que les citoyens et les agents économiques </w:t>
      </w:r>
      <w:r>
        <w:rPr>
          <w:b/>
          <w:color w:val="000000" w:themeColor="text1"/>
        </w:rPr>
        <w:t>acceptent</w:t>
      </w:r>
      <w:r>
        <w:rPr>
          <w:color w:val="000000" w:themeColor="text1"/>
        </w:rPr>
        <w:t xml:space="preserve"> complètement l’euro numérique, les institutions européennes doivent définir clairement les cas où l’on peut utiliser une éventuelle monnaie numérique de banque centrale (MNBC) et établir des options de conception appropriées en ce qui concerne des questions essentielles, telles que le contrôle du respect de la vie privée et de la loi, la technologie sous-jacente, les rôles respectifs du secteur privé et des banques centrales;</w:t>
      </w:r>
      <w:bookmarkEnd w:id="9"/>
      <w:bookmarkEnd w:id="10"/>
      <w:bookmarkEnd w:id="11"/>
    </w:p>
    <w:p w:rsidRPr="00F27733" w:rsidR="00B95A48" w:rsidP="00426D38" w:rsidRDefault="00B95A48" w14:paraId="41125A1C" w14:textId="77777777">
      <w:pPr>
        <w:pStyle w:val="Heading2"/>
        <w:numPr>
          <w:ilvl w:val="0"/>
          <w:numId w:val="9"/>
        </w:numPr>
        <w:ind w:left="644"/>
        <w:rPr>
          <w:color w:val="000000" w:themeColor="text1"/>
        </w:rPr>
      </w:pPr>
      <w:bookmarkStart w:name="_Toc146880251" w:id="12"/>
      <w:bookmarkStart w:name="_Toc146880451" w:id="13"/>
      <w:bookmarkStart w:name="_Toc146880502" w:id="14"/>
      <w:r>
        <w:rPr>
          <w:color w:val="000000" w:themeColor="text1"/>
        </w:rPr>
        <w:t xml:space="preserve">demande la </w:t>
      </w:r>
      <w:r>
        <w:rPr>
          <w:b/>
          <w:color w:val="000000" w:themeColor="text1"/>
        </w:rPr>
        <w:t>poursuite des recherches ainsi qu’une analyse économique</w:t>
      </w:r>
      <w:r>
        <w:rPr>
          <w:color w:val="000000" w:themeColor="text1"/>
        </w:rPr>
        <w:t xml:space="preserve"> des répercussions pour les systèmes bancaires, les paiements, les citoyens et les entreprises, afin de bien saisir les incidences et de concevoir avec soin l’éventuelle introduction de cette nouvelle forme de monnaie, en évaluant, pour les comparer, les coûts de fonctionnement et d’infrastructure du projet, ainsi que l’effet potentiel sur l’inclusion financière, la disponibilité des espèces pour les citoyens et l’autonomie stratégique ouverte de l’Union, et les bénéfices que ce projet procure;</w:t>
      </w:r>
      <w:bookmarkEnd w:id="12"/>
      <w:bookmarkEnd w:id="13"/>
      <w:bookmarkEnd w:id="14"/>
    </w:p>
    <w:p w:rsidRPr="006761B6" w:rsidR="00B95A48" w:rsidP="00426D38" w:rsidRDefault="00B95A48" w14:paraId="7817B371" w14:textId="77777777">
      <w:pPr>
        <w:pStyle w:val="Heading2"/>
        <w:numPr>
          <w:ilvl w:val="0"/>
          <w:numId w:val="9"/>
        </w:numPr>
        <w:ind w:left="644"/>
        <w:rPr>
          <w:color w:val="000000" w:themeColor="text1"/>
        </w:rPr>
      </w:pPr>
      <w:bookmarkStart w:name="_Toc146880252" w:id="15"/>
      <w:bookmarkStart w:name="_Toc146880452" w:id="16"/>
      <w:bookmarkStart w:name="_Toc146880503" w:id="17"/>
      <w:r>
        <w:rPr>
          <w:color w:val="000000" w:themeColor="text1"/>
        </w:rPr>
        <w:t xml:space="preserve">encourage la tenue d’un </w:t>
      </w:r>
      <w:r>
        <w:rPr>
          <w:b/>
          <w:color w:val="000000" w:themeColor="text1"/>
        </w:rPr>
        <w:t>large débat public</w:t>
      </w:r>
      <w:r>
        <w:rPr>
          <w:color w:val="000000" w:themeColor="text1"/>
        </w:rPr>
        <w:t xml:space="preserve"> sur les raisons de l’émission éventuelle d’un euro numérique, ses avantages et ses inconvénients, afin de prendre des décisions éclairées et de s’assurer que le grand public comprenne le projet;</w:t>
      </w:r>
      <w:bookmarkEnd w:id="15"/>
      <w:bookmarkEnd w:id="16"/>
      <w:bookmarkEnd w:id="17"/>
    </w:p>
    <w:p w:rsidRPr="006761B6" w:rsidR="00B95A48" w:rsidP="00426D38" w:rsidRDefault="00B95A48" w14:paraId="404BFCFF" w14:textId="77777777">
      <w:pPr>
        <w:pStyle w:val="Heading2"/>
        <w:numPr>
          <w:ilvl w:val="0"/>
          <w:numId w:val="9"/>
        </w:numPr>
        <w:ind w:left="644"/>
        <w:rPr>
          <w:color w:val="000000" w:themeColor="text1"/>
        </w:rPr>
      </w:pPr>
      <w:bookmarkStart w:name="_Toc146880253" w:id="18"/>
      <w:bookmarkStart w:name="_Toc146880453" w:id="19"/>
      <w:bookmarkStart w:name="_Toc146880504" w:id="20"/>
      <w:r>
        <w:rPr>
          <w:color w:val="000000" w:themeColor="text1"/>
        </w:rPr>
        <w:t xml:space="preserve">est fermement convaincu que l’euro numérique </w:t>
      </w:r>
      <w:r>
        <w:rPr>
          <w:b/>
          <w:color w:val="000000" w:themeColor="text1"/>
        </w:rPr>
        <w:t>devrait rendre l’économie européenne plus compétitive à l’échelle mondiale, favoriser l’innovation et renforcer l’autonomie stratégique de l’Union européenne</w:t>
      </w:r>
      <w:r>
        <w:rPr>
          <w:color w:val="000000" w:themeColor="text1"/>
        </w:rPr>
        <w:t>. En outre, il pourrait accroître la disponibilité, améliorer la rapidité et réduire le coût des paiements transfrontaliers et permettre des échanges plus fluides avec d’autres zones monétaires;</w:t>
      </w:r>
      <w:bookmarkEnd w:id="18"/>
      <w:bookmarkEnd w:id="19"/>
      <w:bookmarkEnd w:id="20"/>
    </w:p>
    <w:p w:rsidR="00B95A48" w:rsidP="00426D38" w:rsidRDefault="00B95A48" w14:paraId="3E35A1B9" w14:textId="77777777">
      <w:pPr>
        <w:pStyle w:val="Heading2"/>
        <w:numPr>
          <w:ilvl w:val="0"/>
          <w:numId w:val="9"/>
        </w:numPr>
        <w:ind w:left="644"/>
        <w:rPr>
          <w:color w:val="000000" w:themeColor="text1"/>
        </w:rPr>
      </w:pPr>
      <w:bookmarkStart w:name="_Toc146880254" w:id="21"/>
      <w:bookmarkStart w:name="_Toc146880454" w:id="22"/>
      <w:bookmarkStart w:name="_Toc146880505" w:id="23"/>
      <w:r>
        <w:rPr>
          <w:color w:val="000000" w:themeColor="text1"/>
        </w:rPr>
        <w:t xml:space="preserve">estime que la BCE devrait évaluer et contrôler en permanence comment et dans quelle mesure les </w:t>
      </w:r>
      <w:r>
        <w:rPr>
          <w:b/>
          <w:color w:val="000000" w:themeColor="text1"/>
        </w:rPr>
        <w:t>prestataires de services de paiement (PSP)</w:t>
      </w:r>
      <w:r>
        <w:rPr>
          <w:color w:val="000000" w:themeColor="text1"/>
        </w:rPr>
        <w:t xml:space="preserve"> devraient avoir le droit de récupérer les investissements liés à la mise en place de l’infrastructure et des services frontaux de l’euro numérique, étant donné qu’ils bénéficieront, au fil du temps, du passage des paiements de détail à des canaux numériques;</w:t>
      </w:r>
      <w:bookmarkEnd w:id="21"/>
      <w:bookmarkEnd w:id="22"/>
      <w:bookmarkEnd w:id="23"/>
    </w:p>
    <w:p w:rsidRPr="00F27733" w:rsidR="00B95A48" w:rsidP="00426D38" w:rsidRDefault="00B95A48" w14:paraId="2A89FCF1" w14:textId="77777777">
      <w:pPr>
        <w:pStyle w:val="Heading2"/>
        <w:numPr>
          <w:ilvl w:val="0"/>
          <w:numId w:val="9"/>
        </w:numPr>
        <w:ind w:left="644"/>
        <w:rPr>
          <w:color w:val="000000" w:themeColor="text1"/>
        </w:rPr>
      </w:pPr>
      <w:bookmarkStart w:name="_Toc146880255" w:id="24"/>
      <w:bookmarkStart w:name="_Toc146880455" w:id="25"/>
      <w:bookmarkStart w:name="_Toc146880506" w:id="26"/>
      <w:r>
        <w:rPr>
          <w:color w:val="000000" w:themeColor="text1"/>
        </w:rPr>
        <w:t xml:space="preserve">considère qu’il est essentiel de </w:t>
      </w:r>
      <w:r>
        <w:rPr>
          <w:b/>
          <w:color w:val="000000" w:themeColor="text1"/>
        </w:rPr>
        <w:t>veiller à ce que l’euro numérique n’ait pas de répercussions négatives sur la stabilité financière ou le potentiel de prêt</w:t>
      </w:r>
      <w:r>
        <w:rPr>
          <w:color w:val="000000" w:themeColor="text1"/>
        </w:rPr>
        <w:t>, pour autant que la base de financement des établissements de crédit ne soit pas indûment perturbée;</w:t>
      </w:r>
      <w:bookmarkEnd w:id="24"/>
      <w:bookmarkEnd w:id="25"/>
      <w:bookmarkEnd w:id="26"/>
    </w:p>
    <w:p w:rsidRPr="006761B6" w:rsidR="00B95A48" w:rsidP="00426D38" w:rsidRDefault="00B95A48" w14:paraId="0AB96F03" w14:textId="77777777">
      <w:pPr>
        <w:pStyle w:val="Heading2"/>
        <w:numPr>
          <w:ilvl w:val="0"/>
          <w:numId w:val="9"/>
        </w:numPr>
        <w:ind w:left="644"/>
        <w:rPr>
          <w:color w:val="000000" w:themeColor="text1"/>
        </w:rPr>
      </w:pPr>
      <w:bookmarkStart w:name="_Toc146880256" w:id="27"/>
      <w:bookmarkStart w:name="_Toc146880456" w:id="28"/>
      <w:bookmarkStart w:name="_Toc146880507" w:id="29"/>
      <w:r>
        <w:rPr>
          <w:color w:val="000000" w:themeColor="text1"/>
        </w:rPr>
        <w:t xml:space="preserve">est d’avis qu’il s’impose de respecter le principe du </w:t>
      </w:r>
      <w:r>
        <w:rPr>
          <w:b/>
          <w:color w:val="000000" w:themeColor="text1"/>
        </w:rPr>
        <w:t>cours légal de l’euro</w:t>
      </w:r>
      <w:r>
        <w:rPr>
          <w:color w:val="000000" w:themeColor="text1"/>
        </w:rPr>
        <w:t>, s’agissant des espèces ou de sa forme numérique, et que des règles harmonisées le régissant constituent des aspects importants pour garantir la facilité d’utilisation des deux formes de la monnaie;</w:t>
      </w:r>
      <w:bookmarkEnd w:id="27"/>
      <w:bookmarkEnd w:id="28"/>
      <w:bookmarkEnd w:id="29"/>
    </w:p>
    <w:p w:rsidRPr="004A5DAB" w:rsidR="00B95A48" w:rsidP="00426D38" w:rsidRDefault="00B95A48" w14:paraId="06E4882E" w14:textId="77777777">
      <w:pPr>
        <w:pStyle w:val="Heading2"/>
        <w:numPr>
          <w:ilvl w:val="0"/>
          <w:numId w:val="9"/>
        </w:numPr>
        <w:ind w:left="644"/>
        <w:rPr>
          <w:color w:val="000000" w:themeColor="text1"/>
        </w:rPr>
      </w:pPr>
      <w:bookmarkStart w:name="_Toc146880257" w:id="30"/>
      <w:bookmarkStart w:name="_Toc146880457" w:id="31"/>
      <w:bookmarkStart w:name="_Toc146880508" w:id="32"/>
      <w:r>
        <w:rPr>
          <w:color w:val="000000" w:themeColor="text1"/>
        </w:rPr>
        <w:t xml:space="preserve">demande que la proposition fasse l’objet d’un </w:t>
      </w:r>
      <w:r>
        <w:rPr>
          <w:b/>
          <w:color w:val="000000" w:themeColor="text1"/>
        </w:rPr>
        <w:t>contrôle de la compétitivité</w:t>
      </w:r>
      <w:r>
        <w:rPr>
          <w:color w:val="000000" w:themeColor="text1"/>
        </w:rPr>
        <w:t xml:space="preserve"> afin de confirmer son incidence positive sur la réalisation des objectifs déclarés et sur le soutien aux citoyens, aux entreprises, à la création d’emplois et aux conditions de travail.</w:t>
      </w:r>
      <w:bookmarkEnd w:id="30"/>
      <w:bookmarkEnd w:id="31"/>
      <w:bookmarkEnd w:id="32"/>
    </w:p>
    <w:p w:rsidRPr="001C74A3" w:rsidR="00B95A48" w:rsidP="00B95A48" w:rsidRDefault="00B95A48" w14:paraId="08490822" w14:textId="77777777">
      <w:pPr>
        <w:pStyle w:val="Heading2"/>
        <w:ind w:left="357"/>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B95A48" w:rsidTr="00195CCE" w14:paraId="1F9CD2F2" w14:textId="77777777">
        <w:tc>
          <w:tcPr>
            <w:tcW w:w="1418" w:type="dxa"/>
          </w:tcPr>
          <w:p w:rsidRPr="001832DE" w:rsidR="00B95A48" w:rsidP="00195CCE" w:rsidRDefault="00B95A48" w14:paraId="7940FAF8" w14:textId="77777777">
            <w:pPr>
              <w:spacing w:line="240" w:lineRule="auto"/>
              <w:rPr>
                <w:i/>
              </w:rPr>
            </w:pPr>
            <w:r>
              <w:rPr>
                <w:b/>
                <w:i/>
              </w:rPr>
              <w:t>Contact</w:t>
            </w:r>
          </w:p>
        </w:tc>
        <w:tc>
          <w:tcPr>
            <w:tcW w:w="5670" w:type="dxa"/>
          </w:tcPr>
          <w:p w:rsidRPr="001832DE" w:rsidR="00B95A48" w:rsidP="00195CCE" w:rsidRDefault="00B95A48" w14:paraId="4CE8F21B" w14:textId="77777777">
            <w:pPr>
              <w:spacing w:line="240" w:lineRule="auto"/>
              <w:rPr>
                <w:i/>
              </w:rPr>
            </w:pPr>
            <w:proofErr w:type="spellStart"/>
            <w:r>
              <w:rPr>
                <w:i/>
              </w:rPr>
              <w:t>Krisztina</w:t>
            </w:r>
            <w:proofErr w:type="spellEnd"/>
            <w:r>
              <w:rPr>
                <w:i/>
              </w:rPr>
              <w:t> PERLAKY-TÓTH</w:t>
            </w:r>
          </w:p>
        </w:tc>
      </w:tr>
      <w:tr w:rsidR="00B95A48" w:rsidTr="00195CCE" w14:paraId="7566C2C3" w14:textId="77777777">
        <w:tc>
          <w:tcPr>
            <w:tcW w:w="1418" w:type="dxa"/>
          </w:tcPr>
          <w:p w:rsidRPr="001832DE" w:rsidR="00B95A48" w:rsidP="00195CCE" w:rsidRDefault="00B95A48" w14:paraId="5E555F49" w14:textId="77777777">
            <w:pPr>
              <w:spacing w:line="240" w:lineRule="auto"/>
              <w:rPr>
                <w:i/>
              </w:rPr>
            </w:pPr>
            <w:r>
              <w:rPr>
                <w:i/>
              </w:rPr>
              <w:t>Tél.</w:t>
            </w:r>
          </w:p>
        </w:tc>
        <w:tc>
          <w:tcPr>
            <w:tcW w:w="5670" w:type="dxa"/>
          </w:tcPr>
          <w:p w:rsidRPr="001832DE" w:rsidR="00B95A48" w:rsidP="00195CCE" w:rsidRDefault="00B95A48" w14:paraId="0C355767" w14:textId="77777777">
            <w:pPr>
              <w:spacing w:line="240" w:lineRule="auto"/>
              <w:rPr>
                <w:i/>
              </w:rPr>
            </w:pPr>
            <w:r>
              <w:rPr>
                <w:i/>
              </w:rPr>
              <w:t>+32 25469740</w:t>
            </w:r>
          </w:p>
        </w:tc>
      </w:tr>
      <w:tr w:rsidR="00B95A48" w:rsidTr="00195CCE" w14:paraId="7BAC161F" w14:textId="77777777">
        <w:tc>
          <w:tcPr>
            <w:tcW w:w="1418" w:type="dxa"/>
          </w:tcPr>
          <w:p w:rsidRPr="001832DE" w:rsidR="00B95A48" w:rsidP="00195CCE" w:rsidRDefault="00B95A48" w14:paraId="024AA376" w14:textId="77777777">
            <w:pPr>
              <w:spacing w:line="240" w:lineRule="auto"/>
              <w:rPr>
                <w:i/>
              </w:rPr>
            </w:pPr>
            <w:r>
              <w:rPr>
                <w:i/>
              </w:rPr>
              <w:t>Courriel</w:t>
            </w:r>
          </w:p>
        </w:tc>
        <w:tc>
          <w:tcPr>
            <w:tcW w:w="5670" w:type="dxa"/>
          </w:tcPr>
          <w:p w:rsidRPr="001832DE" w:rsidR="00B95A48" w:rsidP="00195CCE" w:rsidRDefault="006F4895" w14:paraId="046D99A6" w14:textId="77777777">
            <w:pPr>
              <w:spacing w:line="240" w:lineRule="auto"/>
              <w:rPr>
                <w:i/>
              </w:rPr>
            </w:pPr>
            <w:hyperlink w:history="1" r:id="rId30">
              <w:r w:rsidR="00B95A48">
                <w:rPr>
                  <w:rStyle w:val="Hyperlink"/>
                  <w:i/>
                </w:rPr>
                <w:t>Krisztina.PerlakyToth@eesc.europa.eu</w:t>
              </w:r>
            </w:hyperlink>
          </w:p>
        </w:tc>
      </w:tr>
    </w:tbl>
    <w:p w:rsidRPr="00DB4CB3" w:rsidR="00E47B9A" w:rsidP="004136D5" w:rsidRDefault="006F4895" w14:paraId="394E4B71" w14:textId="0CBE0473">
      <w:pPr>
        <w:widowControl w:val="0"/>
        <w:numPr>
          <w:ilvl w:val="0"/>
          <w:numId w:val="20"/>
        </w:numPr>
        <w:overflowPunct w:val="0"/>
        <w:autoSpaceDE w:val="0"/>
        <w:autoSpaceDN w:val="0"/>
        <w:adjustRightInd w:val="0"/>
        <w:ind w:left="426" w:hanging="426"/>
        <w:textAlignment w:val="baseline"/>
        <w:rPr>
          <w:sz w:val="20"/>
        </w:rPr>
      </w:pPr>
      <w:hyperlink w:history="1" r:id="rId31">
        <w:r w:rsidR="00E47B9A">
          <w:rPr>
            <w:rStyle w:val="Hyperlink"/>
            <w:b/>
            <w:i/>
            <w:sz w:val="28"/>
          </w:rPr>
          <w:t>De nouvelles règles de gouvernance économique parées pour l’avenir</w:t>
        </w:r>
      </w:hyperlink>
    </w:p>
    <w:p w:rsidRPr="00DB4CB3" w:rsidR="00E47B9A" w:rsidP="00E47B9A" w:rsidRDefault="00E47B9A" w14:paraId="0BB10100" w14:textId="77777777">
      <w:pPr>
        <w:tabs>
          <w:tab w:val="center" w:pos="284"/>
        </w:tabs>
        <w:ind w:left="266" w:hanging="266"/>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63"/>
      </w:tblGrid>
      <w:tr w:rsidR="00E47B9A" w:rsidTr="00195CCE" w14:paraId="604BB066" w14:textId="77777777">
        <w:tc>
          <w:tcPr>
            <w:tcW w:w="1701" w:type="dxa"/>
          </w:tcPr>
          <w:p w:rsidRPr="001832DE" w:rsidR="00E47B9A" w:rsidP="00195CCE" w:rsidRDefault="00E47B9A" w14:paraId="20801366" w14:textId="77777777">
            <w:pPr>
              <w:tabs>
                <w:tab w:val="center" w:pos="284"/>
              </w:tabs>
              <w:ind w:left="266" w:hanging="266"/>
              <w:rPr>
                <w:b/>
              </w:rPr>
            </w:pPr>
            <w:r>
              <w:rPr>
                <w:b/>
              </w:rPr>
              <w:t>Rapporteur</w:t>
            </w:r>
          </w:p>
        </w:tc>
        <w:tc>
          <w:tcPr>
            <w:tcW w:w="6663" w:type="dxa"/>
          </w:tcPr>
          <w:p w:rsidRPr="001832DE" w:rsidR="00E47B9A" w:rsidP="00195CCE" w:rsidRDefault="00E47B9A" w14:paraId="6C7504F2" w14:textId="7ED103A1">
            <w:pPr>
              <w:tabs>
                <w:tab w:val="center" w:pos="284"/>
              </w:tabs>
              <w:ind w:left="266" w:hanging="266"/>
            </w:pPr>
            <w:r>
              <w:t xml:space="preserve">Javier DOZ ORRIT (groupe des travailleurs — </w:t>
            </w:r>
            <w:r w:rsidR="00790D42">
              <w:t>ES</w:t>
            </w:r>
            <w:r>
              <w:t>)</w:t>
            </w:r>
          </w:p>
        </w:tc>
      </w:tr>
      <w:tr w:rsidR="00E47B9A" w:rsidTr="00195CCE" w14:paraId="3484FF4D" w14:textId="77777777">
        <w:tc>
          <w:tcPr>
            <w:tcW w:w="1701" w:type="dxa"/>
          </w:tcPr>
          <w:p w:rsidRPr="001832DE" w:rsidR="00E47B9A" w:rsidP="00195CCE" w:rsidRDefault="00E47B9A" w14:paraId="52BB15E4" w14:textId="77777777">
            <w:pPr>
              <w:tabs>
                <w:tab w:val="center" w:pos="284"/>
              </w:tabs>
              <w:ind w:left="266" w:hanging="266"/>
              <w:rPr>
                <w:b/>
              </w:rPr>
            </w:pPr>
            <w:r>
              <w:rPr>
                <w:b/>
              </w:rPr>
              <w:t>Corapporteur</w:t>
            </w:r>
          </w:p>
        </w:tc>
        <w:tc>
          <w:tcPr>
            <w:tcW w:w="6663" w:type="dxa"/>
          </w:tcPr>
          <w:p w:rsidRPr="001832DE" w:rsidR="00E47B9A" w:rsidP="00195CCE" w:rsidRDefault="00E47B9A" w14:paraId="6E43A7B0" w14:textId="452AC06E">
            <w:pPr>
              <w:tabs>
                <w:tab w:val="center" w:pos="284"/>
              </w:tabs>
              <w:ind w:left="266" w:hanging="266"/>
            </w:pPr>
            <w:r>
              <w:t xml:space="preserve">Luca JAHIER (groupe </w:t>
            </w:r>
            <w:r w:rsidR="00426D38">
              <w:t>des organisations de la société civile</w:t>
            </w:r>
            <w:r>
              <w:t xml:space="preserve"> — </w:t>
            </w:r>
            <w:r w:rsidR="00790D42">
              <w:t>IT</w:t>
            </w:r>
            <w:r>
              <w:t>)</w:t>
            </w:r>
          </w:p>
        </w:tc>
      </w:tr>
      <w:tr w:rsidR="00E47B9A" w:rsidTr="00195CCE" w14:paraId="3FED6549" w14:textId="77777777">
        <w:tc>
          <w:tcPr>
            <w:tcW w:w="8364" w:type="dxa"/>
            <w:gridSpan w:val="2"/>
          </w:tcPr>
          <w:p w:rsidRPr="001832DE" w:rsidR="00E47B9A" w:rsidP="00195CCE" w:rsidRDefault="00E47B9A" w14:paraId="6D430A42" w14:textId="77777777">
            <w:pPr>
              <w:tabs>
                <w:tab w:val="center" w:pos="284"/>
              </w:tabs>
              <w:spacing w:line="160" w:lineRule="exact"/>
              <w:ind w:left="266" w:hanging="266"/>
            </w:pPr>
          </w:p>
        </w:tc>
      </w:tr>
      <w:tr w:rsidR="00E47B9A" w:rsidTr="00195CCE" w14:paraId="3EB1417C" w14:textId="77777777">
        <w:tc>
          <w:tcPr>
            <w:tcW w:w="1701" w:type="dxa"/>
            <w:vMerge w:val="restart"/>
          </w:tcPr>
          <w:p w:rsidRPr="001832DE" w:rsidR="00E47B9A" w:rsidP="00195CCE" w:rsidRDefault="00E47B9A" w14:paraId="11537D29" w14:textId="77777777">
            <w:pPr>
              <w:tabs>
                <w:tab w:val="center" w:pos="284"/>
              </w:tabs>
              <w:ind w:left="266" w:hanging="266"/>
              <w:rPr>
                <w:b/>
              </w:rPr>
            </w:pPr>
            <w:r>
              <w:rPr>
                <w:b/>
              </w:rPr>
              <w:t>Références</w:t>
            </w:r>
          </w:p>
        </w:tc>
        <w:tc>
          <w:tcPr>
            <w:tcW w:w="6663" w:type="dxa"/>
          </w:tcPr>
          <w:p w:rsidR="00426D38" w:rsidP="00195CCE" w:rsidRDefault="00E47B9A" w14:paraId="20520E3F" w14:textId="77777777">
            <w:pPr>
              <w:tabs>
                <w:tab w:val="center" w:pos="284"/>
              </w:tabs>
            </w:pPr>
            <w:r>
              <w:t>COM(2023) 240 final</w:t>
            </w:r>
          </w:p>
          <w:p w:rsidR="00426D38" w:rsidP="00195CCE" w:rsidRDefault="00E47B9A" w14:paraId="3019F684" w14:textId="77777777">
            <w:pPr>
              <w:tabs>
                <w:tab w:val="center" w:pos="284"/>
              </w:tabs>
            </w:pPr>
            <w:r>
              <w:t>COM(2023) 241 final</w:t>
            </w:r>
          </w:p>
          <w:p w:rsidRPr="001832DE" w:rsidR="00E47B9A" w:rsidP="00195CCE" w:rsidRDefault="00E47B9A" w14:paraId="4AF546FD" w14:textId="7E1FD3A8">
            <w:pPr>
              <w:tabs>
                <w:tab w:val="center" w:pos="284"/>
              </w:tabs>
            </w:pPr>
            <w:r>
              <w:t>COM(2023) 242 final</w:t>
            </w:r>
          </w:p>
        </w:tc>
      </w:tr>
      <w:tr w:rsidR="00E47B9A" w:rsidTr="00195CCE" w14:paraId="345AFEEF" w14:textId="77777777">
        <w:tc>
          <w:tcPr>
            <w:tcW w:w="1701" w:type="dxa"/>
            <w:vMerge/>
          </w:tcPr>
          <w:p w:rsidRPr="001832DE" w:rsidR="00E47B9A" w:rsidP="00195CCE" w:rsidRDefault="00E47B9A" w14:paraId="312A0944" w14:textId="77777777">
            <w:pPr>
              <w:tabs>
                <w:tab w:val="center" w:pos="284"/>
              </w:tabs>
              <w:ind w:left="266" w:hanging="266"/>
              <w:rPr>
                <w:b/>
              </w:rPr>
            </w:pPr>
          </w:p>
        </w:tc>
        <w:tc>
          <w:tcPr>
            <w:tcW w:w="6663" w:type="dxa"/>
          </w:tcPr>
          <w:p w:rsidRPr="001832DE" w:rsidR="00E47B9A" w:rsidP="00195CCE" w:rsidRDefault="00E47B9A" w14:paraId="34B239AA" w14:textId="605E8A4B">
            <w:pPr>
              <w:tabs>
                <w:tab w:val="center" w:pos="284"/>
              </w:tabs>
            </w:pPr>
            <w:r>
              <w:t>EESC-2023-02275-00-00-AC</w:t>
            </w:r>
          </w:p>
        </w:tc>
      </w:tr>
    </w:tbl>
    <w:p w:rsidR="00E47B9A" w:rsidP="00E47B9A" w:rsidRDefault="00E47B9A" w14:paraId="21F2D7F0" w14:textId="77777777">
      <w:pPr>
        <w:keepNext/>
        <w:keepLines/>
        <w:tabs>
          <w:tab w:val="center" w:pos="284"/>
        </w:tabs>
        <w:ind w:left="266" w:hanging="266"/>
        <w:rPr>
          <w:b/>
        </w:rPr>
      </w:pPr>
    </w:p>
    <w:p w:rsidR="00E47B9A" w:rsidP="00E47B9A" w:rsidRDefault="00E47B9A" w14:paraId="7C52E61B" w14:textId="77777777">
      <w:pPr>
        <w:keepNext/>
        <w:keepLines/>
        <w:tabs>
          <w:tab w:val="center" w:pos="284"/>
        </w:tabs>
        <w:ind w:left="266" w:hanging="266"/>
        <w:rPr>
          <w:b/>
        </w:rPr>
      </w:pPr>
      <w:r>
        <w:rPr>
          <w:b/>
        </w:rPr>
        <w:t>Points clés</w:t>
      </w:r>
    </w:p>
    <w:p w:rsidR="004136D5" w:rsidP="00E47B9A" w:rsidRDefault="004136D5" w14:paraId="3C04FFF9" w14:textId="77777777">
      <w:pPr>
        <w:keepNext/>
      </w:pPr>
    </w:p>
    <w:p w:rsidR="00E47B9A" w:rsidP="00E47B9A" w:rsidRDefault="00E47B9A" w14:paraId="5FAF5C15" w14:textId="77441AEE">
      <w:pPr>
        <w:keepNext/>
      </w:pPr>
      <w:r>
        <w:t>Le CESE:</w:t>
      </w:r>
    </w:p>
    <w:p w:rsidRPr="00874ADC" w:rsidR="004136D5" w:rsidP="00E47B9A" w:rsidRDefault="004136D5" w14:paraId="0ACA25CF" w14:textId="77777777">
      <w:pPr>
        <w:keepNext/>
      </w:pPr>
    </w:p>
    <w:p w:rsidRPr="00874ADC" w:rsidR="00E47B9A" w:rsidP="00426D38" w:rsidRDefault="00E47B9A" w14:paraId="656C6F96" w14:textId="77777777">
      <w:pPr>
        <w:pStyle w:val="Heading2"/>
        <w:numPr>
          <w:ilvl w:val="0"/>
          <w:numId w:val="10"/>
        </w:numPr>
        <w:tabs>
          <w:tab w:val="num" w:pos="360"/>
        </w:tabs>
        <w:ind w:left="567" w:hanging="567"/>
      </w:pPr>
      <w:bookmarkStart w:name="_Toc146880258" w:id="33"/>
      <w:bookmarkStart w:name="_Toc146880458" w:id="34"/>
      <w:bookmarkStart w:name="_Toc146880509" w:id="35"/>
      <w:r>
        <w:t xml:space="preserve">accueille favorablement </w:t>
      </w:r>
      <w:r>
        <w:rPr>
          <w:b/>
        </w:rPr>
        <w:t>la simplification et la transparence accrue du cadre de gouvernance économique</w:t>
      </w:r>
      <w:r>
        <w:t>, la réduction du biais procyclique, le renforcement de l’adhésion nationale et de l’application des règles, la différenciation entre les États membres et une trajectoire d’ajustement budgétaire mieux adaptée à chacun d’eux, sur la base d’un cadre de risque commun;</w:t>
      </w:r>
      <w:bookmarkEnd w:id="33"/>
      <w:bookmarkEnd w:id="34"/>
      <w:bookmarkEnd w:id="35"/>
    </w:p>
    <w:p w:rsidRPr="00015464" w:rsidR="00E47B9A" w:rsidP="00426D38" w:rsidRDefault="00E47B9A" w14:paraId="0C01C528" w14:textId="77777777">
      <w:pPr>
        <w:pStyle w:val="Heading2"/>
        <w:numPr>
          <w:ilvl w:val="0"/>
          <w:numId w:val="10"/>
        </w:numPr>
        <w:tabs>
          <w:tab w:val="num" w:pos="360"/>
        </w:tabs>
        <w:ind w:left="567" w:hanging="567"/>
      </w:pPr>
      <w:bookmarkStart w:name="_Toc146880259" w:id="36"/>
      <w:bookmarkStart w:name="_Toc146880459" w:id="37"/>
      <w:bookmarkStart w:name="_Toc146880510" w:id="38"/>
      <w:r>
        <w:t xml:space="preserve">plaide pour que </w:t>
      </w:r>
      <w:r>
        <w:rPr>
          <w:b/>
        </w:rPr>
        <w:t>les négociations s’ouvrent rapidement entre les colégislateurs</w:t>
      </w:r>
      <w:r>
        <w:t xml:space="preserve"> afin qu’un accord sur les réformes puisse être trouvé avant la fin de l’année en cours, en vue d’une mise en œuvre avant les prochaines élections européennes, car un cadre à long terme robuste, équilibré, exécutoire et prévisible revêt la plus haute importance pour le marché de la dette également;</w:t>
      </w:r>
      <w:bookmarkEnd w:id="36"/>
      <w:bookmarkEnd w:id="37"/>
      <w:bookmarkEnd w:id="38"/>
    </w:p>
    <w:p w:rsidRPr="00874ADC" w:rsidR="00E47B9A" w:rsidP="00426D38" w:rsidRDefault="00E47B9A" w14:paraId="3AF54614" w14:textId="77777777">
      <w:pPr>
        <w:pStyle w:val="Heading2"/>
        <w:numPr>
          <w:ilvl w:val="0"/>
          <w:numId w:val="10"/>
        </w:numPr>
        <w:tabs>
          <w:tab w:val="num" w:pos="360"/>
        </w:tabs>
        <w:ind w:left="567" w:hanging="567"/>
      </w:pPr>
      <w:bookmarkStart w:name="_Toc146880260" w:id="39"/>
      <w:bookmarkStart w:name="_Toc146880460" w:id="40"/>
      <w:bookmarkStart w:name="_Toc146880511" w:id="41"/>
      <w:r>
        <w:t xml:space="preserve">propose de </w:t>
      </w:r>
      <w:r>
        <w:rPr>
          <w:b/>
        </w:rPr>
        <w:t>remplacer l’obligation</w:t>
      </w:r>
      <w:r>
        <w:t xml:space="preserve">, pour tout État membre dont le déficit budgétaire est supérieur à 3 %, </w:t>
      </w:r>
      <w:r>
        <w:rPr>
          <w:b/>
        </w:rPr>
        <w:t>de réduire ce déficit à hauteur de 0,5 % du PIB en moyenne par an</w:t>
      </w:r>
      <w:r>
        <w:t xml:space="preserve">, sauf en cas de circonstances exceptionnelles, </w:t>
      </w:r>
      <w:r>
        <w:rPr>
          <w:b/>
        </w:rPr>
        <w:t>par une disposition qui puisse être davantage adaptée à la situation particulière des États membres</w:t>
      </w:r>
      <w:r>
        <w:t xml:space="preserve"> et qui devrait garantir la soutenabilité de la dette à long terme;</w:t>
      </w:r>
      <w:bookmarkEnd w:id="39"/>
      <w:bookmarkEnd w:id="40"/>
      <w:bookmarkEnd w:id="41"/>
    </w:p>
    <w:p w:rsidR="00E47B9A" w:rsidP="00426D38" w:rsidRDefault="00E47B9A" w14:paraId="6E8E5018" w14:textId="77777777">
      <w:pPr>
        <w:pStyle w:val="Heading2"/>
        <w:numPr>
          <w:ilvl w:val="0"/>
          <w:numId w:val="10"/>
        </w:numPr>
        <w:tabs>
          <w:tab w:val="num" w:pos="360"/>
        </w:tabs>
        <w:ind w:left="567" w:hanging="567"/>
      </w:pPr>
      <w:bookmarkStart w:name="_Toc146880261" w:id="42"/>
      <w:bookmarkStart w:name="_Toc146880461" w:id="43"/>
      <w:bookmarkStart w:name="_Toc146880512" w:id="44"/>
      <w:r>
        <w:t xml:space="preserve">demande de traiter séparément les </w:t>
      </w:r>
      <w:r>
        <w:rPr>
          <w:b/>
        </w:rPr>
        <w:t>investissements publics</w:t>
      </w:r>
      <w:r>
        <w:t>, du moins en ce qui concerne la transition écologique et la défense, au moment de décider s’il y a lieu d’ouvrir une procédure concernant les déficits excessifs, afin de donner aux États membres la possibilité d’engager les investissements publics nécessaires pour répondre aux priorités communes;</w:t>
      </w:r>
      <w:bookmarkEnd w:id="42"/>
      <w:bookmarkEnd w:id="43"/>
      <w:bookmarkEnd w:id="44"/>
    </w:p>
    <w:p w:rsidR="00E47B9A" w:rsidP="00426D38" w:rsidRDefault="00E47B9A" w14:paraId="64A398F6" w14:textId="77777777">
      <w:pPr>
        <w:pStyle w:val="Heading2"/>
        <w:numPr>
          <w:ilvl w:val="0"/>
          <w:numId w:val="10"/>
        </w:numPr>
        <w:tabs>
          <w:tab w:val="num" w:pos="360"/>
        </w:tabs>
        <w:ind w:left="567" w:hanging="567"/>
      </w:pPr>
      <w:bookmarkStart w:name="_Toc146880262" w:id="45"/>
      <w:bookmarkStart w:name="_Toc146880462" w:id="46"/>
      <w:bookmarkStart w:name="_Toc146880513" w:id="47"/>
      <w:r>
        <w:t xml:space="preserve">estime qu’une </w:t>
      </w:r>
      <w:r>
        <w:rPr>
          <w:b/>
        </w:rPr>
        <w:t>capacité budgétaire de l’UE</w:t>
      </w:r>
      <w:r>
        <w:t xml:space="preserve"> devrait être mise en place en temps utile, et au plus tard en 2026, pour répondre à au moins certains des besoins d’investissement en faveur des priorités communes et accorder aux États membres la marge de manœuvre budgétaire nécessaire pour assumer les coûts budgétaires que comportent les multiples transitions et qui ne sont pas considérés comme des investissements;</w:t>
      </w:r>
      <w:bookmarkEnd w:id="45"/>
      <w:bookmarkEnd w:id="46"/>
      <w:bookmarkEnd w:id="47"/>
    </w:p>
    <w:p w:rsidR="00E47B9A" w:rsidP="00426D38" w:rsidRDefault="00E47B9A" w14:paraId="732FF31A" w14:textId="77777777">
      <w:pPr>
        <w:pStyle w:val="Heading2"/>
        <w:numPr>
          <w:ilvl w:val="0"/>
          <w:numId w:val="10"/>
        </w:numPr>
        <w:tabs>
          <w:tab w:val="num" w:pos="360"/>
        </w:tabs>
        <w:ind w:left="567" w:hanging="567"/>
      </w:pPr>
      <w:bookmarkStart w:name="_Toc146880263" w:id="48"/>
      <w:bookmarkStart w:name="_Toc146880463" w:id="49"/>
      <w:bookmarkStart w:name="_Toc146880514" w:id="50"/>
      <w:r>
        <w:t xml:space="preserve">appelle de ses vœux l’adoption d’une </w:t>
      </w:r>
      <w:r>
        <w:rPr>
          <w:b/>
        </w:rPr>
        <w:t>définition de l’investissement public</w:t>
      </w:r>
      <w:r>
        <w:t xml:space="preserve"> dans laquelle l’éligibilité des dépenses publiques non courantes soit étendue au-delà de la formation de capital fixe de manière à englober la constitution de capital naturel et humain permettant des investissements publics dans des objectifs écologiques et sociaux;</w:t>
      </w:r>
      <w:bookmarkEnd w:id="48"/>
      <w:bookmarkEnd w:id="49"/>
      <w:bookmarkEnd w:id="50"/>
    </w:p>
    <w:p w:rsidR="00E47B9A" w:rsidP="00426D38" w:rsidRDefault="00E47B9A" w14:paraId="118E0F34" w14:textId="77777777">
      <w:pPr>
        <w:pStyle w:val="Heading2"/>
        <w:numPr>
          <w:ilvl w:val="0"/>
          <w:numId w:val="10"/>
        </w:numPr>
        <w:tabs>
          <w:tab w:val="num" w:pos="360"/>
        </w:tabs>
        <w:ind w:left="567" w:hanging="567"/>
      </w:pPr>
      <w:bookmarkStart w:name="_Toc146880264" w:id="51"/>
      <w:bookmarkStart w:name="_Toc146880464" w:id="52"/>
      <w:bookmarkStart w:name="_Toc146880515" w:id="53"/>
      <w:r>
        <w:t xml:space="preserve">demande aux colégislateurs de procéder à un </w:t>
      </w:r>
      <w:r>
        <w:rPr>
          <w:b/>
        </w:rPr>
        <w:t>examen plus poussé et approfondi</w:t>
      </w:r>
      <w:r>
        <w:t xml:space="preserve"> avant d’adopter le </w:t>
      </w:r>
      <w:r>
        <w:rPr>
          <w:b/>
        </w:rPr>
        <w:t>nouveau règlement sur la méthode d’analyse de la soutenabilité de la dette</w:t>
      </w:r>
      <w:r>
        <w:t xml:space="preserve">, afin d’éviter tout effet automatique involontaire découlant de nouvelles politiques </w:t>
      </w:r>
      <w:r>
        <w:lastRenderedPageBreak/>
        <w:t>d’austérité, en particulier au regard de l’incidence sociale des mesures qu’il conviendra de prévoir à terme;</w:t>
      </w:r>
      <w:bookmarkEnd w:id="51"/>
      <w:bookmarkEnd w:id="52"/>
      <w:bookmarkEnd w:id="53"/>
    </w:p>
    <w:p w:rsidRPr="00682D73" w:rsidR="00E47B9A" w:rsidP="00426D38" w:rsidRDefault="00E47B9A" w14:paraId="11EA00F4" w14:textId="77777777">
      <w:pPr>
        <w:pStyle w:val="Heading2"/>
        <w:numPr>
          <w:ilvl w:val="0"/>
          <w:numId w:val="10"/>
        </w:numPr>
        <w:tabs>
          <w:tab w:val="num" w:pos="360"/>
        </w:tabs>
        <w:ind w:left="567" w:hanging="567"/>
      </w:pPr>
      <w:bookmarkStart w:name="_Toc146880265" w:id="54"/>
      <w:bookmarkStart w:name="_Toc146880465" w:id="55"/>
      <w:bookmarkStart w:name="_Toc146880516" w:id="56"/>
      <w:r>
        <w:t xml:space="preserve">estime que </w:t>
      </w:r>
      <w:r>
        <w:rPr>
          <w:b/>
        </w:rPr>
        <w:t>les sanctions</w:t>
      </w:r>
      <w:r>
        <w:t xml:space="preserve"> prévues au titre de la procédure concernant les déficits excessifs </w:t>
      </w:r>
      <w:r>
        <w:rPr>
          <w:b/>
        </w:rPr>
        <w:t>ne devraient pas être appliquées de manière automatique</w:t>
      </w:r>
      <w:r>
        <w:t>, sur la base d’une répartition des pays en catégories en fonction de leurs ratios de dette publique;</w:t>
      </w:r>
      <w:bookmarkEnd w:id="54"/>
      <w:bookmarkEnd w:id="55"/>
      <w:bookmarkEnd w:id="56"/>
    </w:p>
    <w:p w:rsidR="00E47B9A" w:rsidP="00426D38" w:rsidRDefault="00E47B9A" w14:paraId="593359EB" w14:textId="77777777">
      <w:pPr>
        <w:pStyle w:val="Heading2"/>
        <w:numPr>
          <w:ilvl w:val="0"/>
          <w:numId w:val="10"/>
        </w:numPr>
        <w:tabs>
          <w:tab w:val="num" w:pos="360"/>
        </w:tabs>
        <w:ind w:left="567" w:hanging="567"/>
      </w:pPr>
      <w:bookmarkStart w:name="_Toc146880266" w:id="57"/>
      <w:bookmarkStart w:name="_Toc146880466" w:id="58"/>
      <w:bookmarkStart w:name="_Toc146880517" w:id="59"/>
      <w:r>
        <w:t>est convaincu que la «</w:t>
      </w:r>
      <w:r>
        <w:rPr>
          <w:b/>
        </w:rPr>
        <w:t>trajectoire technique</w:t>
      </w:r>
      <w:r>
        <w:t>» devrait être en premier lieu du ressort des gouvernements nationaux et soumise à l’avis d’organismes budgétaires nationaux indépendants, puis, dans un second temps, être le fruit d’un dialogue technique avec la Commission européenne afin de renforcer l’adhésion nationale au processus;</w:t>
      </w:r>
      <w:bookmarkEnd w:id="57"/>
      <w:bookmarkEnd w:id="58"/>
      <w:bookmarkEnd w:id="59"/>
    </w:p>
    <w:p w:rsidRPr="00826D09" w:rsidR="00E47B9A" w:rsidP="00426D38" w:rsidRDefault="00E47B9A" w14:paraId="220D7EF0" w14:textId="77777777">
      <w:pPr>
        <w:pStyle w:val="Heading2"/>
        <w:numPr>
          <w:ilvl w:val="0"/>
          <w:numId w:val="10"/>
        </w:numPr>
        <w:tabs>
          <w:tab w:val="num" w:pos="360"/>
        </w:tabs>
        <w:ind w:left="567" w:hanging="567"/>
      </w:pPr>
      <w:bookmarkStart w:name="_Toc146880267" w:id="60"/>
      <w:bookmarkStart w:name="_Toc146880467" w:id="61"/>
      <w:bookmarkStart w:name="_Toc146880518" w:id="62"/>
      <w:r>
        <w:t xml:space="preserve">réclame une nouvelle fois que </w:t>
      </w:r>
      <w:r>
        <w:rPr>
          <w:b/>
        </w:rPr>
        <w:t>la participation des partenaires sociaux et des organisations de la société civile</w:t>
      </w:r>
      <w:r>
        <w:t xml:space="preserve"> soit inscrite dans la proposition de règlement, laquelle devrait prévoir </w:t>
      </w:r>
      <w:r>
        <w:rPr>
          <w:b/>
        </w:rPr>
        <w:t>l’obligation de mettre en place des procédures de consultation permanentes et structurées</w:t>
      </w:r>
      <w:r>
        <w:t xml:space="preserve"> aux différentes étapes du nouveau cadre de gouvernance économique. Le CESE et le CdR devraient en outre être associés au «dialogue relatif au Semestre européen»;</w:t>
      </w:r>
      <w:bookmarkEnd w:id="60"/>
      <w:bookmarkEnd w:id="61"/>
      <w:bookmarkEnd w:id="62"/>
    </w:p>
    <w:p w:rsidR="00E47B9A" w:rsidP="00426D38" w:rsidRDefault="00E47B9A" w14:paraId="7ACB8C9C" w14:textId="77777777">
      <w:pPr>
        <w:pStyle w:val="Heading2"/>
        <w:numPr>
          <w:ilvl w:val="0"/>
          <w:numId w:val="10"/>
        </w:numPr>
        <w:tabs>
          <w:tab w:val="num" w:pos="360"/>
        </w:tabs>
        <w:ind w:left="567" w:hanging="567"/>
      </w:pPr>
      <w:bookmarkStart w:name="_Toc146880268" w:id="63"/>
      <w:bookmarkStart w:name="_Toc146880468" w:id="64"/>
      <w:bookmarkStart w:name="_Toc146880519" w:id="65"/>
      <w:r>
        <w:t xml:space="preserve">est d’avis que les parlements nationaux et le Parlement européen ont un rôle à jouer dans le cadre de gouvernance économique de l’Union pour </w:t>
      </w:r>
      <w:r>
        <w:rPr>
          <w:b/>
        </w:rPr>
        <w:t>renforcer la responsabilité démocratique</w:t>
      </w:r>
      <w:r>
        <w:t>.</w:t>
      </w:r>
      <w:bookmarkEnd w:id="63"/>
      <w:bookmarkEnd w:id="64"/>
      <w:bookmarkEnd w:id="65"/>
    </w:p>
    <w:p w:rsidR="00E47B9A" w:rsidP="00E47B9A" w:rsidRDefault="00E47B9A" w14:paraId="6DDE2B3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E47B9A" w:rsidTr="00195CCE" w14:paraId="2BA2C5F6" w14:textId="77777777">
        <w:tc>
          <w:tcPr>
            <w:tcW w:w="1418" w:type="dxa"/>
          </w:tcPr>
          <w:p w:rsidRPr="001832DE" w:rsidR="00E47B9A" w:rsidP="00195CCE" w:rsidRDefault="00E47B9A" w14:paraId="7F2BCDA4" w14:textId="77777777">
            <w:pPr>
              <w:spacing w:line="240" w:lineRule="auto"/>
              <w:rPr>
                <w:i/>
              </w:rPr>
            </w:pPr>
            <w:r>
              <w:rPr>
                <w:b/>
                <w:i/>
              </w:rPr>
              <w:t>Contact</w:t>
            </w:r>
          </w:p>
        </w:tc>
        <w:tc>
          <w:tcPr>
            <w:tcW w:w="5670" w:type="dxa"/>
          </w:tcPr>
          <w:p w:rsidRPr="001832DE" w:rsidR="00E47B9A" w:rsidP="00195CCE" w:rsidRDefault="00E47B9A" w14:paraId="4E7CFA7F" w14:textId="7F7D711F">
            <w:pPr>
              <w:spacing w:line="240" w:lineRule="auto"/>
              <w:rPr>
                <w:i/>
              </w:rPr>
            </w:pPr>
            <w:proofErr w:type="spellStart"/>
            <w:r>
              <w:rPr>
                <w:i/>
              </w:rPr>
              <w:t>Krisztina</w:t>
            </w:r>
            <w:proofErr w:type="spellEnd"/>
            <w:r>
              <w:rPr>
                <w:i/>
              </w:rPr>
              <w:t xml:space="preserve"> </w:t>
            </w:r>
            <w:r w:rsidR="004136D5">
              <w:rPr>
                <w:i/>
              </w:rPr>
              <w:t>PERLAKY-TOTH</w:t>
            </w:r>
          </w:p>
        </w:tc>
      </w:tr>
      <w:tr w:rsidR="00E47B9A" w:rsidTr="00195CCE" w14:paraId="738F4025" w14:textId="77777777">
        <w:tc>
          <w:tcPr>
            <w:tcW w:w="1418" w:type="dxa"/>
          </w:tcPr>
          <w:p w:rsidRPr="001832DE" w:rsidR="00E47B9A" w:rsidP="00195CCE" w:rsidRDefault="00E47B9A" w14:paraId="1E913075" w14:textId="77777777">
            <w:pPr>
              <w:spacing w:line="240" w:lineRule="auto"/>
              <w:rPr>
                <w:i/>
              </w:rPr>
            </w:pPr>
            <w:r>
              <w:rPr>
                <w:i/>
              </w:rPr>
              <w:t>Tél.</w:t>
            </w:r>
          </w:p>
        </w:tc>
        <w:tc>
          <w:tcPr>
            <w:tcW w:w="5670" w:type="dxa"/>
          </w:tcPr>
          <w:p w:rsidRPr="001832DE" w:rsidR="00E47B9A" w:rsidP="00195CCE" w:rsidRDefault="00E47B9A" w14:paraId="42FCB3EC" w14:textId="77777777">
            <w:pPr>
              <w:spacing w:line="240" w:lineRule="auto"/>
              <w:rPr>
                <w:i/>
              </w:rPr>
            </w:pPr>
            <w:r>
              <w:rPr>
                <w:i/>
              </w:rPr>
              <w:t>+ 32 2 546 9740</w:t>
            </w:r>
          </w:p>
        </w:tc>
      </w:tr>
      <w:tr w:rsidR="00E47B9A" w:rsidTr="00195CCE" w14:paraId="3D4AC09A" w14:textId="77777777">
        <w:tc>
          <w:tcPr>
            <w:tcW w:w="1418" w:type="dxa"/>
          </w:tcPr>
          <w:p w:rsidRPr="001832DE" w:rsidR="00E47B9A" w:rsidP="00195CCE" w:rsidRDefault="00E47B9A" w14:paraId="599CBC5B" w14:textId="77777777">
            <w:pPr>
              <w:spacing w:line="240" w:lineRule="auto"/>
              <w:rPr>
                <w:i/>
              </w:rPr>
            </w:pPr>
            <w:r>
              <w:rPr>
                <w:i/>
              </w:rPr>
              <w:t>Courriel</w:t>
            </w:r>
          </w:p>
        </w:tc>
        <w:tc>
          <w:tcPr>
            <w:tcW w:w="5670" w:type="dxa"/>
          </w:tcPr>
          <w:p w:rsidRPr="001832DE" w:rsidR="00E47B9A" w:rsidP="00195CCE" w:rsidRDefault="006F4895" w14:paraId="6CF2E511" w14:textId="77777777">
            <w:pPr>
              <w:spacing w:line="240" w:lineRule="auto"/>
              <w:rPr>
                <w:i/>
              </w:rPr>
            </w:pPr>
            <w:hyperlink w:history="1" r:id="rId32">
              <w:r w:rsidR="00E47B9A">
                <w:rPr>
                  <w:rStyle w:val="Hyperlink"/>
                  <w:i/>
                </w:rPr>
                <w:t>Krisztina.PerlakyToth@eesc.europa.eu</w:t>
              </w:r>
            </w:hyperlink>
          </w:p>
        </w:tc>
      </w:tr>
    </w:tbl>
    <w:p w:rsidRPr="00B51BFD" w:rsidR="00E47B9A" w:rsidP="00E47B9A" w:rsidRDefault="00E47B9A" w14:paraId="77CB9E7F" w14:textId="77777777"/>
    <w:p w:rsidR="001332A2" w:rsidP="00775FC4" w:rsidRDefault="001332A2" w14:paraId="1DF9103C" w14:textId="7BA3CDFB">
      <w:pPr>
        <w:jc w:val="left"/>
      </w:pPr>
      <w:r>
        <w:br w:type="page"/>
      </w:r>
    </w:p>
    <w:p w:rsidRPr="00B66035" w:rsidR="004D7AC0" w:rsidP="00426D38" w:rsidRDefault="00DD7044" w14:paraId="73D829D0" w14:textId="22CE2565">
      <w:pPr>
        <w:pStyle w:val="Heading1"/>
        <w:keepNext/>
        <w:keepLines/>
        <w:numPr>
          <w:ilvl w:val="0"/>
          <w:numId w:val="6"/>
        </w:numPr>
        <w:spacing w:before="0"/>
        <w:ind w:hanging="578"/>
        <w:rPr>
          <w:b/>
          <w:bCs/>
        </w:rPr>
      </w:pPr>
      <w:r>
        <w:rPr>
          <w:b/>
        </w:rPr>
        <w:lastRenderedPageBreak/>
        <w:tab/>
      </w:r>
      <w:bookmarkStart w:name="_Toc146880469" w:id="66"/>
      <w:bookmarkStart w:name="_Toc146880520" w:id="67"/>
      <w:r>
        <w:rPr>
          <w:b/>
        </w:rPr>
        <w:t>EMPLOI, AFFAIRES SOCIALES ET CITOYENNETÉ</w:t>
      </w:r>
      <w:bookmarkEnd w:id="66"/>
      <w:bookmarkEnd w:id="67"/>
    </w:p>
    <w:p w:rsidR="00D9545B" w:rsidP="00775FC4" w:rsidRDefault="00D9545B" w14:paraId="48591558" w14:textId="6E47DDF2">
      <w:pPr>
        <w:keepNext/>
        <w:keepLines/>
        <w:overflowPunct w:val="0"/>
        <w:autoSpaceDE w:val="0"/>
        <w:autoSpaceDN w:val="0"/>
        <w:adjustRightInd w:val="0"/>
        <w:textAlignment w:val="baseline"/>
        <w:rPr>
          <w:color w:val="000000" w:themeColor="text1"/>
        </w:rPr>
      </w:pPr>
    </w:p>
    <w:p w:rsidRPr="00A04AFA" w:rsidR="00E47B9A" w:rsidP="004136D5" w:rsidRDefault="006F4895" w14:paraId="0B53DC94" w14:textId="670E5982">
      <w:pPr>
        <w:widowControl w:val="0"/>
        <w:numPr>
          <w:ilvl w:val="0"/>
          <w:numId w:val="3"/>
        </w:numPr>
        <w:overflowPunct w:val="0"/>
        <w:autoSpaceDE w:val="0"/>
        <w:autoSpaceDN w:val="0"/>
        <w:adjustRightInd w:val="0"/>
        <w:ind w:left="426" w:hanging="426"/>
        <w:textAlignment w:val="baseline"/>
        <w:rPr>
          <w:rStyle w:val="Hyperlink"/>
          <w:b/>
        </w:rPr>
      </w:pPr>
      <w:hyperlink w:history="1" r:id="rId33">
        <w:r w:rsidR="00E47B9A">
          <w:rPr>
            <w:rStyle w:val="Hyperlink"/>
            <w:b/>
            <w:i/>
            <w:sz w:val="28"/>
          </w:rPr>
          <w:t>Lignes directrices pour l’emploi</w:t>
        </w:r>
      </w:hyperlink>
    </w:p>
    <w:p w:rsidRPr="00724561" w:rsidR="00E47B9A" w:rsidP="00E47B9A" w:rsidRDefault="00E47B9A" w14:paraId="2B41CC32" w14:textId="77777777">
      <w:pPr>
        <w:tabs>
          <w:tab w:val="center" w:pos="284"/>
        </w:tabs>
        <w:ind w:left="266" w:hanging="266"/>
        <w:rPr>
          <w:sz w:val="16"/>
          <w:szCs w:val="16"/>
          <w:lang w:val="pt-PT"/>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CA1E86" w:rsidR="00E47B9A" w:rsidTr="00195CCE" w14:paraId="15171A76" w14:textId="77777777">
        <w:tc>
          <w:tcPr>
            <w:tcW w:w="1701" w:type="dxa"/>
          </w:tcPr>
          <w:p w:rsidRPr="00426D38" w:rsidR="00E47B9A" w:rsidP="00195CCE" w:rsidRDefault="00E47B9A" w14:paraId="7ABC4AF8" w14:textId="33DD2F1D">
            <w:pPr>
              <w:tabs>
                <w:tab w:val="center" w:pos="284"/>
              </w:tabs>
              <w:ind w:left="266" w:hanging="266"/>
              <w:rPr>
                <w:b/>
              </w:rPr>
            </w:pPr>
            <w:r>
              <w:rPr>
                <w:b/>
              </w:rPr>
              <w:t>Rapporteur</w:t>
            </w:r>
          </w:p>
        </w:tc>
        <w:tc>
          <w:tcPr>
            <w:tcW w:w="5670" w:type="dxa"/>
          </w:tcPr>
          <w:p w:rsidRPr="00426D38" w:rsidR="00E47B9A" w:rsidP="00195CCE" w:rsidRDefault="00E47B9A" w14:paraId="2A18D103" w14:textId="5B144663">
            <w:pPr>
              <w:tabs>
                <w:tab w:val="center" w:pos="284"/>
              </w:tabs>
              <w:ind w:left="266" w:hanging="266"/>
            </w:pPr>
            <w:r>
              <w:t>Carlos Manuel TRINDADE</w:t>
            </w:r>
            <w:r w:rsidR="00426D38">
              <w:t xml:space="preserve"> </w:t>
            </w:r>
            <w:r>
              <w:t>(groupe des travailleurs — PT)</w:t>
            </w:r>
          </w:p>
        </w:tc>
      </w:tr>
      <w:tr w:rsidRPr="00CA1E86" w:rsidR="00E47B9A" w:rsidTr="00195CCE" w14:paraId="55780506" w14:textId="77777777">
        <w:tc>
          <w:tcPr>
            <w:tcW w:w="1701" w:type="dxa"/>
            <w:vMerge w:val="restart"/>
          </w:tcPr>
          <w:p w:rsidRPr="00A6689B" w:rsidR="00E47B9A" w:rsidP="00195CCE" w:rsidRDefault="00E47B9A" w14:paraId="325EE773" w14:textId="77777777">
            <w:pPr>
              <w:tabs>
                <w:tab w:val="center" w:pos="284"/>
              </w:tabs>
              <w:ind w:left="266" w:hanging="266"/>
              <w:rPr>
                <w:b/>
              </w:rPr>
            </w:pPr>
            <w:r>
              <w:rPr>
                <w:b/>
              </w:rPr>
              <w:t>Références</w:t>
            </w:r>
          </w:p>
        </w:tc>
        <w:tc>
          <w:tcPr>
            <w:tcW w:w="5670" w:type="dxa"/>
          </w:tcPr>
          <w:p w:rsidRPr="00A04AFA" w:rsidR="00E47B9A" w:rsidP="00195CCE" w:rsidRDefault="00E47B9A" w14:paraId="7DE204A9" w14:textId="4F78FA0B">
            <w:pPr>
              <w:tabs>
                <w:tab w:val="center" w:pos="0"/>
              </w:tabs>
              <w:ind w:left="33" w:hanging="33"/>
            </w:pPr>
            <w:r>
              <w:t>COM(2023) 599 final</w:t>
            </w:r>
          </w:p>
          <w:p w:rsidRPr="00A04AFA" w:rsidR="00E47B9A" w:rsidP="00195CCE" w:rsidRDefault="00E47B9A" w14:paraId="62D9B816" w14:textId="0F2B6697">
            <w:pPr>
              <w:tabs>
                <w:tab w:val="center" w:pos="284"/>
              </w:tabs>
              <w:ind w:left="266" w:hanging="266"/>
            </w:pPr>
            <w:r>
              <w:t>EESC-2023-02548-00-00-A</w:t>
            </w:r>
            <w:r w:rsidR="00426D38">
              <w:t>C</w:t>
            </w:r>
          </w:p>
        </w:tc>
      </w:tr>
      <w:tr w:rsidRPr="00CA1E86" w:rsidR="00E47B9A" w:rsidTr="00195CCE" w14:paraId="2F00AC4D" w14:textId="77777777">
        <w:tc>
          <w:tcPr>
            <w:tcW w:w="1701" w:type="dxa"/>
            <w:vMerge/>
          </w:tcPr>
          <w:p w:rsidRPr="00A04AFA" w:rsidR="00E47B9A" w:rsidP="00195CCE" w:rsidRDefault="00E47B9A" w14:paraId="786599A2" w14:textId="77777777">
            <w:pPr>
              <w:tabs>
                <w:tab w:val="center" w:pos="284"/>
              </w:tabs>
              <w:ind w:left="266" w:hanging="266"/>
              <w:rPr>
                <w:b/>
                <w:lang w:val="pt-PT"/>
              </w:rPr>
            </w:pPr>
          </w:p>
        </w:tc>
        <w:tc>
          <w:tcPr>
            <w:tcW w:w="5670" w:type="dxa"/>
          </w:tcPr>
          <w:p w:rsidRPr="00724561" w:rsidR="00E47B9A" w:rsidP="00195CCE" w:rsidRDefault="00E47B9A" w14:paraId="6CC3CF9D" w14:textId="77777777">
            <w:pPr>
              <w:tabs>
                <w:tab w:val="center" w:pos="284"/>
              </w:tabs>
              <w:ind w:left="266" w:hanging="266"/>
              <w:rPr>
                <w:sz w:val="16"/>
                <w:szCs w:val="16"/>
                <w:lang w:val="pt-PT"/>
              </w:rPr>
            </w:pPr>
          </w:p>
        </w:tc>
      </w:tr>
    </w:tbl>
    <w:p w:rsidR="00E47B9A" w:rsidP="00E47B9A" w:rsidRDefault="00E47B9A" w14:paraId="47DEDFF6" w14:textId="77777777">
      <w:pPr>
        <w:keepNext/>
        <w:keepLines/>
        <w:tabs>
          <w:tab w:val="center" w:pos="284"/>
        </w:tabs>
        <w:ind w:left="266" w:hanging="266"/>
        <w:rPr>
          <w:b/>
        </w:rPr>
      </w:pPr>
      <w:r>
        <w:rPr>
          <w:b/>
        </w:rPr>
        <w:t>Points clés</w:t>
      </w:r>
    </w:p>
    <w:p w:rsidRPr="00724561" w:rsidR="00E47B9A" w:rsidP="00E47B9A" w:rsidRDefault="00E47B9A" w14:paraId="4C42BFFA" w14:textId="77777777">
      <w:pPr>
        <w:keepNext/>
        <w:keepLines/>
        <w:tabs>
          <w:tab w:val="center" w:pos="284"/>
        </w:tabs>
        <w:ind w:left="266" w:hanging="266"/>
        <w:rPr>
          <w:b/>
          <w:sz w:val="16"/>
          <w:szCs w:val="16"/>
        </w:rPr>
      </w:pPr>
    </w:p>
    <w:p w:rsidR="00E47B9A" w:rsidP="00E47B9A" w:rsidRDefault="00E47B9A" w14:paraId="37CBAAF8" w14:textId="081927BB">
      <w:r>
        <w:t>Le CESE:</w:t>
      </w:r>
    </w:p>
    <w:p w:rsidRPr="006A030A" w:rsidR="004136D5" w:rsidP="00E47B9A" w:rsidRDefault="004136D5" w14:paraId="4815E6E2" w14:textId="77777777"/>
    <w:p w:rsidRPr="00E43AF6" w:rsidR="00E47B9A" w:rsidP="00CB19DE" w:rsidRDefault="00E47B9A" w14:paraId="1B6ABB12" w14:textId="77777777">
      <w:pPr>
        <w:pStyle w:val="ListParagraph"/>
        <w:numPr>
          <w:ilvl w:val="0"/>
          <w:numId w:val="11"/>
        </w:numPr>
        <w:spacing w:after="200" w:line="276" w:lineRule="auto"/>
        <w:ind w:left="426"/>
        <w:jc w:val="left"/>
      </w:pPr>
      <w:r>
        <w:t>accueille favorablement la proposition de décision du Conseil sur les lignes directrices pour les politiques de l’emploi des États membres;</w:t>
      </w:r>
    </w:p>
    <w:p w:rsidRPr="00C40EE6" w:rsidR="00E47B9A" w:rsidP="00CB19DE" w:rsidRDefault="00E47B9A" w14:paraId="6897663F" w14:textId="77777777">
      <w:pPr>
        <w:pStyle w:val="ListParagraph"/>
        <w:numPr>
          <w:ilvl w:val="0"/>
          <w:numId w:val="11"/>
        </w:numPr>
        <w:spacing w:after="200" w:line="276" w:lineRule="auto"/>
        <w:ind w:left="426"/>
      </w:pPr>
      <w:r>
        <w:t>attire l’attention sur le fait que l’instabilité politique et les niveaux élevés de l’inflation et des taux d’intérêt persistent, réduisant ainsi le pouvoir d’achat des citoyens et la compétitivité des entreprises et perturbant les décisions d’investissement dans les secteurs privé et public. Ces difficultés pourraient compromettre la mise en œuvre des lignes directrices pour l’emploi dans les États membres, la réalisation du socle européen des droits sociaux et celle des objectifs à l’horizon 2030;</w:t>
      </w:r>
    </w:p>
    <w:p w:rsidRPr="00C40EE6" w:rsidR="00E47B9A" w:rsidP="00CB19DE" w:rsidRDefault="00E47B9A" w14:paraId="133A6E62" w14:textId="77777777">
      <w:pPr>
        <w:pStyle w:val="ListParagraph"/>
        <w:numPr>
          <w:ilvl w:val="0"/>
          <w:numId w:val="11"/>
        </w:numPr>
        <w:spacing w:after="200" w:line="276" w:lineRule="auto"/>
        <w:ind w:left="426"/>
      </w:pPr>
      <w:r>
        <w:t>estime qu’il est d’autant plus nécessaire de prendre des initiatives pour accroître tout à la fois le rôle des partenaires sociaux et leur participation à l’élaboration et l’exécution des réformes et politiques sociales, économiques et de l’emploi, notamment en renforçant leurs capacités;</w:t>
      </w:r>
    </w:p>
    <w:p w:rsidRPr="00C40EE6" w:rsidR="00E47B9A" w:rsidP="00CB19DE" w:rsidRDefault="00E47B9A" w14:paraId="43A963DE" w14:textId="77777777">
      <w:pPr>
        <w:pStyle w:val="ListParagraph"/>
        <w:numPr>
          <w:ilvl w:val="0"/>
          <w:numId w:val="11"/>
        </w:numPr>
        <w:spacing w:after="200" w:line="276" w:lineRule="auto"/>
        <w:ind w:left="426"/>
      </w:pPr>
      <w:r>
        <w:t>exprime clairement ses préoccupations quant aux éventuelles conséquences d’un rétablissement des règles budgétaires en 2024, qui mettrait un terme à la suspension en vigueur ces dernières années;</w:t>
      </w:r>
    </w:p>
    <w:p w:rsidRPr="00C40EE6" w:rsidR="00E47B9A" w:rsidP="00CB19DE" w:rsidRDefault="00E47B9A" w14:paraId="54691350" w14:textId="77777777">
      <w:pPr>
        <w:pStyle w:val="ListParagraph"/>
        <w:numPr>
          <w:ilvl w:val="0"/>
          <w:numId w:val="11"/>
        </w:numPr>
        <w:spacing w:after="200" w:line="276" w:lineRule="auto"/>
        <w:ind w:left="426"/>
      </w:pPr>
      <w:r>
        <w:t>est convaincu que, comme l’a montré le passé, l’austérité n’est pas une solution. Ce sont, au contraire, les politiques publiques solidaires et durables, sur le modèle de celles mises en œuvre pendant la pandémie et au début de la guerre, qui offrent la réponse indispensable;</w:t>
      </w:r>
    </w:p>
    <w:p w:rsidRPr="00C40EE6" w:rsidR="00E47B9A" w:rsidP="00CB19DE" w:rsidRDefault="00E47B9A" w14:paraId="5E16D1D5" w14:textId="77777777">
      <w:pPr>
        <w:pStyle w:val="ListParagraph"/>
        <w:numPr>
          <w:ilvl w:val="0"/>
          <w:numId w:val="11"/>
        </w:numPr>
        <w:spacing w:after="200" w:line="276" w:lineRule="auto"/>
        <w:ind w:left="426"/>
      </w:pPr>
      <w:r>
        <w:t>préconise de dynamiser l’accès au marché du travail, notamment en augmentant le taux de participation des femmes, des jeunes, des personnes handicapées, des personnes inactives, des citoyens peu qualifiés, des ressortissants de pays tiers et d’autres groupes vulnérables, en promouvant la viabilité économique et sociale des entreprises, le renforcement des compétences des travailleurs et l’amélioration des conditions de travail;</w:t>
      </w:r>
    </w:p>
    <w:p w:rsidR="00E47B9A" w:rsidP="00CB19DE" w:rsidRDefault="00E47B9A" w14:paraId="2C7CB631" w14:textId="77777777">
      <w:pPr>
        <w:pStyle w:val="ListParagraph"/>
        <w:numPr>
          <w:ilvl w:val="0"/>
          <w:numId w:val="11"/>
        </w:numPr>
        <w:spacing w:after="200" w:line="276" w:lineRule="auto"/>
        <w:ind w:left="426"/>
      </w:pPr>
      <w:r>
        <w:t>note qu’il est essentiel de renforcer l’offre de main-d’œuvre et d’améliorer l’accès à l’emploi, aux qualifications et aux compétences tout au long de la vie.</w:t>
      </w:r>
    </w:p>
    <w:p w:rsidRPr="006A030A" w:rsidR="00E47B9A" w:rsidP="00E47B9A" w:rsidRDefault="00E47B9A" w14:paraId="47663929" w14:textId="77777777">
      <w:pPr>
        <w:rPr>
          <w:bCs/>
          <w:iCs/>
          <w:highlight w:val="yellow"/>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10"/>
        <w:gridCol w:w="4493"/>
      </w:tblGrid>
      <w:tr w:rsidRPr="00A6689B" w:rsidR="00E47B9A" w:rsidTr="00195CCE" w14:paraId="2022ECFA" w14:textId="77777777">
        <w:tc>
          <w:tcPr>
            <w:tcW w:w="1210" w:type="dxa"/>
          </w:tcPr>
          <w:p w:rsidRPr="00A6689B" w:rsidR="00E47B9A" w:rsidP="00195CCE" w:rsidRDefault="00E47B9A" w14:paraId="37ABBF0C" w14:textId="77777777">
            <w:pPr>
              <w:spacing w:line="240" w:lineRule="auto"/>
              <w:rPr>
                <w:i/>
              </w:rPr>
            </w:pPr>
            <w:r>
              <w:rPr>
                <w:b/>
                <w:i/>
              </w:rPr>
              <w:t>Contact</w:t>
            </w:r>
          </w:p>
        </w:tc>
        <w:tc>
          <w:tcPr>
            <w:tcW w:w="4493" w:type="dxa"/>
          </w:tcPr>
          <w:p w:rsidRPr="00A6689B" w:rsidR="00E47B9A" w:rsidP="00195CCE" w:rsidRDefault="00E47B9A" w14:paraId="52CD1171" w14:textId="3D75CA99">
            <w:pPr>
              <w:spacing w:line="240" w:lineRule="auto"/>
              <w:ind w:hanging="12"/>
              <w:rPr>
                <w:i/>
              </w:rPr>
            </w:pPr>
            <w:r>
              <w:rPr>
                <w:i/>
              </w:rPr>
              <w:t>Ana </w:t>
            </w:r>
            <w:r w:rsidR="004136D5">
              <w:rPr>
                <w:i/>
              </w:rPr>
              <w:t>DUMITRACHE</w:t>
            </w:r>
          </w:p>
        </w:tc>
      </w:tr>
      <w:tr w:rsidRPr="00A6689B" w:rsidR="00E47B9A" w:rsidTr="00195CCE" w14:paraId="1968E114" w14:textId="77777777">
        <w:tc>
          <w:tcPr>
            <w:tcW w:w="1210" w:type="dxa"/>
          </w:tcPr>
          <w:p w:rsidRPr="00A6689B" w:rsidR="00E47B9A" w:rsidP="00195CCE" w:rsidRDefault="00E47B9A" w14:paraId="76E9ECE3" w14:textId="77777777">
            <w:pPr>
              <w:spacing w:line="240" w:lineRule="auto"/>
              <w:rPr>
                <w:i/>
              </w:rPr>
            </w:pPr>
            <w:r>
              <w:rPr>
                <w:i/>
              </w:rPr>
              <w:t>Tél.</w:t>
            </w:r>
          </w:p>
        </w:tc>
        <w:tc>
          <w:tcPr>
            <w:tcW w:w="4493" w:type="dxa"/>
          </w:tcPr>
          <w:p w:rsidRPr="00A6689B" w:rsidR="00E47B9A" w:rsidP="00195CCE" w:rsidRDefault="00E47B9A" w14:paraId="0731B7E8" w14:textId="77777777">
            <w:pPr>
              <w:spacing w:line="240" w:lineRule="auto"/>
              <w:rPr>
                <w:i/>
              </w:rPr>
            </w:pPr>
            <w:r>
              <w:rPr>
                <w:i/>
                <w:iCs/>
              </w:rPr>
              <w:t>+32 25468131</w:t>
            </w:r>
          </w:p>
        </w:tc>
      </w:tr>
      <w:tr w:rsidRPr="00A6689B" w:rsidR="00E47B9A" w:rsidTr="00195CCE" w14:paraId="766D9989" w14:textId="77777777">
        <w:tc>
          <w:tcPr>
            <w:tcW w:w="1210" w:type="dxa"/>
          </w:tcPr>
          <w:p w:rsidRPr="00A6689B" w:rsidR="00E47B9A" w:rsidP="00195CCE" w:rsidRDefault="00E47B9A" w14:paraId="678F6CAB" w14:textId="77777777">
            <w:pPr>
              <w:spacing w:line="240" w:lineRule="auto"/>
              <w:rPr>
                <w:i/>
              </w:rPr>
            </w:pPr>
            <w:r>
              <w:rPr>
                <w:i/>
              </w:rPr>
              <w:t>Courriel</w:t>
            </w:r>
          </w:p>
        </w:tc>
        <w:tc>
          <w:tcPr>
            <w:tcW w:w="4493" w:type="dxa"/>
          </w:tcPr>
          <w:p w:rsidRPr="00724561" w:rsidR="00E47B9A" w:rsidP="00195CCE" w:rsidRDefault="00E47B9A" w14:paraId="0448C300" w14:textId="77777777">
            <w:pPr>
              <w:spacing w:line="240" w:lineRule="auto"/>
              <w:rPr>
                <w:i/>
              </w:rPr>
            </w:pPr>
            <w:r>
              <w:rPr>
                <w:rStyle w:val="Hyperlink"/>
                <w:i/>
              </w:rPr>
              <w:t>ana.dumitrache@eesc.europa.eu</w:t>
            </w:r>
          </w:p>
        </w:tc>
      </w:tr>
    </w:tbl>
    <w:p w:rsidRPr="00763B9A" w:rsidR="00E47B9A" w:rsidP="004136D5" w:rsidRDefault="006F4895" w14:paraId="32AC47CD" w14:textId="43B69DE1">
      <w:pPr>
        <w:keepNext/>
        <w:keepLines/>
        <w:widowControl w:val="0"/>
        <w:numPr>
          <w:ilvl w:val="0"/>
          <w:numId w:val="20"/>
        </w:numPr>
        <w:overflowPunct w:val="0"/>
        <w:autoSpaceDE w:val="0"/>
        <w:autoSpaceDN w:val="0"/>
        <w:adjustRightInd w:val="0"/>
        <w:ind w:left="426" w:hanging="426"/>
        <w:textAlignment w:val="baseline"/>
        <w:rPr>
          <w:sz w:val="20"/>
        </w:rPr>
      </w:pPr>
      <w:hyperlink w:history="1" r:id="rId34">
        <w:r w:rsidR="00E47B9A">
          <w:rPr>
            <w:rStyle w:val="Hyperlink"/>
            <w:b/>
            <w:i/>
            <w:sz w:val="28"/>
          </w:rPr>
          <w:t>Soutien et financement en faveur de la société civile dans le domaine des droits fondamentaux, de l’état de droit et de la démocratie</w:t>
        </w:r>
      </w:hyperlink>
    </w:p>
    <w:p w:rsidRPr="009A36B2" w:rsidR="00E47B9A" w:rsidP="004136D5" w:rsidRDefault="00E47B9A" w14:paraId="164B42F1" w14:textId="77777777">
      <w:pPr>
        <w:keepNext/>
        <w:keepLines/>
        <w:tabs>
          <w:tab w:val="center" w:pos="284"/>
        </w:tabs>
        <w:ind w:left="266" w:hanging="266"/>
        <w:rPr>
          <w:b/>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2"/>
        <w:gridCol w:w="6931"/>
      </w:tblGrid>
      <w:tr w:rsidRPr="009A36B2" w:rsidR="00E47B9A" w:rsidTr="00426D38" w14:paraId="468E46CA" w14:textId="77777777">
        <w:tc>
          <w:tcPr>
            <w:tcW w:w="1090" w:type="pct"/>
          </w:tcPr>
          <w:p w:rsidRPr="009A36B2" w:rsidR="00E47B9A" w:rsidP="004136D5" w:rsidRDefault="00E47B9A" w14:paraId="6053C541" w14:textId="77777777">
            <w:pPr>
              <w:keepNext/>
              <w:keepLines/>
              <w:tabs>
                <w:tab w:val="center" w:pos="284"/>
              </w:tabs>
              <w:ind w:left="266" w:hanging="266"/>
              <w:rPr>
                <w:b/>
              </w:rPr>
            </w:pPr>
            <w:r>
              <w:rPr>
                <w:b/>
              </w:rPr>
              <w:t>Rapporteur</w:t>
            </w:r>
          </w:p>
        </w:tc>
        <w:tc>
          <w:tcPr>
            <w:tcW w:w="3910" w:type="pct"/>
          </w:tcPr>
          <w:p w:rsidRPr="009A36B2" w:rsidR="00E47B9A" w:rsidP="004136D5" w:rsidRDefault="00E47B9A" w14:paraId="08C3472D" w14:textId="181910AD">
            <w:pPr>
              <w:keepNext/>
              <w:keepLines/>
              <w:tabs>
                <w:tab w:val="center" w:pos="284"/>
              </w:tabs>
              <w:ind w:left="266" w:hanging="266"/>
            </w:pPr>
            <w:r>
              <w:t>Cristian PÎRVULESCU (</w:t>
            </w:r>
            <w:r w:rsidR="00426D38">
              <w:t xml:space="preserve">groupe des organisations de la société civile </w:t>
            </w:r>
            <w:r w:rsidR="0048572F">
              <w:t>—</w:t>
            </w:r>
            <w:r w:rsidR="00426D38">
              <w:t xml:space="preserve"> </w:t>
            </w:r>
            <w:r>
              <w:t>RO)</w:t>
            </w:r>
          </w:p>
        </w:tc>
      </w:tr>
      <w:tr w:rsidRPr="009A36B2" w:rsidR="00E47B9A" w:rsidTr="00426D38" w14:paraId="1307EEB1" w14:textId="77777777">
        <w:tc>
          <w:tcPr>
            <w:tcW w:w="1090" w:type="pct"/>
          </w:tcPr>
          <w:p w:rsidRPr="009A36B2" w:rsidR="00E47B9A" w:rsidP="004136D5" w:rsidRDefault="00E47B9A" w14:paraId="5B3E8B1F" w14:textId="77777777">
            <w:pPr>
              <w:keepNext/>
              <w:keepLines/>
              <w:tabs>
                <w:tab w:val="center" w:pos="284"/>
              </w:tabs>
              <w:ind w:left="266" w:hanging="266"/>
              <w:rPr>
                <w:b/>
              </w:rPr>
            </w:pPr>
            <w:r>
              <w:rPr>
                <w:b/>
              </w:rPr>
              <w:t>Corapporteure</w:t>
            </w:r>
          </w:p>
        </w:tc>
        <w:tc>
          <w:tcPr>
            <w:tcW w:w="3910" w:type="pct"/>
          </w:tcPr>
          <w:p w:rsidRPr="009A36B2" w:rsidR="00E47B9A" w:rsidP="004136D5" w:rsidRDefault="00E47B9A" w14:paraId="096C1901" w14:textId="13E86917">
            <w:pPr>
              <w:keepNext/>
              <w:keepLines/>
              <w:tabs>
                <w:tab w:val="center" w:pos="284"/>
              </w:tabs>
              <w:ind w:left="266" w:hanging="266"/>
            </w:pPr>
            <w:proofErr w:type="spellStart"/>
            <w:r>
              <w:t>Ozlem</w:t>
            </w:r>
            <w:proofErr w:type="spellEnd"/>
            <w:r>
              <w:t> YILDIRIM (</w:t>
            </w:r>
            <w:r w:rsidR="00426D38">
              <w:t xml:space="preserve">groupe des travailleurs </w:t>
            </w:r>
            <w:r w:rsidR="0048572F">
              <w:t>—</w:t>
            </w:r>
            <w:r w:rsidR="00426D38">
              <w:t xml:space="preserve"> </w:t>
            </w:r>
            <w:r>
              <w:t>FR)</w:t>
            </w:r>
          </w:p>
        </w:tc>
      </w:tr>
      <w:tr w:rsidRPr="009A36B2" w:rsidR="00E47B9A" w:rsidTr="00426D38" w14:paraId="2B3FFAE7" w14:textId="77777777">
        <w:tc>
          <w:tcPr>
            <w:tcW w:w="5000" w:type="pct"/>
            <w:gridSpan w:val="2"/>
          </w:tcPr>
          <w:p w:rsidRPr="009A36B2" w:rsidR="00E47B9A" w:rsidP="004136D5" w:rsidRDefault="00E47B9A" w14:paraId="325CC00A" w14:textId="77777777">
            <w:pPr>
              <w:keepNext/>
              <w:keepLines/>
              <w:tabs>
                <w:tab w:val="center" w:pos="284"/>
              </w:tabs>
              <w:ind w:left="266" w:hanging="266"/>
              <w:rPr>
                <w:lang w:val="en-US"/>
              </w:rPr>
            </w:pPr>
          </w:p>
        </w:tc>
      </w:tr>
      <w:tr w:rsidRPr="009A36B2" w:rsidR="00E47B9A" w:rsidTr="00426D38" w14:paraId="2B6F703C" w14:textId="77777777">
        <w:tc>
          <w:tcPr>
            <w:tcW w:w="1090" w:type="pct"/>
            <w:vMerge w:val="restart"/>
          </w:tcPr>
          <w:p w:rsidRPr="009A36B2" w:rsidR="00E47B9A" w:rsidP="004136D5" w:rsidRDefault="00E47B9A" w14:paraId="50893D65" w14:textId="77777777">
            <w:pPr>
              <w:keepNext/>
              <w:keepLines/>
              <w:tabs>
                <w:tab w:val="center" w:pos="284"/>
              </w:tabs>
              <w:ind w:left="266" w:hanging="266"/>
              <w:rPr>
                <w:b/>
              </w:rPr>
            </w:pPr>
            <w:r>
              <w:rPr>
                <w:b/>
              </w:rPr>
              <w:t>Référence</w:t>
            </w:r>
          </w:p>
        </w:tc>
        <w:tc>
          <w:tcPr>
            <w:tcW w:w="3910" w:type="pct"/>
          </w:tcPr>
          <w:p w:rsidR="00426D38" w:rsidP="004136D5" w:rsidRDefault="00426D38" w14:paraId="6BA1DA5F" w14:textId="0E31A441">
            <w:pPr>
              <w:keepNext/>
              <w:keepLines/>
              <w:tabs>
                <w:tab w:val="center" w:pos="284"/>
              </w:tabs>
              <w:ind w:left="266" w:hanging="266"/>
            </w:pPr>
            <w:r>
              <w:t>Avis d</w:t>
            </w:r>
            <w:r w:rsidR="0048572F">
              <w:t>’</w:t>
            </w:r>
            <w:r>
              <w:t>initiative</w:t>
            </w:r>
          </w:p>
          <w:p w:rsidRPr="009A36B2" w:rsidR="00E47B9A" w:rsidP="004136D5" w:rsidRDefault="00E47B9A" w14:paraId="3C051E7D" w14:textId="0BAD3C0D">
            <w:pPr>
              <w:keepNext/>
              <w:keepLines/>
              <w:tabs>
                <w:tab w:val="center" w:pos="284"/>
              </w:tabs>
              <w:ind w:left="266" w:hanging="266"/>
            </w:pPr>
            <w:r>
              <w:t>EESC-2023-01399-00-00-A</w:t>
            </w:r>
            <w:r w:rsidR="00426D38">
              <w:t>C</w:t>
            </w:r>
          </w:p>
        </w:tc>
      </w:tr>
      <w:tr w:rsidRPr="009A36B2" w:rsidR="00E47B9A" w:rsidTr="00426D38" w14:paraId="78929631" w14:textId="77777777">
        <w:tc>
          <w:tcPr>
            <w:tcW w:w="1090" w:type="pct"/>
            <w:vMerge/>
          </w:tcPr>
          <w:p w:rsidRPr="009A36B2" w:rsidR="00E47B9A" w:rsidP="004136D5" w:rsidRDefault="00E47B9A" w14:paraId="6D318AEE" w14:textId="77777777">
            <w:pPr>
              <w:keepNext/>
              <w:keepLines/>
              <w:tabs>
                <w:tab w:val="center" w:pos="284"/>
              </w:tabs>
              <w:ind w:left="266" w:hanging="266"/>
              <w:rPr>
                <w:b/>
                <w:lang w:val="en-US"/>
              </w:rPr>
            </w:pPr>
          </w:p>
        </w:tc>
        <w:tc>
          <w:tcPr>
            <w:tcW w:w="3910" w:type="pct"/>
          </w:tcPr>
          <w:p w:rsidRPr="009A36B2" w:rsidR="00E47B9A" w:rsidP="004136D5" w:rsidRDefault="00E47B9A" w14:paraId="20ABC433" w14:textId="77777777">
            <w:pPr>
              <w:keepNext/>
              <w:keepLines/>
              <w:tabs>
                <w:tab w:val="center" w:pos="284"/>
              </w:tabs>
              <w:ind w:left="266" w:hanging="266"/>
              <w:rPr>
                <w:lang w:val="en-US"/>
              </w:rPr>
            </w:pPr>
          </w:p>
        </w:tc>
      </w:tr>
    </w:tbl>
    <w:p w:rsidRPr="009A36B2" w:rsidR="00E47B9A" w:rsidP="004136D5" w:rsidRDefault="00E47B9A" w14:paraId="2A98C273" w14:textId="77777777">
      <w:pPr>
        <w:keepNext/>
        <w:keepLines/>
        <w:tabs>
          <w:tab w:val="center" w:pos="284"/>
        </w:tabs>
        <w:ind w:left="266" w:hanging="266"/>
        <w:rPr>
          <w:b/>
        </w:rPr>
      </w:pPr>
      <w:r>
        <w:rPr>
          <w:b/>
        </w:rPr>
        <w:t>Points clés</w:t>
      </w:r>
    </w:p>
    <w:p w:rsidRPr="007E7775" w:rsidR="00E47B9A" w:rsidP="004136D5" w:rsidRDefault="00E47B9A" w14:paraId="416877F0" w14:textId="77777777">
      <w:pPr>
        <w:keepNext/>
        <w:keepLines/>
        <w:tabs>
          <w:tab w:val="center" w:pos="284"/>
        </w:tabs>
        <w:ind w:left="266" w:hanging="266"/>
        <w:rPr>
          <w:b/>
        </w:rPr>
      </w:pPr>
    </w:p>
    <w:p w:rsidRPr="009A36B2" w:rsidR="00E47B9A" w:rsidP="004136D5" w:rsidRDefault="00E47B9A" w14:paraId="5FCE1AF0" w14:textId="77777777">
      <w:pPr>
        <w:keepNext/>
        <w:keepLines/>
        <w:rPr>
          <w:bCs/>
          <w:iCs/>
        </w:rPr>
      </w:pPr>
      <w:r>
        <w:t>Le CESE:</w:t>
      </w:r>
    </w:p>
    <w:p w:rsidRPr="009A36B2" w:rsidR="00E47B9A" w:rsidP="00E86C69" w:rsidRDefault="00E47B9A" w14:paraId="0272799E" w14:textId="77777777">
      <w:pPr>
        <w:widowControl w:val="0"/>
        <w:numPr>
          <w:ilvl w:val="0"/>
          <w:numId w:val="20"/>
        </w:numPr>
        <w:overflowPunct w:val="0"/>
        <w:autoSpaceDE w:val="0"/>
        <w:autoSpaceDN w:val="0"/>
        <w:adjustRightInd w:val="0"/>
        <w:ind w:left="425" w:hanging="425"/>
        <w:textAlignment w:val="baseline"/>
        <w:rPr>
          <w:bCs/>
          <w:iCs/>
        </w:rPr>
      </w:pPr>
      <w:r>
        <w:t>réaffirme le rôle essentiel que jouent les organisations de la société civile (OSC) dans la démocratie et regrette que le soutien apporté par l’UE ne soit pas à la hauteur du caractère central du rôle et des responsabilités qui sont les leurs;</w:t>
      </w:r>
    </w:p>
    <w:p w:rsidRPr="009A36B2" w:rsidR="00E47B9A" w:rsidP="00E86C69" w:rsidRDefault="00E47B9A" w14:paraId="7CB04816" w14:textId="77777777">
      <w:pPr>
        <w:widowControl w:val="0"/>
        <w:numPr>
          <w:ilvl w:val="0"/>
          <w:numId w:val="20"/>
        </w:numPr>
        <w:overflowPunct w:val="0"/>
        <w:autoSpaceDE w:val="0"/>
        <w:autoSpaceDN w:val="0"/>
        <w:adjustRightInd w:val="0"/>
        <w:ind w:left="425" w:hanging="425"/>
        <w:textAlignment w:val="baseline"/>
        <w:rPr>
          <w:bCs/>
          <w:iCs/>
        </w:rPr>
      </w:pPr>
      <w:r>
        <w:t>est favorable à la création d’un instrument financier spécifiquement consacré aux OSC qui œuvrent dans le domaine des droits de l’homme et de la démocratie au sein de l’Union, lequel serait équivalent à l’instrument européen pour la démocratie et les droits de l’homme (IEDDH), disponible pour des activités hors UE;</w:t>
      </w:r>
    </w:p>
    <w:p w:rsidRPr="009A36B2" w:rsidR="00E47B9A" w:rsidP="00E86C69" w:rsidRDefault="00E47B9A" w14:paraId="11CA6758" w14:textId="77777777">
      <w:pPr>
        <w:widowControl w:val="0"/>
        <w:numPr>
          <w:ilvl w:val="0"/>
          <w:numId w:val="20"/>
        </w:numPr>
        <w:overflowPunct w:val="0"/>
        <w:autoSpaceDE w:val="0"/>
        <w:autoSpaceDN w:val="0"/>
        <w:adjustRightInd w:val="0"/>
        <w:ind w:left="425" w:hanging="425"/>
        <w:textAlignment w:val="baseline"/>
        <w:rPr>
          <w:bCs/>
          <w:iCs/>
        </w:rPr>
      </w:pPr>
      <w:r>
        <w:t>plaide pour que soit instituée une plateforme analogue à «</w:t>
      </w:r>
      <w:proofErr w:type="spellStart"/>
      <w:r>
        <w:t>Protect</w:t>
      </w:r>
      <w:proofErr w:type="spellEnd"/>
      <w:r>
        <w:t xml:space="preserve"> Defenders» pour les défenseurs des droits de l’homme qui travaillent dans les États membres de l’Union, et encourage la Commission européenne à mettre en place un mécanisme d’alerte et de suivi pour faire face aux problèmes et aux menaces subis par les OSC;</w:t>
      </w:r>
    </w:p>
    <w:p w:rsidRPr="009A36B2" w:rsidR="00E47B9A" w:rsidP="00E86C69" w:rsidRDefault="00E47B9A" w14:paraId="1CEB6321" w14:textId="77777777">
      <w:pPr>
        <w:widowControl w:val="0"/>
        <w:numPr>
          <w:ilvl w:val="0"/>
          <w:numId w:val="20"/>
        </w:numPr>
        <w:overflowPunct w:val="0"/>
        <w:autoSpaceDE w:val="0"/>
        <w:autoSpaceDN w:val="0"/>
        <w:adjustRightInd w:val="0"/>
        <w:ind w:left="425" w:hanging="425"/>
        <w:textAlignment w:val="baseline"/>
        <w:rPr>
          <w:bCs/>
          <w:iCs/>
        </w:rPr>
      </w:pPr>
      <w:r>
        <w:t>propose de mettre à jour la méthodologie du rapport de la Commission européenne sur l’état de droit afin de souligner le rôle des OSC dans la sauvegarde de l’état de droit, tout comme la responsabilité qui incombe aux États membres de remédier aux obstacles qu’elles rencontrent à cet égard. Le CESE invite la Commission à intégrer dans sa méthodologie les conclusions des rapports élaborés par le groupe «Droits fondamentaux et état de droit» (DFED) à la suite de ses visites dans les États membres;</w:t>
      </w:r>
    </w:p>
    <w:p w:rsidRPr="009A36B2" w:rsidR="00E47B9A" w:rsidP="00E86C69" w:rsidRDefault="00E47B9A" w14:paraId="0D469965" w14:textId="77777777">
      <w:pPr>
        <w:widowControl w:val="0"/>
        <w:numPr>
          <w:ilvl w:val="0"/>
          <w:numId w:val="20"/>
        </w:numPr>
        <w:overflowPunct w:val="0"/>
        <w:autoSpaceDE w:val="0"/>
        <w:autoSpaceDN w:val="0"/>
        <w:adjustRightInd w:val="0"/>
        <w:ind w:left="425" w:hanging="425"/>
        <w:textAlignment w:val="baseline"/>
        <w:rPr>
          <w:bCs/>
          <w:iCs/>
        </w:rPr>
      </w:pPr>
      <w:r>
        <w:t>insiste sur la nécessité d’envisager des moyens appropriés de remédier à la précarité du travail dans le secteur des OSC qui sont actives dans le domaine de la démocratie, de l’état de droit et des droits fondamentaux, mettant notamment en avant la sécurité de l’emploi, le bien-être des travailleurs des OSC et la stabilité financière associée de leurs organisations;</w:t>
      </w:r>
    </w:p>
    <w:p w:rsidRPr="009A36B2" w:rsidR="00E47B9A" w:rsidP="00E86C69" w:rsidRDefault="00E47B9A" w14:paraId="68777834" w14:textId="77777777">
      <w:pPr>
        <w:widowControl w:val="0"/>
        <w:numPr>
          <w:ilvl w:val="0"/>
          <w:numId w:val="20"/>
        </w:numPr>
        <w:overflowPunct w:val="0"/>
        <w:autoSpaceDE w:val="0"/>
        <w:autoSpaceDN w:val="0"/>
        <w:adjustRightInd w:val="0"/>
        <w:ind w:left="425" w:hanging="425"/>
        <w:textAlignment w:val="baseline"/>
        <w:rPr>
          <w:bCs/>
          <w:iCs/>
        </w:rPr>
      </w:pPr>
      <w:r>
        <w:t>réserve bon accueil au programme «Citoyens, égalité, droits et valeurs» (CERV) et demande que:</w:t>
      </w:r>
    </w:p>
    <w:p w:rsidRPr="007E7775" w:rsidR="00E47B9A" w:rsidP="00426D38" w:rsidRDefault="00E47B9A" w14:paraId="4A4B4BCA" w14:textId="77777777">
      <w:pPr>
        <w:pStyle w:val="ListParagraph"/>
        <w:widowControl w:val="0"/>
        <w:numPr>
          <w:ilvl w:val="0"/>
          <w:numId w:val="4"/>
        </w:numPr>
        <w:ind w:left="709" w:hanging="283"/>
        <w:jc w:val="left"/>
        <w:rPr>
          <w:bCs/>
          <w:iCs/>
        </w:rPr>
      </w:pPr>
      <w:r>
        <w:t>sa capacité et sa flexibilité en matière de financement soient accrues;</w:t>
      </w:r>
    </w:p>
    <w:p w:rsidRPr="007E7775" w:rsidR="00E47B9A" w:rsidP="00426D38" w:rsidRDefault="00E47B9A" w14:paraId="45A7699C" w14:textId="77777777">
      <w:pPr>
        <w:pStyle w:val="ListParagraph"/>
        <w:widowControl w:val="0"/>
        <w:numPr>
          <w:ilvl w:val="0"/>
          <w:numId w:val="4"/>
        </w:numPr>
        <w:ind w:left="709" w:hanging="283"/>
        <w:jc w:val="left"/>
        <w:rPr>
          <w:bCs/>
          <w:iCs/>
        </w:rPr>
      </w:pPr>
      <w:r>
        <w:t>l’octroi des financements ne soit plus fondé sur des projets mais sur une base opérationnelle;</w:t>
      </w:r>
    </w:p>
    <w:p w:rsidRPr="007E7775" w:rsidR="00E47B9A" w:rsidP="00426D38" w:rsidRDefault="00E47B9A" w14:paraId="428B6EB9" w14:textId="77777777">
      <w:pPr>
        <w:pStyle w:val="ListParagraph"/>
        <w:widowControl w:val="0"/>
        <w:numPr>
          <w:ilvl w:val="0"/>
          <w:numId w:val="4"/>
        </w:numPr>
        <w:ind w:left="709" w:hanging="283"/>
        <w:jc w:val="left"/>
        <w:rPr>
          <w:bCs/>
          <w:iCs/>
        </w:rPr>
      </w:pPr>
      <w:r>
        <w:t>les exigences relatives au cofinancement soient assouplies;</w:t>
      </w:r>
    </w:p>
    <w:p w:rsidRPr="007E7775" w:rsidR="00E47B9A" w:rsidP="00426D38" w:rsidRDefault="00E47B9A" w14:paraId="7A237C01" w14:textId="77777777">
      <w:pPr>
        <w:pStyle w:val="ListParagraph"/>
        <w:widowControl w:val="0"/>
        <w:numPr>
          <w:ilvl w:val="0"/>
          <w:numId w:val="4"/>
        </w:numPr>
        <w:ind w:left="709" w:hanging="283"/>
        <w:jc w:val="left"/>
        <w:rPr>
          <w:bCs/>
          <w:iCs/>
        </w:rPr>
      </w:pPr>
      <w:r>
        <w:t>il soit remédié à la charge administrative disproportionnée qu’entraîne la collecte de fonds.</w:t>
      </w: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9"/>
        <w:gridCol w:w="4293"/>
      </w:tblGrid>
      <w:tr w:rsidRPr="00A6689B" w:rsidR="00E47B9A" w:rsidTr="00195CCE" w14:paraId="69A8A34A" w14:textId="77777777">
        <w:tc>
          <w:tcPr>
            <w:tcW w:w="1556" w:type="pct"/>
          </w:tcPr>
          <w:p w:rsidRPr="00A6689B" w:rsidR="00E47B9A" w:rsidP="004136D5" w:rsidRDefault="00E47B9A" w14:paraId="00010A53" w14:textId="77777777">
            <w:pPr>
              <w:keepNext/>
              <w:rPr>
                <w:i/>
              </w:rPr>
            </w:pPr>
            <w:r>
              <w:rPr>
                <w:b/>
                <w:i/>
              </w:rPr>
              <w:lastRenderedPageBreak/>
              <w:t>Contact</w:t>
            </w:r>
          </w:p>
        </w:tc>
        <w:tc>
          <w:tcPr>
            <w:tcW w:w="3444" w:type="pct"/>
          </w:tcPr>
          <w:p w:rsidRPr="00A6689B" w:rsidR="00E47B9A" w:rsidP="004136D5" w:rsidRDefault="00E47B9A" w14:paraId="42F5C58E" w14:textId="77777777">
            <w:pPr>
              <w:keepNext/>
              <w:rPr>
                <w:i/>
              </w:rPr>
            </w:pPr>
            <w:r>
              <w:rPr>
                <w:i/>
              </w:rPr>
              <w:t>Jean-Marie ROGUE</w:t>
            </w:r>
          </w:p>
        </w:tc>
      </w:tr>
      <w:tr w:rsidRPr="00A6689B" w:rsidR="00E47B9A" w:rsidTr="00195CCE" w14:paraId="74601C8A" w14:textId="77777777">
        <w:tc>
          <w:tcPr>
            <w:tcW w:w="1556" w:type="pct"/>
          </w:tcPr>
          <w:p w:rsidRPr="00A6689B" w:rsidR="00E47B9A" w:rsidP="004136D5" w:rsidRDefault="00E47B9A" w14:paraId="058D3942" w14:textId="77777777">
            <w:pPr>
              <w:keepNext/>
              <w:rPr>
                <w:i/>
              </w:rPr>
            </w:pPr>
            <w:r>
              <w:rPr>
                <w:i/>
              </w:rPr>
              <w:t>Tél.</w:t>
            </w:r>
          </w:p>
        </w:tc>
        <w:tc>
          <w:tcPr>
            <w:tcW w:w="3444" w:type="pct"/>
          </w:tcPr>
          <w:p w:rsidRPr="00A6689B" w:rsidR="00E47B9A" w:rsidP="004136D5" w:rsidRDefault="00E47B9A" w14:paraId="15DA579F" w14:textId="77777777">
            <w:pPr>
              <w:keepNext/>
              <w:rPr>
                <w:i/>
              </w:rPr>
            </w:pPr>
            <w:r>
              <w:rPr>
                <w:i/>
              </w:rPr>
              <w:t>+32 25468909</w:t>
            </w:r>
          </w:p>
        </w:tc>
      </w:tr>
      <w:tr w:rsidRPr="00A6689B" w:rsidR="00E47B9A" w:rsidTr="00195CCE" w14:paraId="50727F1F" w14:textId="77777777">
        <w:tc>
          <w:tcPr>
            <w:tcW w:w="1556" w:type="pct"/>
          </w:tcPr>
          <w:p w:rsidRPr="00A6689B" w:rsidR="00E47B9A" w:rsidP="00195CCE" w:rsidRDefault="00E47B9A" w14:paraId="2633D9AA" w14:textId="77777777">
            <w:pPr>
              <w:rPr>
                <w:i/>
              </w:rPr>
            </w:pPr>
            <w:r>
              <w:rPr>
                <w:i/>
              </w:rPr>
              <w:t>Courriel</w:t>
            </w:r>
          </w:p>
        </w:tc>
        <w:tc>
          <w:tcPr>
            <w:tcW w:w="3444" w:type="pct"/>
          </w:tcPr>
          <w:p w:rsidRPr="00A6689B" w:rsidR="00E47B9A" w:rsidP="00195CCE" w:rsidRDefault="006F4895" w14:paraId="2E32083B" w14:textId="77777777">
            <w:pPr>
              <w:rPr>
                <w:i/>
              </w:rPr>
            </w:pPr>
            <w:hyperlink w:history="1" r:id="rId35">
              <w:r w:rsidR="00E47B9A">
                <w:rPr>
                  <w:rStyle w:val="Hyperlink"/>
                  <w:i/>
                </w:rPr>
                <w:t>JeanMarie.Rogue@eesc.europa.eu</w:t>
              </w:r>
            </w:hyperlink>
          </w:p>
        </w:tc>
      </w:tr>
    </w:tbl>
    <w:p w:rsidRPr="00CB19DE" w:rsidR="00CB19DE" w:rsidP="00CB19DE" w:rsidRDefault="00CB19DE" w14:paraId="57BDFA83" w14:textId="77777777">
      <w:pPr>
        <w:widowControl w:val="0"/>
        <w:overflowPunct w:val="0"/>
        <w:autoSpaceDE w:val="0"/>
        <w:autoSpaceDN w:val="0"/>
        <w:adjustRightInd w:val="0"/>
        <w:ind w:left="426"/>
        <w:textAlignment w:val="baseline"/>
        <w:rPr>
          <w:sz w:val="20"/>
        </w:rPr>
      </w:pPr>
    </w:p>
    <w:p w:rsidRPr="00CB19DE" w:rsidR="00CB19DE" w:rsidP="00CB19DE" w:rsidRDefault="00CB19DE" w14:paraId="76B5E64C" w14:textId="77777777">
      <w:pPr>
        <w:widowControl w:val="0"/>
        <w:overflowPunct w:val="0"/>
        <w:autoSpaceDE w:val="0"/>
        <w:autoSpaceDN w:val="0"/>
        <w:adjustRightInd w:val="0"/>
        <w:ind w:left="426"/>
        <w:textAlignment w:val="baseline"/>
        <w:rPr>
          <w:sz w:val="20"/>
        </w:rPr>
      </w:pPr>
    </w:p>
    <w:p w:rsidRPr="002465C0" w:rsidR="00E47B9A" w:rsidP="004136D5" w:rsidRDefault="006F4895" w14:paraId="6F8323F9" w14:textId="2E40602A">
      <w:pPr>
        <w:widowControl w:val="0"/>
        <w:numPr>
          <w:ilvl w:val="0"/>
          <w:numId w:val="20"/>
        </w:numPr>
        <w:overflowPunct w:val="0"/>
        <w:autoSpaceDE w:val="0"/>
        <w:autoSpaceDN w:val="0"/>
        <w:adjustRightInd w:val="0"/>
        <w:ind w:left="426" w:hanging="426"/>
        <w:textAlignment w:val="baseline"/>
        <w:rPr>
          <w:sz w:val="20"/>
        </w:rPr>
      </w:pPr>
      <w:hyperlink w:history="1" r:id="rId36">
        <w:r w:rsidR="00E47B9A">
          <w:rPr>
            <w:rStyle w:val="Hyperlink"/>
            <w:b/>
            <w:i/>
            <w:sz w:val="28"/>
          </w:rPr>
          <w:t>Politique stratégique pluriannuelle pour la gestion européenne intégrée des frontières</w:t>
        </w:r>
      </w:hyperlink>
    </w:p>
    <w:p w:rsidRPr="00692ADB" w:rsidR="00E47B9A" w:rsidP="00E47B9A" w:rsidRDefault="00E47B9A" w14:paraId="1507F874" w14:textId="77777777">
      <w:pPr>
        <w:tabs>
          <w:tab w:val="center" w:pos="284"/>
        </w:tabs>
        <w:ind w:left="266" w:hanging="266"/>
        <w:rPr>
          <w:b/>
          <w:sz w:val="16"/>
          <w:szCs w:val="16"/>
        </w:rPr>
      </w:pPr>
    </w:p>
    <w:tbl>
      <w:tblPr>
        <w:tblStyle w:val="TableGrid"/>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98"/>
        <w:gridCol w:w="7382"/>
      </w:tblGrid>
      <w:tr w:rsidRPr="0079790B" w:rsidR="00E47B9A" w:rsidTr="00195CCE" w14:paraId="2418D0E4" w14:textId="77777777">
        <w:tc>
          <w:tcPr>
            <w:tcW w:w="1798" w:type="dxa"/>
          </w:tcPr>
          <w:p w:rsidRPr="0079790B" w:rsidR="00E47B9A" w:rsidP="00195CCE" w:rsidRDefault="00E47B9A" w14:paraId="6DD32A51" w14:textId="77777777">
            <w:pPr>
              <w:tabs>
                <w:tab w:val="center" w:pos="284"/>
              </w:tabs>
              <w:ind w:left="266" w:hanging="266"/>
              <w:rPr>
                <w:b/>
              </w:rPr>
            </w:pPr>
            <w:r>
              <w:rPr>
                <w:b/>
              </w:rPr>
              <w:t>Rapporteur</w:t>
            </w:r>
          </w:p>
        </w:tc>
        <w:tc>
          <w:tcPr>
            <w:tcW w:w="7382" w:type="dxa"/>
          </w:tcPr>
          <w:p w:rsidRPr="0079790B" w:rsidR="00E47B9A" w:rsidP="00195CCE" w:rsidRDefault="00E47B9A" w14:paraId="590B5DC2" w14:textId="77777777">
            <w:pPr>
              <w:tabs>
                <w:tab w:val="center" w:pos="284"/>
              </w:tabs>
              <w:ind w:left="266" w:right="36" w:hanging="266"/>
            </w:pPr>
            <w:r>
              <w:t>Cristian PÎRVULESCU (groupe des organisations de la société civile — RO)</w:t>
            </w:r>
          </w:p>
        </w:tc>
      </w:tr>
      <w:tr w:rsidRPr="0079790B" w:rsidR="00E47B9A" w:rsidTr="00195CCE" w14:paraId="53C658CD" w14:textId="77777777">
        <w:tc>
          <w:tcPr>
            <w:tcW w:w="1798" w:type="dxa"/>
          </w:tcPr>
          <w:p w:rsidRPr="0079790B" w:rsidR="00E47B9A" w:rsidP="00195CCE" w:rsidRDefault="00E47B9A" w14:paraId="67128681" w14:textId="77777777">
            <w:pPr>
              <w:tabs>
                <w:tab w:val="center" w:pos="284"/>
              </w:tabs>
              <w:ind w:left="266" w:hanging="266"/>
              <w:rPr>
                <w:b/>
              </w:rPr>
            </w:pPr>
            <w:r>
              <w:rPr>
                <w:b/>
              </w:rPr>
              <w:t>Corapporteur</w:t>
            </w:r>
          </w:p>
        </w:tc>
        <w:tc>
          <w:tcPr>
            <w:tcW w:w="7382" w:type="dxa"/>
          </w:tcPr>
          <w:p w:rsidRPr="0079790B" w:rsidR="00E47B9A" w:rsidP="00195CCE" w:rsidRDefault="00E47B9A" w14:paraId="4CBEEE3C" w14:textId="77777777">
            <w:pPr>
              <w:tabs>
                <w:tab w:val="center" w:pos="284"/>
              </w:tabs>
              <w:ind w:left="266" w:hanging="266"/>
            </w:pPr>
            <w:r>
              <w:t>José Antonio MORENO DÍAZ (groupe des travailleurs — ES)</w:t>
            </w:r>
          </w:p>
        </w:tc>
      </w:tr>
      <w:tr w:rsidRPr="00692ADB" w:rsidR="00E47B9A" w:rsidTr="00195CCE" w14:paraId="7277C625" w14:textId="77777777">
        <w:tc>
          <w:tcPr>
            <w:tcW w:w="1798" w:type="dxa"/>
          </w:tcPr>
          <w:p w:rsidRPr="00692ADB" w:rsidR="00E47B9A" w:rsidP="00195CCE" w:rsidRDefault="00E47B9A" w14:paraId="7B49849D" w14:textId="77777777">
            <w:pPr>
              <w:tabs>
                <w:tab w:val="center" w:pos="284"/>
              </w:tabs>
              <w:ind w:left="266" w:hanging="266"/>
              <w:rPr>
                <w:b/>
                <w:sz w:val="12"/>
                <w:szCs w:val="12"/>
                <w:lang w:val="en-US"/>
              </w:rPr>
            </w:pPr>
          </w:p>
        </w:tc>
        <w:tc>
          <w:tcPr>
            <w:tcW w:w="7382" w:type="dxa"/>
          </w:tcPr>
          <w:p w:rsidRPr="00692ADB" w:rsidR="00E47B9A" w:rsidP="00195CCE" w:rsidRDefault="00E47B9A" w14:paraId="4E717A90" w14:textId="77777777">
            <w:pPr>
              <w:tabs>
                <w:tab w:val="center" w:pos="284"/>
              </w:tabs>
              <w:ind w:left="266" w:hanging="266"/>
              <w:rPr>
                <w:sz w:val="12"/>
                <w:szCs w:val="12"/>
              </w:rPr>
            </w:pPr>
          </w:p>
        </w:tc>
      </w:tr>
      <w:tr w:rsidRPr="0079790B" w:rsidR="00E47B9A" w:rsidTr="00195CCE" w14:paraId="719AE0B5" w14:textId="77777777">
        <w:tc>
          <w:tcPr>
            <w:tcW w:w="1798" w:type="dxa"/>
          </w:tcPr>
          <w:p w:rsidRPr="0079790B" w:rsidR="00E47B9A" w:rsidP="00195CCE" w:rsidRDefault="00E47B9A" w14:paraId="77F95F7E" w14:textId="77777777">
            <w:pPr>
              <w:tabs>
                <w:tab w:val="center" w:pos="284"/>
              </w:tabs>
              <w:ind w:left="266" w:hanging="266"/>
              <w:rPr>
                <w:b/>
              </w:rPr>
            </w:pPr>
            <w:r>
              <w:rPr>
                <w:b/>
              </w:rPr>
              <w:t>Références</w:t>
            </w:r>
          </w:p>
        </w:tc>
        <w:tc>
          <w:tcPr>
            <w:tcW w:w="7382" w:type="dxa"/>
          </w:tcPr>
          <w:p w:rsidRPr="0079790B" w:rsidR="00E47B9A" w:rsidP="00195CCE" w:rsidRDefault="00E47B9A" w14:paraId="34D14DE6" w14:textId="77777777">
            <w:pPr>
              <w:tabs>
                <w:tab w:val="center" w:pos="284"/>
              </w:tabs>
              <w:ind w:left="266" w:hanging="266"/>
            </w:pPr>
            <w:r>
              <w:t>COM(2023) 146 final</w:t>
            </w:r>
          </w:p>
          <w:p w:rsidRPr="0079790B" w:rsidR="00E47B9A" w:rsidP="00195CCE" w:rsidRDefault="00E47B9A" w14:paraId="5CA64466" w14:textId="2CB605C5">
            <w:pPr>
              <w:tabs>
                <w:tab w:val="center" w:pos="284"/>
              </w:tabs>
              <w:ind w:left="266" w:hanging="266"/>
            </w:pPr>
            <w:r>
              <w:t>EESC-2023-02519-00-00-A</w:t>
            </w:r>
            <w:r w:rsidR="00195CCE">
              <w:t>C</w:t>
            </w:r>
          </w:p>
        </w:tc>
      </w:tr>
    </w:tbl>
    <w:p w:rsidRPr="0079790B" w:rsidR="00E47B9A" w:rsidP="00E47B9A" w:rsidRDefault="00E47B9A" w14:paraId="5DAB6FEC" w14:textId="77777777">
      <w:pPr>
        <w:keepNext/>
        <w:keepLines/>
        <w:tabs>
          <w:tab w:val="center" w:pos="284"/>
        </w:tabs>
        <w:ind w:left="266" w:hanging="266"/>
        <w:rPr>
          <w:b/>
        </w:rPr>
      </w:pPr>
      <w:r>
        <w:rPr>
          <w:b/>
        </w:rPr>
        <w:t>Points clés</w:t>
      </w:r>
    </w:p>
    <w:p w:rsidRPr="003223A3" w:rsidR="00E47B9A" w:rsidP="00E47B9A" w:rsidRDefault="00E47B9A" w14:paraId="14F1876E" w14:textId="55B082E2">
      <w:pPr>
        <w:keepNext/>
        <w:keepLines/>
        <w:tabs>
          <w:tab w:val="center" w:pos="284"/>
        </w:tabs>
        <w:ind w:left="266" w:hanging="266"/>
        <w:rPr>
          <w:b/>
          <w:sz w:val="16"/>
          <w:szCs w:val="16"/>
        </w:rPr>
      </w:pPr>
    </w:p>
    <w:p w:rsidR="00E47B9A" w:rsidP="00E47B9A" w:rsidRDefault="00E47B9A" w14:paraId="10E54082" w14:textId="5625DE0A">
      <w:r>
        <w:t>Le CESE:</w:t>
      </w:r>
    </w:p>
    <w:p w:rsidRPr="006915C8" w:rsidR="00E47B9A" w:rsidP="00426D38" w:rsidRDefault="00E47B9A" w14:paraId="45E881E2" w14:textId="77777777">
      <w:pPr>
        <w:pStyle w:val="ListParagraph"/>
        <w:widowControl w:val="0"/>
        <w:numPr>
          <w:ilvl w:val="0"/>
          <w:numId w:val="12"/>
        </w:numPr>
        <w:spacing w:after="200" w:line="276" w:lineRule="auto"/>
      </w:pPr>
      <w:r>
        <w:t xml:space="preserve">accueille favorablement la stratégie pour la gestion européenne intégrée des frontières, en ce qu’elle offre </w:t>
      </w:r>
      <w:r>
        <w:rPr>
          <w:b/>
        </w:rPr>
        <w:t>un instrument de gestion qui vise à améliorer la coordination</w:t>
      </w:r>
      <w:r>
        <w:t xml:space="preserve"> entre les États membres et leurs objectifs communs pour ce qui concerne les frontières extérieures;</w:t>
      </w:r>
    </w:p>
    <w:p w:rsidRPr="006915C8" w:rsidR="00E47B9A" w:rsidP="00426D38" w:rsidRDefault="00E47B9A" w14:paraId="03CB9FF6" w14:textId="77777777">
      <w:pPr>
        <w:pStyle w:val="ListParagraph"/>
        <w:widowControl w:val="0"/>
        <w:numPr>
          <w:ilvl w:val="0"/>
          <w:numId w:val="12"/>
        </w:numPr>
        <w:spacing w:after="200" w:line="276" w:lineRule="auto"/>
      </w:pPr>
      <w:r>
        <w:t xml:space="preserve">souligne l’importance de disposer </w:t>
      </w:r>
      <w:r>
        <w:rPr>
          <w:b/>
        </w:rPr>
        <w:t>d’une stratégie commune pour une meilleure gestion des frontières extérieures, garantissant la sécurité intérieure de l’Union et la sûreté de ses résidents</w:t>
      </w:r>
      <w:r>
        <w:t xml:space="preserve">, ainsi que </w:t>
      </w:r>
      <w:r>
        <w:rPr>
          <w:b/>
        </w:rPr>
        <w:t>la protection des droits fondamentaux</w:t>
      </w:r>
      <w:r>
        <w:t xml:space="preserve"> et </w:t>
      </w:r>
      <w:r>
        <w:rPr>
          <w:b/>
        </w:rPr>
        <w:t>la libre circulation des personnes</w:t>
      </w:r>
      <w:r>
        <w:t xml:space="preserve"> en son sein;</w:t>
      </w:r>
    </w:p>
    <w:p w:rsidRPr="006915C8" w:rsidR="00E47B9A" w:rsidP="00426D38" w:rsidRDefault="00E47B9A" w14:paraId="35C44036" w14:textId="77777777">
      <w:pPr>
        <w:pStyle w:val="ListParagraph"/>
        <w:widowControl w:val="0"/>
        <w:numPr>
          <w:ilvl w:val="0"/>
          <w:numId w:val="12"/>
        </w:numPr>
        <w:spacing w:after="200" w:line="276" w:lineRule="auto"/>
      </w:pPr>
      <w:r>
        <w:t xml:space="preserve">soutient pleinement l’orientation stratégique relative à la GEIF, pour qui </w:t>
      </w:r>
      <w:r>
        <w:rPr>
          <w:b/>
        </w:rPr>
        <w:t>Frontex et les autorités compétentes des États membres devraient intégrer des garanties en matière de droits fondamentaux</w:t>
      </w:r>
      <w:r>
        <w:t xml:space="preserve"> dans toutes leurs activités. Le Comité invite instamment la Commission et l’Agence à réviser la stratégie en matière de droits fondamentaux afin d’y </w:t>
      </w:r>
      <w:r>
        <w:rPr>
          <w:b/>
        </w:rPr>
        <w:t>inclure des objectifs concrets</w:t>
      </w:r>
      <w:r>
        <w:t xml:space="preserve"> liés au travail et à </w:t>
      </w:r>
      <w:r>
        <w:rPr>
          <w:b/>
        </w:rPr>
        <w:t>l’influence des contrôleurs des droits fondamentaux</w:t>
      </w:r>
      <w:r>
        <w:t>;</w:t>
      </w:r>
    </w:p>
    <w:p w:rsidRPr="006915C8" w:rsidR="00E47B9A" w:rsidP="00426D38" w:rsidRDefault="00E47B9A" w14:paraId="44E03906" w14:textId="77777777">
      <w:pPr>
        <w:pStyle w:val="ListParagraph"/>
        <w:widowControl w:val="0"/>
        <w:numPr>
          <w:ilvl w:val="0"/>
          <w:numId w:val="12"/>
        </w:numPr>
        <w:spacing w:after="200" w:line="276" w:lineRule="auto"/>
      </w:pPr>
      <w:r>
        <w:t xml:space="preserve">recommande à la Commission d’utiliser le cadre de la GEIF pour </w:t>
      </w:r>
      <w:r>
        <w:rPr>
          <w:b/>
        </w:rPr>
        <w:t>exiger de chaque État membre un plan relatif aux droits fondamentaux</w:t>
      </w:r>
      <w:r>
        <w:t xml:space="preserve"> dans le domaine de la gestion des frontières, qui reflète et complète le plan qui guide l’activité de Frontex;</w:t>
      </w:r>
    </w:p>
    <w:p w:rsidRPr="006915C8" w:rsidR="00E47B9A" w:rsidP="00426D38" w:rsidRDefault="00E47B9A" w14:paraId="68F87A1D" w14:textId="77777777">
      <w:pPr>
        <w:pStyle w:val="ListParagraph"/>
        <w:widowControl w:val="0"/>
        <w:numPr>
          <w:ilvl w:val="0"/>
          <w:numId w:val="12"/>
        </w:numPr>
        <w:spacing w:after="200" w:line="276" w:lineRule="auto"/>
      </w:pPr>
      <w:r>
        <w:t xml:space="preserve">met l’accent sur la nécessité de mettre en place </w:t>
      </w:r>
      <w:r>
        <w:rPr>
          <w:b/>
        </w:rPr>
        <w:t>un véritable régime d’asile européen commun</w:t>
      </w:r>
      <w:r>
        <w:t xml:space="preserve"> qui soit</w:t>
      </w:r>
      <w:r>
        <w:rPr>
          <w:b/>
        </w:rPr>
        <w:t xml:space="preserve"> efficace, sûr et sécurisé, commun et obligatoire pour les 27 États membres</w:t>
      </w:r>
      <w:r>
        <w:t>. Des voies d’accès légales, sûres et efficaces devraient être prévues pour l’immigration à des fins professionnelles — des voies de migration efficaces et réalistes, légales et sûres vers l’Union pour faciliter une politique migratoire équilibrée;</w:t>
      </w:r>
    </w:p>
    <w:p w:rsidRPr="00DE238A" w:rsidR="00E47B9A" w:rsidP="00426D38" w:rsidRDefault="00E47B9A" w14:paraId="1F7189B2" w14:textId="77777777">
      <w:pPr>
        <w:pStyle w:val="ListParagraph"/>
        <w:widowControl w:val="0"/>
        <w:numPr>
          <w:ilvl w:val="0"/>
          <w:numId w:val="12"/>
        </w:numPr>
        <w:spacing w:after="200" w:line="276" w:lineRule="auto"/>
      </w:pPr>
      <w:r>
        <w:t xml:space="preserve">regrette que, dans le cadre de la GEIF, </w:t>
      </w:r>
      <w:r>
        <w:rPr>
          <w:b/>
        </w:rPr>
        <w:t>la pratique des refoulements ne soit pas suffisamment reconnue et combattue</w:t>
      </w:r>
      <w:r>
        <w:t>, et demande à la Commission d’</w:t>
      </w:r>
      <w:r>
        <w:rPr>
          <w:b/>
        </w:rPr>
        <w:t>élaborer des plans clairs</w:t>
      </w:r>
      <w:r>
        <w:t xml:space="preserve"> à cet égard et d’enjoindre aux institutions frontalières nationales d’éviter ces pratiques inacceptables;</w:t>
      </w:r>
    </w:p>
    <w:p w:rsidRPr="006915C8" w:rsidR="00E47B9A" w:rsidP="00426D38" w:rsidRDefault="00E47B9A" w14:paraId="61BC3F5D" w14:textId="77777777">
      <w:pPr>
        <w:pStyle w:val="ListParagraph"/>
        <w:widowControl w:val="0"/>
        <w:numPr>
          <w:ilvl w:val="0"/>
          <w:numId w:val="12"/>
        </w:numPr>
        <w:spacing w:after="200" w:line="276" w:lineRule="auto"/>
      </w:pPr>
      <w:r>
        <w:t>insiste sur le fait qu’</w:t>
      </w:r>
      <w:r>
        <w:rPr>
          <w:b/>
        </w:rPr>
        <w:t>en aucun cas la politique étrangère ou la politique de coopération de l’UE ne devraient être subordonnées à la coopération des pays d’origine</w:t>
      </w:r>
      <w:r>
        <w:t xml:space="preserve"> dans les processus de retour et de réadmission.</w:t>
      </w:r>
    </w:p>
    <w:p w:rsidRPr="00692ADB" w:rsidR="00E47B9A" w:rsidP="00E47B9A" w:rsidRDefault="00E47B9A" w14:paraId="0DD7BA7D" w14:textId="77777777">
      <w:pPr>
        <w:pStyle w:val="ListParagraph"/>
        <w:widowControl w:val="0"/>
        <w:ind w:left="709"/>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79790B" w:rsidR="00E47B9A" w:rsidTr="00195CCE" w14:paraId="4446903D" w14:textId="77777777">
        <w:tc>
          <w:tcPr>
            <w:tcW w:w="1418" w:type="dxa"/>
          </w:tcPr>
          <w:p w:rsidRPr="0079790B" w:rsidR="00E47B9A" w:rsidP="004136D5" w:rsidRDefault="00E47B9A" w14:paraId="281A0FE0" w14:textId="77777777">
            <w:pPr>
              <w:spacing w:line="240" w:lineRule="auto"/>
              <w:rPr>
                <w:i/>
              </w:rPr>
            </w:pPr>
            <w:r>
              <w:rPr>
                <w:b/>
                <w:i/>
              </w:rPr>
              <w:t>Contact</w:t>
            </w:r>
          </w:p>
        </w:tc>
        <w:tc>
          <w:tcPr>
            <w:tcW w:w="5670" w:type="dxa"/>
          </w:tcPr>
          <w:p w:rsidRPr="0079790B" w:rsidR="00E47B9A" w:rsidP="004136D5" w:rsidRDefault="00E47B9A" w14:paraId="0ADFBC46" w14:textId="77777777">
            <w:pPr>
              <w:spacing w:line="240" w:lineRule="auto"/>
              <w:rPr>
                <w:i/>
              </w:rPr>
            </w:pPr>
            <w:proofErr w:type="spellStart"/>
            <w:r>
              <w:rPr>
                <w:i/>
              </w:rPr>
              <w:t>Triin</w:t>
            </w:r>
            <w:proofErr w:type="spellEnd"/>
            <w:r>
              <w:rPr>
                <w:i/>
              </w:rPr>
              <w:t> </w:t>
            </w:r>
            <w:r w:rsidRPr="003223A3">
              <w:rPr>
                <w:i/>
              </w:rPr>
              <w:t>AASMAA GOMES</w:t>
            </w:r>
          </w:p>
        </w:tc>
      </w:tr>
      <w:tr w:rsidRPr="0079790B" w:rsidR="00E47B9A" w:rsidTr="00195CCE" w14:paraId="6343C071" w14:textId="77777777">
        <w:tc>
          <w:tcPr>
            <w:tcW w:w="1418" w:type="dxa"/>
          </w:tcPr>
          <w:p w:rsidRPr="0079790B" w:rsidR="00E47B9A" w:rsidP="004136D5" w:rsidRDefault="00E47B9A" w14:paraId="62184096" w14:textId="77777777">
            <w:pPr>
              <w:spacing w:line="240" w:lineRule="auto"/>
              <w:rPr>
                <w:i/>
              </w:rPr>
            </w:pPr>
            <w:r>
              <w:rPr>
                <w:i/>
              </w:rPr>
              <w:t>Tél.</w:t>
            </w:r>
          </w:p>
        </w:tc>
        <w:tc>
          <w:tcPr>
            <w:tcW w:w="5670" w:type="dxa"/>
          </w:tcPr>
          <w:p w:rsidRPr="0079790B" w:rsidR="00E47B9A" w:rsidP="004136D5" w:rsidRDefault="00E47B9A" w14:paraId="57729ED2" w14:textId="77777777">
            <w:pPr>
              <w:spacing w:line="240" w:lineRule="auto"/>
              <w:rPr>
                <w:i/>
              </w:rPr>
            </w:pPr>
            <w:r>
              <w:rPr>
                <w:i/>
              </w:rPr>
              <w:t>+32 25469524</w:t>
            </w:r>
          </w:p>
        </w:tc>
      </w:tr>
      <w:tr w:rsidRPr="0079790B" w:rsidR="00E47B9A" w:rsidTr="00195CCE" w14:paraId="6BA362C0" w14:textId="77777777">
        <w:tc>
          <w:tcPr>
            <w:tcW w:w="1418" w:type="dxa"/>
          </w:tcPr>
          <w:p w:rsidRPr="0079790B" w:rsidR="00E47B9A" w:rsidP="004136D5" w:rsidRDefault="00E47B9A" w14:paraId="393AAD4E" w14:textId="77777777">
            <w:pPr>
              <w:spacing w:line="240" w:lineRule="auto"/>
              <w:rPr>
                <w:i/>
              </w:rPr>
            </w:pPr>
            <w:r>
              <w:rPr>
                <w:i/>
              </w:rPr>
              <w:t>Courriel</w:t>
            </w:r>
          </w:p>
        </w:tc>
        <w:tc>
          <w:tcPr>
            <w:tcW w:w="5670" w:type="dxa"/>
          </w:tcPr>
          <w:p w:rsidRPr="0079790B" w:rsidR="00E47B9A" w:rsidP="004136D5" w:rsidRDefault="006F4895" w14:paraId="1B1765A6" w14:textId="77777777">
            <w:pPr>
              <w:spacing w:line="240" w:lineRule="auto"/>
              <w:rPr>
                <w:i/>
              </w:rPr>
            </w:pPr>
            <w:hyperlink w:history="1" r:id="rId37">
              <w:r w:rsidRPr="009E6ABF" w:rsidR="00E47B9A">
                <w:rPr>
                  <w:rStyle w:val="Hyperlink"/>
                  <w:i/>
                </w:rPr>
                <w:t>Triin.AasmaaGomes@eesc.europa.eu</w:t>
              </w:r>
            </w:hyperlink>
          </w:p>
        </w:tc>
      </w:tr>
    </w:tbl>
    <w:p w:rsidRPr="00C47742" w:rsidR="00E47B9A" w:rsidP="004136D5" w:rsidRDefault="006F4895" w14:paraId="49E6D463" w14:textId="7A5B5BC7">
      <w:pPr>
        <w:widowControl w:val="0"/>
        <w:numPr>
          <w:ilvl w:val="0"/>
          <w:numId w:val="20"/>
        </w:numPr>
        <w:overflowPunct w:val="0"/>
        <w:autoSpaceDE w:val="0"/>
        <w:autoSpaceDN w:val="0"/>
        <w:adjustRightInd w:val="0"/>
        <w:ind w:left="426" w:hanging="426"/>
        <w:textAlignment w:val="baseline"/>
        <w:rPr>
          <w:b/>
          <w:bCs/>
          <w:i/>
          <w:iCs/>
          <w:sz w:val="28"/>
          <w:szCs w:val="28"/>
        </w:rPr>
      </w:pPr>
      <w:hyperlink w:history="1" r:id="rId38">
        <w:r w:rsidR="00E47B9A">
          <w:rPr>
            <w:rStyle w:val="Hyperlink"/>
            <w:b/>
            <w:i/>
            <w:sz w:val="28"/>
          </w:rPr>
          <w:t>Transmission de procédures en matière pénale</w:t>
        </w:r>
      </w:hyperlink>
    </w:p>
    <w:p w:rsidRPr="00A6689B" w:rsidR="00E47B9A" w:rsidP="004136D5" w:rsidRDefault="00E47B9A" w14:paraId="376EB7B3" w14:textId="77777777">
      <w:pPr>
        <w:tabs>
          <w:tab w:val="center" w:pos="284"/>
        </w:tabs>
        <w:ind w:left="266" w:hanging="266"/>
        <w:rPr>
          <w:b/>
        </w:rPr>
      </w:pPr>
    </w:p>
    <w:tbl>
      <w:tblPr>
        <w:tblStyle w:val="TableGrid"/>
        <w:tblW w:w="485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0"/>
        <w:gridCol w:w="6673"/>
      </w:tblGrid>
      <w:tr w:rsidRPr="00A6689B" w:rsidR="00E47B9A" w:rsidTr="00195CCE" w14:paraId="6E19F92A" w14:textId="77777777">
        <w:tc>
          <w:tcPr>
            <w:tcW w:w="1126" w:type="pct"/>
          </w:tcPr>
          <w:p w:rsidRPr="00A6689B" w:rsidR="00E47B9A" w:rsidP="004136D5" w:rsidRDefault="00E47B9A" w14:paraId="2D8A30C9" w14:textId="77777777">
            <w:pPr>
              <w:ind w:left="-113"/>
              <w:rPr>
                <w:b/>
              </w:rPr>
            </w:pPr>
            <w:r>
              <w:rPr>
                <w:b/>
              </w:rPr>
              <w:t>Rapporteur</w:t>
            </w:r>
          </w:p>
        </w:tc>
        <w:tc>
          <w:tcPr>
            <w:tcW w:w="3874" w:type="pct"/>
          </w:tcPr>
          <w:p w:rsidRPr="00763B9A" w:rsidR="00E47B9A" w:rsidP="004136D5" w:rsidRDefault="00E47B9A" w14:paraId="297E51EF" w14:textId="6464F517">
            <w:pPr>
              <w:ind w:left="-113"/>
            </w:pPr>
            <w:r>
              <w:t>Vasco DE MELLO (</w:t>
            </w:r>
            <w:r w:rsidR="00195CCE">
              <w:t xml:space="preserve">groupe des travailleurs </w:t>
            </w:r>
            <w:r w:rsidR="0048572F">
              <w:t>—</w:t>
            </w:r>
            <w:r w:rsidR="00195CCE">
              <w:t xml:space="preserve"> </w:t>
            </w:r>
            <w:r>
              <w:t>PT)</w:t>
            </w:r>
          </w:p>
        </w:tc>
      </w:tr>
      <w:tr w:rsidRPr="00A6689B" w:rsidR="00E47B9A" w:rsidTr="00195CCE" w14:paraId="33AD49ED" w14:textId="77777777">
        <w:tc>
          <w:tcPr>
            <w:tcW w:w="5000" w:type="pct"/>
            <w:gridSpan w:val="2"/>
          </w:tcPr>
          <w:p w:rsidRPr="00A6689B" w:rsidR="00E47B9A" w:rsidP="004136D5" w:rsidRDefault="00E47B9A" w14:paraId="7578BB10" w14:textId="77777777">
            <w:pPr>
              <w:spacing w:line="160" w:lineRule="exact"/>
              <w:ind w:left="-113"/>
              <w:rPr>
                <w:lang w:val="en-US"/>
              </w:rPr>
            </w:pPr>
          </w:p>
        </w:tc>
      </w:tr>
      <w:tr w:rsidRPr="00A6689B" w:rsidR="00E47B9A" w:rsidTr="00195CCE" w14:paraId="0B6F1090" w14:textId="77777777">
        <w:tc>
          <w:tcPr>
            <w:tcW w:w="1126" w:type="pct"/>
            <w:vMerge w:val="restart"/>
          </w:tcPr>
          <w:p w:rsidRPr="00557B11" w:rsidR="00E47B9A" w:rsidP="004136D5" w:rsidRDefault="00E47B9A" w14:paraId="19F9DF58" w14:textId="77777777">
            <w:pPr>
              <w:ind w:left="-113"/>
              <w:rPr>
                <w:b/>
              </w:rPr>
            </w:pPr>
            <w:r>
              <w:rPr>
                <w:b/>
              </w:rPr>
              <w:t>Référence</w:t>
            </w:r>
          </w:p>
        </w:tc>
        <w:tc>
          <w:tcPr>
            <w:tcW w:w="3874" w:type="pct"/>
          </w:tcPr>
          <w:p w:rsidR="00195CCE" w:rsidP="004136D5" w:rsidRDefault="00195CCE" w14:paraId="48C0BB61" w14:textId="4D68EDE8">
            <w:pPr>
              <w:ind w:left="-113"/>
            </w:pPr>
            <w:r>
              <w:t>COM(2023) 185 final</w:t>
            </w:r>
          </w:p>
          <w:p w:rsidRPr="00557B11" w:rsidR="00E47B9A" w:rsidP="004136D5" w:rsidRDefault="00E47B9A" w14:paraId="21F9E912" w14:textId="7E7E9A29">
            <w:pPr>
              <w:ind w:left="-113"/>
            </w:pPr>
            <w:r>
              <w:t>EESC-2023-02300-00-00-A</w:t>
            </w:r>
            <w:r w:rsidR="00195CCE">
              <w:t>C</w:t>
            </w:r>
          </w:p>
        </w:tc>
      </w:tr>
      <w:tr w:rsidRPr="00A6689B" w:rsidR="00E47B9A" w:rsidTr="00195CCE" w14:paraId="777CC2EC" w14:textId="77777777">
        <w:trPr>
          <w:gridAfter w:val="1"/>
          <w:wAfter w:w="3874" w:type="pct"/>
          <w:trHeight w:val="304"/>
        </w:trPr>
        <w:tc>
          <w:tcPr>
            <w:tcW w:w="1126" w:type="pct"/>
            <w:vMerge/>
          </w:tcPr>
          <w:p w:rsidRPr="00A6689B" w:rsidR="00E47B9A" w:rsidP="004136D5" w:rsidRDefault="00E47B9A" w14:paraId="3EDB208E" w14:textId="77777777">
            <w:pPr>
              <w:tabs>
                <w:tab w:val="center" w:pos="284"/>
              </w:tabs>
              <w:ind w:left="266" w:hanging="266"/>
              <w:rPr>
                <w:b/>
                <w:lang w:val="en-US"/>
              </w:rPr>
            </w:pPr>
          </w:p>
        </w:tc>
      </w:tr>
    </w:tbl>
    <w:p w:rsidR="00E47B9A" w:rsidP="004136D5" w:rsidRDefault="00E47B9A" w14:paraId="084EC1B0" w14:textId="77777777">
      <w:pPr>
        <w:keepNext/>
        <w:tabs>
          <w:tab w:val="center" w:pos="284"/>
        </w:tabs>
        <w:ind w:left="266" w:hanging="266"/>
        <w:rPr>
          <w:b/>
        </w:rPr>
      </w:pPr>
      <w:r>
        <w:rPr>
          <w:b/>
        </w:rPr>
        <w:t>Points clés</w:t>
      </w:r>
    </w:p>
    <w:p w:rsidR="00E47B9A" w:rsidP="004136D5" w:rsidRDefault="00E47B9A" w14:paraId="50692A6B" w14:textId="77777777">
      <w:pPr>
        <w:keepNext/>
        <w:tabs>
          <w:tab w:val="center" w:pos="284"/>
        </w:tabs>
        <w:ind w:left="266" w:hanging="266"/>
        <w:rPr>
          <w:bCs/>
          <w:iCs/>
          <w:lang w:val="en-US"/>
        </w:rPr>
      </w:pPr>
    </w:p>
    <w:p w:rsidR="00E47B9A" w:rsidP="004136D5" w:rsidRDefault="00E47B9A" w14:paraId="6D8D2E86" w14:textId="68F0AF1F">
      <w:pPr>
        <w:keepNext/>
        <w:tabs>
          <w:tab w:val="center" w:pos="284"/>
        </w:tabs>
        <w:ind w:left="266" w:hanging="266"/>
      </w:pPr>
      <w:r>
        <w:t>Le CESE:</w:t>
      </w:r>
    </w:p>
    <w:p w:rsidR="004136D5" w:rsidP="004136D5" w:rsidRDefault="004136D5" w14:paraId="747B3132" w14:textId="77777777">
      <w:pPr>
        <w:keepNext/>
        <w:tabs>
          <w:tab w:val="center" w:pos="284"/>
        </w:tabs>
        <w:ind w:left="266" w:hanging="266"/>
        <w:rPr>
          <w:b/>
        </w:rPr>
      </w:pPr>
    </w:p>
    <w:p w:rsidRPr="00C16174" w:rsidR="00E47B9A" w:rsidP="00426D38" w:rsidRDefault="00E47B9A" w14:paraId="6D92ED86" w14:textId="77777777">
      <w:pPr>
        <w:numPr>
          <w:ilvl w:val="0"/>
          <w:numId w:val="13"/>
        </w:numPr>
        <w:overflowPunct w:val="0"/>
        <w:autoSpaceDE w:val="0"/>
        <w:autoSpaceDN w:val="0"/>
        <w:adjustRightInd w:val="0"/>
        <w:ind w:left="360"/>
        <w:textAlignment w:val="baseline"/>
        <w:rPr>
          <w:bCs/>
          <w:iCs/>
        </w:rPr>
      </w:pPr>
      <w:r>
        <w:t>accueille favorablement l’initiative de la Commission européenne visant à créer un régime commun de transmission des procédures pénales entre les États membres, évitant ainsi la duplication des procédures pénales pour les mêmes faits impliquant les mêmes auteurs dans plus d’un État membre, ainsi qu’à réduire le phénomène d’impunité causé par l’absence de poursuites pénales;</w:t>
      </w:r>
    </w:p>
    <w:p w:rsidRPr="00C16174" w:rsidR="00E47B9A" w:rsidP="00426D38" w:rsidRDefault="00E47B9A" w14:paraId="2EA92084" w14:textId="77777777">
      <w:pPr>
        <w:numPr>
          <w:ilvl w:val="0"/>
          <w:numId w:val="13"/>
        </w:numPr>
        <w:overflowPunct w:val="0"/>
        <w:autoSpaceDE w:val="0"/>
        <w:autoSpaceDN w:val="0"/>
        <w:adjustRightInd w:val="0"/>
        <w:ind w:left="360"/>
        <w:textAlignment w:val="baseline"/>
        <w:rPr>
          <w:bCs/>
          <w:iCs/>
        </w:rPr>
      </w:pPr>
      <w:r>
        <w:t>estime qu’il conviendrait d’ajouter ou de corriger un certain nombre de points. En effet, le CESE:</w:t>
      </w:r>
    </w:p>
    <w:p w:rsidRPr="00F5284A" w:rsidR="00E47B9A" w:rsidP="00426D38" w:rsidRDefault="00E47B9A" w14:paraId="293CA9A0" w14:textId="77777777">
      <w:pPr>
        <w:numPr>
          <w:ilvl w:val="1"/>
          <w:numId w:val="13"/>
        </w:numPr>
        <w:overflowPunct w:val="0"/>
        <w:autoSpaceDE w:val="0"/>
        <w:autoSpaceDN w:val="0"/>
        <w:adjustRightInd w:val="0"/>
        <w:ind w:left="851" w:hanging="284"/>
        <w:textAlignment w:val="baseline"/>
        <w:rPr>
          <w:bCs/>
          <w:iCs/>
        </w:rPr>
      </w:pPr>
      <w:r>
        <w:t>est d’avis qu’il convient de faire expressément référence à la Convention européenne des droits de l’homme et à la charte des droits fondamentaux de l’Union européenne, ainsi qu’à d’autres instruments juridiques visant la protection des droits fondamentaux;</w:t>
      </w:r>
    </w:p>
    <w:p w:rsidRPr="00F5284A" w:rsidR="00E47B9A" w:rsidP="00426D38" w:rsidRDefault="00E47B9A" w14:paraId="17441A2C" w14:textId="77777777">
      <w:pPr>
        <w:numPr>
          <w:ilvl w:val="1"/>
          <w:numId w:val="13"/>
        </w:numPr>
        <w:overflowPunct w:val="0"/>
        <w:autoSpaceDE w:val="0"/>
        <w:autoSpaceDN w:val="0"/>
        <w:adjustRightInd w:val="0"/>
        <w:ind w:left="851" w:hanging="284"/>
        <w:textAlignment w:val="baseline"/>
        <w:rPr>
          <w:bCs/>
          <w:iCs/>
        </w:rPr>
      </w:pPr>
      <w:r>
        <w:t>attire l’attention sur le fait que le système proposé ne saurait être utilisé pour permettre aux suspects et aux personnes poursuivies d’obtenir, en toute commodité, un régime juridique plus favorable;</w:t>
      </w:r>
    </w:p>
    <w:p w:rsidRPr="00F5284A" w:rsidR="00E47B9A" w:rsidP="00426D38" w:rsidRDefault="00E47B9A" w14:paraId="2AACC28F" w14:textId="77777777">
      <w:pPr>
        <w:numPr>
          <w:ilvl w:val="1"/>
          <w:numId w:val="13"/>
        </w:numPr>
        <w:overflowPunct w:val="0"/>
        <w:autoSpaceDE w:val="0"/>
        <w:autoSpaceDN w:val="0"/>
        <w:adjustRightInd w:val="0"/>
        <w:ind w:left="851" w:hanging="284"/>
        <w:textAlignment w:val="baseline"/>
        <w:rPr>
          <w:bCs/>
          <w:iCs/>
        </w:rPr>
      </w:pPr>
      <w:r>
        <w:t>se félicite de la décision de mettre en œuvre des outils numériques communs, mais estime qu’il convient de préserver la possibilité d’utiliser le canal de communication sur support papier afin de ne pas exclure les personnes qui n’ont pas accès aux ressources informatiques;</w:t>
      </w:r>
    </w:p>
    <w:p w:rsidRPr="00F5284A" w:rsidR="00E47B9A" w:rsidP="00426D38" w:rsidRDefault="00E47B9A" w14:paraId="40B0A0BF" w14:textId="77777777">
      <w:pPr>
        <w:numPr>
          <w:ilvl w:val="1"/>
          <w:numId w:val="13"/>
        </w:numPr>
        <w:overflowPunct w:val="0"/>
        <w:autoSpaceDE w:val="0"/>
        <w:autoSpaceDN w:val="0"/>
        <w:adjustRightInd w:val="0"/>
        <w:ind w:left="851" w:hanging="284"/>
        <w:textAlignment w:val="baseline"/>
        <w:rPr>
          <w:bCs/>
          <w:iCs/>
        </w:rPr>
      </w:pPr>
      <w:r>
        <w:t>estime que l’ensemble du processus de traduction devrait être mené avec la plus grande rigueur (et qu’il ne devrait pas être autorisé ce faisant de recourir à l’intelligence artificielle sans intervention humaine), et que la législation devrait prévoir le droit de former un recours pour mauvaise traduction des actes de procédure;</w:t>
      </w:r>
    </w:p>
    <w:p w:rsidRPr="00F5284A" w:rsidR="00E47B9A" w:rsidP="00426D38" w:rsidRDefault="00E47B9A" w14:paraId="53138D16" w14:textId="77777777">
      <w:pPr>
        <w:numPr>
          <w:ilvl w:val="1"/>
          <w:numId w:val="13"/>
        </w:numPr>
        <w:overflowPunct w:val="0"/>
        <w:autoSpaceDE w:val="0"/>
        <w:autoSpaceDN w:val="0"/>
        <w:adjustRightInd w:val="0"/>
        <w:ind w:left="851" w:hanging="284"/>
        <w:textAlignment w:val="baseline"/>
        <w:rPr>
          <w:bCs/>
          <w:iCs/>
        </w:rPr>
      </w:pPr>
      <w:r>
        <w:t>est d’avis qu’il y a lieu de former tous les professionnels du domaine judiciaire, ainsi que d’autres intervenants, comme les traducteurs;</w:t>
      </w:r>
    </w:p>
    <w:p w:rsidRPr="00F5284A" w:rsidR="00E47B9A" w:rsidP="00426D38" w:rsidRDefault="00E47B9A" w14:paraId="30186CB2" w14:textId="77777777">
      <w:pPr>
        <w:numPr>
          <w:ilvl w:val="1"/>
          <w:numId w:val="13"/>
        </w:numPr>
        <w:overflowPunct w:val="0"/>
        <w:autoSpaceDE w:val="0"/>
        <w:autoSpaceDN w:val="0"/>
        <w:adjustRightInd w:val="0"/>
        <w:ind w:left="851" w:hanging="284"/>
        <w:textAlignment w:val="baseline"/>
        <w:rPr>
          <w:bCs/>
          <w:iCs/>
        </w:rPr>
      </w:pPr>
      <w:r>
        <w:t>estime qu’il convient de prévoir une méthode de résolution des conflits négatifs de compétence qui pourraient découler de l’application du règlement à l’examen;</w:t>
      </w:r>
    </w:p>
    <w:p w:rsidRPr="00C16174" w:rsidR="00E47B9A" w:rsidP="00426D38" w:rsidRDefault="00E47B9A" w14:paraId="340EAB20" w14:textId="77777777">
      <w:pPr>
        <w:numPr>
          <w:ilvl w:val="1"/>
          <w:numId w:val="13"/>
        </w:numPr>
        <w:overflowPunct w:val="0"/>
        <w:autoSpaceDE w:val="0"/>
        <w:autoSpaceDN w:val="0"/>
        <w:adjustRightInd w:val="0"/>
        <w:ind w:left="851" w:hanging="284"/>
        <w:textAlignment w:val="baseline"/>
        <w:rPr>
          <w:bCs/>
          <w:iCs/>
        </w:rPr>
      </w:pPr>
      <w:r>
        <w:t>attire l’attention sur le fait qu’il conviendrait de supprimer la possibilité pour l’autorité requérante, en cas d’acceptation de la transmission d’une procédure pénale, de ne transmettre à l’autorité requise qu’une partie des documents du dossier de procédure et non leur totalité.</w:t>
      </w:r>
    </w:p>
    <w:p w:rsidRPr="00C47742" w:rsidR="00E47B9A" w:rsidP="00E47B9A" w:rsidRDefault="00E47B9A" w14:paraId="31C7C8E3" w14:textId="77777777">
      <w:pPr>
        <w:widowControl w:val="0"/>
        <w:ind w:left="709"/>
        <w:rPr>
          <w:sz w:val="16"/>
          <w:szCs w:val="16"/>
        </w:rPr>
      </w:pP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9"/>
        <w:gridCol w:w="4293"/>
      </w:tblGrid>
      <w:tr w:rsidRPr="00A6689B" w:rsidR="00E47B9A" w:rsidTr="00195CCE" w14:paraId="253C85E4" w14:textId="77777777">
        <w:tc>
          <w:tcPr>
            <w:tcW w:w="1556" w:type="pct"/>
          </w:tcPr>
          <w:p w:rsidRPr="00A6689B" w:rsidR="00E47B9A" w:rsidP="004136D5" w:rsidRDefault="00E47B9A" w14:paraId="58727345" w14:textId="77777777">
            <w:pPr>
              <w:keepNext/>
              <w:spacing w:line="240" w:lineRule="auto"/>
              <w:rPr>
                <w:i/>
              </w:rPr>
            </w:pPr>
            <w:r>
              <w:rPr>
                <w:b/>
                <w:i/>
              </w:rPr>
              <w:t>Contact</w:t>
            </w:r>
          </w:p>
        </w:tc>
        <w:tc>
          <w:tcPr>
            <w:tcW w:w="3444" w:type="pct"/>
          </w:tcPr>
          <w:p w:rsidRPr="00A6689B" w:rsidR="00E47B9A" w:rsidP="004136D5" w:rsidRDefault="00E47B9A" w14:paraId="39BD10DB" w14:textId="77777777">
            <w:pPr>
              <w:keepNext/>
              <w:spacing w:line="240" w:lineRule="auto"/>
              <w:rPr>
                <w:i/>
              </w:rPr>
            </w:pPr>
            <w:r>
              <w:rPr>
                <w:i/>
              </w:rPr>
              <w:t>Alessia COVA</w:t>
            </w:r>
          </w:p>
        </w:tc>
      </w:tr>
      <w:tr w:rsidRPr="00A6689B" w:rsidR="00E47B9A" w:rsidTr="00195CCE" w14:paraId="1B9130FB" w14:textId="77777777">
        <w:tc>
          <w:tcPr>
            <w:tcW w:w="1556" w:type="pct"/>
          </w:tcPr>
          <w:p w:rsidRPr="00A6689B" w:rsidR="00E47B9A" w:rsidP="004136D5" w:rsidRDefault="00E47B9A" w14:paraId="1DE937A0" w14:textId="77777777">
            <w:pPr>
              <w:keepNext/>
              <w:spacing w:line="240" w:lineRule="auto"/>
              <w:rPr>
                <w:i/>
              </w:rPr>
            </w:pPr>
            <w:r>
              <w:rPr>
                <w:i/>
              </w:rPr>
              <w:t>Tél.</w:t>
            </w:r>
          </w:p>
        </w:tc>
        <w:tc>
          <w:tcPr>
            <w:tcW w:w="3444" w:type="pct"/>
          </w:tcPr>
          <w:p w:rsidRPr="00A6689B" w:rsidR="00E47B9A" w:rsidP="004136D5" w:rsidRDefault="00E47B9A" w14:paraId="1707A6A8" w14:textId="77777777">
            <w:pPr>
              <w:keepNext/>
              <w:spacing w:line="240" w:lineRule="auto"/>
              <w:rPr>
                <w:i/>
              </w:rPr>
            </w:pPr>
            <w:r>
              <w:rPr>
                <w:i/>
              </w:rPr>
              <w:t>+32 2 546 9426</w:t>
            </w:r>
          </w:p>
        </w:tc>
      </w:tr>
      <w:tr w:rsidRPr="00A6689B" w:rsidR="00E47B9A" w:rsidTr="00195CCE" w14:paraId="26550AD5" w14:textId="77777777">
        <w:tc>
          <w:tcPr>
            <w:tcW w:w="1556" w:type="pct"/>
          </w:tcPr>
          <w:p w:rsidRPr="00A6689B" w:rsidR="00E47B9A" w:rsidP="00195CCE" w:rsidRDefault="00E47B9A" w14:paraId="2C10DEA2" w14:textId="77777777">
            <w:pPr>
              <w:spacing w:line="240" w:lineRule="auto"/>
              <w:rPr>
                <w:i/>
              </w:rPr>
            </w:pPr>
            <w:r>
              <w:rPr>
                <w:i/>
              </w:rPr>
              <w:t>Courriel</w:t>
            </w:r>
          </w:p>
        </w:tc>
        <w:tc>
          <w:tcPr>
            <w:tcW w:w="3444" w:type="pct"/>
          </w:tcPr>
          <w:p w:rsidRPr="00A6689B" w:rsidR="00E47B9A" w:rsidP="00195CCE" w:rsidRDefault="006F4895" w14:paraId="1E39B157" w14:textId="77777777">
            <w:pPr>
              <w:spacing w:line="240" w:lineRule="auto"/>
              <w:rPr>
                <w:i/>
              </w:rPr>
            </w:pPr>
            <w:hyperlink w:history="1" r:id="rId39">
              <w:r w:rsidR="00E47B9A">
                <w:rPr>
                  <w:rStyle w:val="Hyperlink"/>
                  <w:i/>
                </w:rPr>
                <w:t>Alessia.Cova@eesc.europa.eu</w:t>
              </w:r>
            </w:hyperlink>
          </w:p>
        </w:tc>
      </w:tr>
    </w:tbl>
    <w:p w:rsidRPr="00094B6B" w:rsidR="004B32D3" w:rsidP="00775FC4" w:rsidRDefault="004B32D3" w14:paraId="3ABA15D6" w14:textId="05D8EEA5">
      <w:pPr>
        <w:jc w:val="left"/>
        <w:rPr>
          <w:sz w:val="16"/>
          <w:szCs w:val="16"/>
        </w:rPr>
      </w:pPr>
      <w:r>
        <w:br w:type="page"/>
      </w:r>
    </w:p>
    <w:p w:rsidRPr="00B66035" w:rsidR="005A67F3" w:rsidP="00426D38" w:rsidRDefault="004C3902" w14:paraId="3792A077" w14:textId="733900DF">
      <w:pPr>
        <w:pStyle w:val="Heading1"/>
        <w:keepNext/>
        <w:keepLines/>
        <w:numPr>
          <w:ilvl w:val="0"/>
          <w:numId w:val="6"/>
        </w:numPr>
        <w:spacing w:before="0"/>
        <w:ind w:hanging="720"/>
        <w:rPr>
          <w:b/>
          <w:bCs/>
        </w:rPr>
      </w:pPr>
      <w:bookmarkStart w:name="_Toc146880470" w:id="68"/>
      <w:bookmarkStart w:name="_Toc146880521" w:id="69"/>
      <w:r>
        <w:rPr>
          <w:b/>
        </w:rPr>
        <w:lastRenderedPageBreak/>
        <w:t>MARCHÉ UNIQUE, PRODUCTION ET CONSOMMATION</w:t>
      </w:r>
      <w:bookmarkEnd w:id="68"/>
      <w:bookmarkEnd w:id="69"/>
    </w:p>
    <w:p w:rsidR="004C3902" w:rsidP="00775FC4" w:rsidRDefault="004C3902" w14:paraId="51590E30" w14:textId="2598780F">
      <w:pPr>
        <w:keepNext/>
        <w:keepLines/>
        <w:jc w:val="left"/>
        <w:rPr>
          <w:b/>
          <w:iCs/>
        </w:rPr>
      </w:pPr>
    </w:p>
    <w:p w:rsidRPr="0063208B" w:rsidR="00E47B9A" w:rsidP="006203AB" w:rsidRDefault="006F4895" w14:paraId="723B4143" w14:textId="42CCCE4C">
      <w:pPr>
        <w:widowControl w:val="0"/>
        <w:numPr>
          <w:ilvl w:val="0"/>
          <w:numId w:val="20"/>
        </w:numPr>
        <w:overflowPunct w:val="0"/>
        <w:autoSpaceDE w:val="0"/>
        <w:autoSpaceDN w:val="0"/>
        <w:adjustRightInd w:val="0"/>
        <w:ind w:left="426" w:hanging="426"/>
        <w:textAlignment w:val="baseline"/>
        <w:rPr>
          <w:sz w:val="20"/>
          <w:lang w:val="fr-BE"/>
        </w:rPr>
      </w:pPr>
      <w:hyperlink w:history="1" r:id="rId40">
        <w:r w:rsidRPr="0063208B" w:rsidR="00E47B9A">
          <w:rPr>
            <w:rStyle w:val="Hyperlink"/>
            <w:b/>
            <w:i/>
            <w:sz w:val="28"/>
            <w:lang w:val="fr-BE"/>
          </w:rPr>
          <w:t>Paquet «Réforme douanière»</w:t>
        </w:r>
      </w:hyperlink>
    </w:p>
    <w:p w:rsidRPr="0063208B" w:rsidR="00E47B9A" w:rsidP="00E47B9A" w:rsidRDefault="00E47B9A" w14:paraId="66438AFE" w14:textId="77777777">
      <w:pPr>
        <w:tabs>
          <w:tab w:val="center" w:pos="284"/>
        </w:tabs>
        <w:ind w:left="266" w:hanging="266"/>
        <w:rPr>
          <w:b/>
          <w:lang w:val="fr-BE"/>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63"/>
        <w:gridCol w:w="7500"/>
      </w:tblGrid>
      <w:tr w:rsidRPr="0063208B" w:rsidR="00E47B9A" w:rsidTr="00195CCE" w14:paraId="3FEE8FD8" w14:textId="77777777">
        <w:tc>
          <w:tcPr>
            <w:tcW w:w="769" w:type="pct"/>
          </w:tcPr>
          <w:p w:rsidRPr="0063208B" w:rsidR="00E47B9A" w:rsidP="00195CCE" w:rsidRDefault="00E47B9A" w14:paraId="48382297" w14:textId="77777777">
            <w:pPr>
              <w:tabs>
                <w:tab w:val="center" w:pos="284"/>
              </w:tabs>
              <w:ind w:left="266" w:hanging="266"/>
              <w:rPr>
                <w:b/>
                <w:lang w:val="fr-BE"/>
              </w:rPr>
            </w:pPr>
            <w:r w:rsidRPr="0063208B">
              <w:rPr>
                <w:b/>
                <w:lang w:val="fr-BE"/>
              </w:rPr>
              <w:t>Rapporteur</w:t>
            </w:r>
          </w:p>
        </w:tc>
        <w:tc>
          <w:tcPr>
            <w:tcW w:w="4231" w:type="pct"/>
          </w:tcPr>
          <w:p w:rsidRPr="0063208B" w:rsidR="00E47B9A" w:rsidP="00195CCE" w:rsidRDefault="00E47B9A" w14:paraId="2C93DF69" w14:textId="789462F2">
            <w:pPr>
              <w:tabs>
                <w:tab w:val="center" w:pos="0"/>
              </w:tabs>
              <w:ind w:left="266" w:hanging="266"/>
              <w:rPr>
                <w:lang w:val="fr-BE"/>
              </w:rPr>
            </w:pPr>
            <w:proofErr w:type="spellStart"/>
            <w:r w:rsidRPr="0063208B">
              <w:rPr>
                <w:lang w:val="fr-BE"/>
              </w:rPr>
              <w:t>Anastasis</w:t>
            </w:r>
            <w:proofErr w:type="spellEnd"/>
            <w:r w:rsidRPr="0063208B">
              <w:rPr>
                <w:lang w:val="fr-BE"/>
              </w:rPr>
              <w:t xml:space="preserve"> YIAPANIS (groupe des organisations de la société civile — </w:t>
            </w:r>
            <w:r w:rsidR="00195CCE">
              <w:rPr>
                <w:lang w:val="fr-BE"/>
              </w:rPr>
              <w:t>CY</w:t>
            </w:r>
            <w:r w:rsidRPr="0063208B">
              <w:rPr>
                <w:lang w:val="fr-BE"/>
              </w:rPr>
              <w:t>)</w:t>
            </w:r>
          </w:p>
        </w:tc>
      </w:tr>
      <w:tr w:rsidRPr="0063208B" w:rsidR="00E47B9A" w:rsidTr="00195CCE" w14:paraId="31924013" w14:textId="77777777">
        <w:tc>
          <w:tcPr>
            <w:tcW w:w="5000" w:type="pct"/>
            <w:gridSpan w:val="2"/>
          </w:tcPr>
          <w:p w:rsidRPr="0063208B" w:rsidR="00E47B9A" w:rsidP="00195CCE" w:rsidRDefault="00E47B9A" w14:paraId="3E111CFF" w14:textId="77777777">
            <w:pPr>
              <w:tabs>
                <w:tab w:val="center" w:pos="284"/>
              </w:tabs>
              <w:spacing w:line="160" w:lineRule="exact"/>
              <w:ind w:left="266" w:hanging="266"/>
              <w:rPr>
                <w:lang w:val="fr-BE"/>
              </w:rPr>
            </w:pPr>
          </w:p>
        </w:tc>
      </w:tr>
      <w:tr w:rsidRPr="0063208B" w:rsidR="00E47B9A" w:rsidTr="00195CCE" w14:paraId="3C24C3B7" w14:textId="77777777">
        <w:tc>
          <w:tcPr>
            <w:tcW w:w="769" w:type="pct"/>
            <w:vMerge w:val="restart"/>
          </w:tcPr>
          <w:p w:rsidRPr="0063208B" w:rsidR="00E47B9A" w:rsidP="00195CCE" w:rsidRDefault="00E47B9A" w14:paraId="52B0DFC9" w14:textId="77777777">
            <w:pPr>
              <w:tabs>
                <w:tab w:val="center" w:pos="284"/>
              </w:tabs>
              <w:ind w:left="266" w:hanging="266"/>
              <w:rPr>
                <w:b/>
                <w:lang w:val="fr-BE"/>
              </w:rPr>
            </w:pPr>
            <w:r w:rsidRPr="0063208B">
              <w:rPr>
                <w:b/>
                <w:lang w:val="fr-BE"/>
              </w:rPr>
              <w:t>Références</w:t>
            </w:r>
          </w:p>
        </w:tc>
        <w:tc>
          <w:tcPr>
            <w:tcW w:w="4231" w:type="pct"/>
          </w:tcPr>
          <w:p w:rsidRPr="0063208B" w:rsidR="00E47B9A" w:rsidP="00195CCE" w:rsidRDefault="00E47B9A" w14:paraId="6685F56A" w14:textId="51425EF3">
            <w:pPr>
              <w:tabs>
                <w:tab w:val="center" w:pos="284"/>
              </w:tabs>
              <w:ind w:left="266" w:hanging="266"/>
              <w:rPr>
                <w:lang w:val="fr-BE"/>
              </w:rPr>
            </w:pPr>
            <w:r w:rsidRPr="0063208B">
              <w:rPr>
                <w:lang w:val="fr-BE"/>
              </w:rPr>
              <w:t>COM(2023) 258 final</w:t>
            </w:r>
          </w:p>
        </w:tc>
      </w:tr>
      <w:tr w:rsidRPr="0063208B" w:rsidR="00E47B9A" w:rsidTr="00195CCE" w14:paraId="0B841794" w14:textId="77777777">
        <w:tc>
          <w:tcPr>
            <w:tcW w:w="769" w:type="pct"/>
            <w:vMerge/>
          </w:tcPr>
          <w:p w:rsidRPr="0063208B" w:rsidR="00E47B9A" w:rsidP="00195CCE" w:rsidRDefault="00E47B9A" w14:paraId="69752602" w14:textId="77777777">
            <w:pPr>
              <w:tabs>
                <w:tab w:val="center" w:pos="284"/>
              </w:tabs>
              <w:ind w:left="266" w:hanging="266"/>
              <w:rPr>
                <w:b/>
                <w:lang w:val="fr-BE"/>
              </w:rPr>
            </w:pPr>
          </w:p>
        </w:tc>
        <w:tc>
          <w:tcPr>
            <w:tcW w:w="4231" w:type="pct"/>
          </w:tcPr>
          <w:p w:rsidRPr="0063208B" w:rsidR="00E47B9A" w:rsidP="00195CCE" w:rsidRDefault="00E47B9A" w14:paraId="4E401575" w14:textId="3A125843">
            <w:pPr>
              <w:tabs>
                <w:tab w:val="center" w:pos="284"/>
              </w:tabs>
              <w:ind w:left="266" w:hanging="266"/>
              <w:rPr>
                <w:lang w:val="fr-BE"/>
              </w:rPr>
            </w:pPr>
            <w:r w:rsidRPr="0063208B">
              <w:rPr>
                <w:lang w:val="fr-BE"/>
              </w:rPr>
              <w:t>EESC-2023-01888-00-00-AC</w:t>
            </w:r>
          </w:p>
        </w:tc>
      </w:tr>
    </w:tbl>
    <w:p w:rsidRPr="0063208B" w:rsidR="00E47B9A" w:rsidP="00E47B9A" w:rsidRDefault="00E47B9A" w14:paraId="658935B8" w14:textId="77777777">
      <w:pPr>
        <w:tabs>
          <w:tab w:val="center" w:pos="284"/>
        </w:tabs>
        <w:ind w:left="266" w:hanging="266"/>
        <w:rPr>
          <w:lang w:val="fr-BE"/>
        </w:rPr>
      </w:pPr>
    </w:p>
    <w:p w:rsidRPr="0063208B" w:rsidR="00E47B9A" w:rsidP="00E47B9A" w:rsidRDefault="00E47B9A" w14:paraId="5BDED372" w14:textId="77777777">
      <w:pPr>
        <w:keepNext/>
        <w:keepLines/>
        <w:tabs>
          <w:tab w:val="center" w:pos="284"/>
        </w:tabs>
        <w:ind w:left="266" w:hanging="266"/>
        <w:rPr>
          <w:b/>
          <w:lang w:val="fr-BE"/>
        </w:rPr>
      </w:pPr>
      <w:r w:rsidRPr="0063208B">
        <w:rPr>
          <w:b/>
          <w:lang w:val="fr-BE"/>
        </w:rPr>
        <w:t>Points clés</w:t>
      </w:r>
    </w:p>
    <w:p w:rsidRPr="0063208B" w:rsidR="00E47B9A" w:rsidP="00E47B9A" w:rsidRDefault="00E47B9A" w14:paraId="0E62A312" w14:textId="77777777">
      <w:pPr>
        <w:keepNext/>
        <w:keepLines/>
        <w:tabs>
          <w:tab w:val="center" w:pos="284"/>
        </w:tabs>
        <w:ind w:left="266" w:hanging="266"/>
        <w:rPr>
          <w:b/>
          <w:lang w:val="fr-BE"/>
        </w:rPr>
      </w:pPr>
    </w:p>
    <w:p w:rsidR="00E47B9A" w:rsidP="00E47B9A" w:rsidRDefault="00E47B9A" w14:paraId="7916972B" w14:textId="7B870951">
      <w:pPr>
        <w:keepNext/>
        <w:rPr>
          <w:lang w:val="fr-BE"/>
        </w:rPr>
      </w:pPr>
      <w:r w:rsidRPr="0063208B">
        <w:rPr>
          <w:lang w:val="fr-BE"/>
        </w:rPr>
        <w:t>Le CESE:</w:t>
      </w:r>
    </w:p>
    <w:p w:rsidRPr="0063208B" w:rsidR="00E47B9A" w:rsidP="00426D38" w:rsidRDefault="00E47B9A" w14:paraId="3B09858B" w14:textId="77777777">
      <w:pPr>
        <w:pStyle w:val="ListParagraph"/>
        <w:numPr>
          <w:ilvl w:val="0"/>
          <w:numId w:val="14"/>
        </w:numPr>
        <w:contextualSpacing w:val="0"/>
        <w:rPr>
          <w:lang w:val="fr-BE"/>
        </w:rPr>
      </w:pPr>
      <w:r w:rsidRPr="0063208B">
        <w:rPr>
          <w:lang w:val="fr-BE"/>
        </w:rPr>
        <w:t>souligne la nécessité d’</w:t>
      </w:r>
      <w:r w:rsidRPr="0063208B">
        <w:rPr>
          <w:b/>
          <w:lang w:val="fr-BE"/>
        </w:rPr>
        <w:t>attirer des compétences spécialisées dans les questions douanières relevant de domaines non traditionnels</w:t>
      </w:r>
      <w:r w:rsidRPr="0063208B">
        <w:rPr>
          <w:lang w:val="fr-BE"/>
        </w:rPr>
        <w:t xml:space="preserve"> tels que la protection de l’environnement, la communication, l’aide aux consommateurs et la sécurité sociale, </w:t>
      </w:r>
      <w:r w:rsidRPr="0063208B">
        <w:rPr>
          <w:b/>
          <w:lang w:val="fr-BE"/>
        </w:rPr>
        <w:t>en promouvant les carrières dans les douanes</w:t>
      </w:r>
      <w:r w:rsidRPr="0063208B">
        <w:rPr>
          <w:lang w:val="fr-BE"/>
        </w:rPr>
        <w:t xml:space="preserve"> auprès de la jeune génération et en mettant en œuvre des programmes de formation et de requalification dans tous les États membres;</w:t>
      </w:r>
    </w:p>
    <w:p w:rsidRPr="0063208B" w:rsidR="00E47B9A" w:rsidP="00426D38" w:rsidRDefault="00E47B9A" w14:paraId="7754FCEF" w14:textId="77777777">
      <w:pPr>
        <w:pStyle w:val="ListParagraph"/>
        <w:numPr>
          <w:ilvl w:val="0"/>
          <w:numId w:val="14"/>
        </w:numPr>
        <w:contextualSpacing w:val="0"/>
        <w:rPr>
          <w:lang w:val="fr-BE"/>
        </w:rPr>
      </w:pPr>
      <w:r w:rsidRPr="0063208B">
        <w:rPr>
          <w:lang w:val="fr-BE"/>
        </w:rPr>
        <w:t xml:space="preserve">plaide en faveur d’une stratégie clairement définie pour </w:t>
      </w:r>
      <w:r w:rsidRPr="0063208B">
        <w:rPr>
          <w:b/>
          <w:lang w:val="fr-BE"/>
        </w:rPr>
        <w:t>intégrer l’intelligence artificielle (IA) dans les systèmes douaniers</w:t>
      </w:r>
      <w:r w:rsidRPr="0063208B">
        <w:rPr>
          <w:lang w:val="fr-BE"/>
        </w:rPr>
        <w:t>, tout en respectant les considérations éthiques à chaque étape du processus;</w:t>
      </w:r>
    </w:p>
    <w:p w:rsidRPr="0063208B" w:rsidR="00E47B9A" w:rsidP="00426D38" w:rsidRDefault="00E47B9A" w14:paraId="12785C0E" w14:textId="77777777">
      <w:pPr>
        <w:pStyle w:val="ListParagraph"/>
        <w:numPr>
          <w:ilvl w:val="0"/>
          <w:numId w:val="14"/>
        </w:numPr>
        <w:contextualSpacing w:val="0"/>
        <w:rPr>
          <w:lang w:val="fr-BE"/>
        </w:rPr>
      </w:pPr>
      <w:r w:rsidRPr="0063208B">
        <w:rPr>
          <w:b/>
          <w:lang w:val="fr-BE"/>
        </w:rPr>
        <w:t>désapprouve la proposition de tenir une demande pour rejetée si une autorité douanière ne respecte pas les délais fixés</w:t>
      </w:r>
      <w:r w:rsidRPr="0063208B">
        <w:rPr>
          <w:lang w:val="fr-BE"/>
        </w:rPr>
        <w:t xml:space="preserve"> pour la communication de sa décision. Contrairement à la proposition de la Commission, dans de tels cas, les demandes devraient être considérées comme acceptées;</w:t>
      </w:r>
    </w:p>
    <w:p w:rsidRPr="0063208B" w:rsidR="00E47B9A" w:rsidP="00426D38" w:rsidRDefault="00E47B9A" w14:paraId="2E70490C" w14:textId="77777777">
      <w:pPr>
        <w:pStyle w:val="ListParagraph"/>
        <w:numPr>
          <w:ilvl w:val="0"/>
          <w:numId w:val="14"/>
        </w:numPr>
        <w:contextualSpacing w:val="0"/>
        <w:rPr>
          <w:lang w:val="fr-BE"/>
        </w:rPr>
      </w:pPr>
      <w:r w:rsidRPr="0063208B">
        <w:rPr>
          <w:lang w:val="fr-BE"/>
        </w:rPr>
        <w:t xml:space="preserve">recommande que </w:t>
      </w:r>
      <w:r w:rsidRPr="0063208B">
        <w:rPr>
          <w:b/>
          <w:lang w:val="fr-BE"/>
        </w:rPr>
        <w:t>les entreprises de l’Union bénéficient d’un accès sans restriction à l’ensemble des lois, réglementations, lignes directrices et conseils pertinents ayant trait à leurs opérations douanières</w:t>
      </w:r>
      <w:r w:rsidRPr="0063208B">
        <w:rPr>
          <w:lang w:val="fr-BE"/>
        </w:rPr>
        <w:t>. Le Comité demande expressément que l’agence douanière de l’UE joue un rôle spécifique de soutien aux PME.</w:t>
      </w:r>
    </w:p>
    <w:p w:rsidRPr="0063208B" w:rsidR="00E47B9A" w:rsidP="00E47B9A" w:rsidRDefault="00E47B9A" w14:paraId="24AF2189" w14:textId="77777777">
      <w:pPr>
        <w:pStyle w:val="ListParagraph"/>
        <w:contextualSpacing w:val="0"/>
        <w:rPr>
          <w:lang w:val="fr-BE"/>
        </w:rPr>
      </w:pP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9"/>
        <w:gridCol w:w="4293"/>
      </w:tblGrid>
      <w:tr w:rsidRPr="0063208B" w:rsidR="00E47B9A" w:rsidTr="00195CCE" w14:paraId="7E8B91BB" w14:textId="77777777">
        <w:tc>
          <w:tcPr>
            <w:tcW w:w="1556" w:type="pct"/>
          </w:tcPr>
          <w:p w:rsidRPr="0063208B" w:rsidR="00E47B9A" w:rsidP="00195CCE" w:rsidRDefault="00E47B9A" w14:paraId="1ED3C306" w14:textId="77777777">
            <w:pPr>
              <w:spacing w:line="240" w:lineRule="auto"/>
              <w:rPr>
                <w:i/>
                <w:lang w:val="fr-BE"/>
              </w:rPr>
            </w:pPr>
            <w:r w:rsidRPr="0063208B">
              <w:rPr>
                <w:b/>
                <w:i/>
                <w:lang w:val="fr-BE"/>
              </w:rPr>
              <w:t>Contact</w:t>
            </w:r>
          </w:p>
        </w:tc>
        <w:tc>
          <w:tcPr>
            <w:tcW w:w="3444" w:type="pct"/>
          </w:tcPr>
          <w:p w:rsidRPr="0063208B" w:rsidR="00E47B9A" w:rsidP="00195CCE" w:rsidRDefault="00E47B9A" w14:paraId="3CED8171" w14:textId="77777777">
            <w:pPr>
              <w:spacing w:line="240" w:lineRule="auto"/>
              <w:rPr>
                <w:i/>
                <w:lang w:val="fr-BE"/>
              </w:rPr>
            </w:pPr>
            <w:r w:rsidRPr="0063208B">
              <w:rPr>
                <w:i/>
                <w:lang w:val="fr-BE"/>
              </w:rPr>
              <w:t>Silvia STAFFA</w:t>
            </w:r>
          </w:p>
        </w:tc>
      </w:tr>
      <w:tr w:rsidRPr="0063208B" w:rsidR="00E47B9A" w:rsidTr="00195CCE" w14:paraId="5C403261" w14:textId="77777777">
        <w:tc>
          <w:tcPr>
            <w:tcW w:w="1556" w:type="pct"/>
          </w:tcPr>
          <w:p w:rsidRPr="0063208B" w:rsidR="00E47B9A" w:rsidP="00195CCE" w:rsidRDefault="00E47B9A" w14:paraId="4B62B04A" w14:textId="77777777">
            <w:pPr>
              <w:spacing w:line="240" w:lineRule="auto"/>
              <w:rPr>
                <w:i/>
                <w:lang w:val="fr-BE"/>
              </w:rPr>
            </w:pPr>
            <w:r w:rsidRPr="0063208B">
              <w:rPr>
                <w:i/>
                <w:lang w:val="fr-BE"/>
              </w:rPr>
              <w:t>Tél.</w:t>
            </w:r>
          </w:p>
        </w:tc>
        <w:tc>
          <w:tcPr>
            <w:tcW w:w="3444" w:type="pct"/>
          </w:tcPr>
          <w:p w:rsidRPr="0063208B" w:rsidR="00E47B9A" w:rsidP="00195CCE" w:rsidRDefault="00E47B9A" w14:paraId="2411DC61" w14:textId="77777777">
            <w:pPr>
              <w:spacing w:line="240" w:lineRule="auto"/>
              <w:rPr>
                <w:i/>
                <w:lang w:val="fr-BE"/>
              </w:rPr>
            </w:pPr>
            <w:r w:rsidRPr="0063208B">
              <w:rPr>
                <w:i/>
                <w:lang w:val="fr-BE"/>
              </w:rPr>
              <w:t>+32</w:t>
            </w:r>
            <w:r>
              <w:rPr>
                <w:i/>
                <w:lang w:val="fr-BE"/>
              </w:rPr>
              <w:t> </w:t>
            </w:r>
            <w:r w:rsidRPr="0063208B">
              <w:rPr>
                <w:i/>
                <w:lang w:val="fr-BE"/>
              </w:rPr>
              <w:t>25468378</w:t>
            </w:r>
          </w:p>
        </w:tc>
      </w:tr>
      <w:tr w:rsidRPr="0063208B" w:rsidR="00E47B9A" w:rsidTr="00195CCE" w14:paraId="0F866956" w14:textId="77777777">
        <w:tc>
          <w:tcPr>
            <w:tcW w:w="1556" w:type="pct"/>
          </w:tcPr>
          <w:p w:rsidRPr="0063208B" w:rsidR="00E47B9A" w:rsidP="00195CCE" w:rsidRDefault="00E47B9A" w14:paraId="25D99579" w14:textId="77777777">
            <w:pPr>
              <w:spacing w:line="240" w:lineRule="auto"/>
              <w:rPr>
                <w:i/>
                <w:lang w:val="fr-BE"/>
              </w:rPr>
            </w:pPr>
            <w:r w:rsidRPr="0063208B">
              <w:rPr>
                <w:i/>
                <w:lang w:val="fr-BE"/>
              </w:rPr>
              <w:t>Courriel</w:t>
            </w:r>
          </w:p>
        </w:tc>
        <w:tc>
          <w:tcPr>
            <w:tcW w:w="3444" w:type="pct"/>
          </w:tcPr>
          <w:p w:rsidRPr="0063208B" w:rsidR="00E47B9A" w:rsidP="00195CCE" w:rsidRDefault="006F4895" w14:paraId="2747FB74" w14:textId="77777777">
            <w:pPr>
              <w:spacing w:line="240" w:lineRule="auto"/>
              <w:rPr>
                <w:i/>
                <w:lang w:val="fr-BE"/>
              </w:rPr>
            </w:pPr>
            <w:hyperlink w:history="1" r:id="rId41">
              <w:r w:rsidRPr="0063208B" w:rsidR="00E47B9A">
                <w:rPr>
                  <w:rStyle w:val="Hyperlink"/>
                  <w:i/>
                  <w:lang w:val="fr-BE"/>
                </w:rPr>
                <w:t>Silvia.Staffa@eesc.europa.eu</w:t>
              </w:r>
            </w:hyperlink>
          </w:p>
        </w:tc>
      </w:tr>
    </w:tbl>
    <w:p w:rsidRPr="0063208B" w:rsidR="00E47B9A" w:rsidP="00E47B9A" w:rsidRDefault="00E47B9A" w14:paraId="3283B3B4" w14:textId="77777777">
      <w:pPr>
        <w:jc w:val="center"/>
        <w:rPr>
          <w:lang w:val="fr-BE"/>
        </w:rPr>
      </w:pPr>
    </w:p>
    <w:p w:rsidRPr="0003586F" w:rsidR="00E47B9A" w:rsidP="006203AB" w:rsidRDefault="006F4895" w14:paraId="5475CDE6" w14:textId="5A469529">
      <w:pPr>
        <w:keepNext/>
        <w:widowControl w:val="0"/>
        <w:numPr>
          <w:ilvl w:val="0"/>
          <w:numId w:val="20"/>
        </w:numPr>
        <w:overflowPunct w:val="0"/>
        <w:autoSpaceDE w:val="0"/>
        <w:autoSpaceDN w:val="0"/>
        <w:adjustRightInd w:val="0"/>
        <w:ind w:left="426" w:hanging="426"/>
        <w:textAlignment w:val="baseline"/>
        <w:rPr>
          <w:sz w:val="20"/>
        </w:rPr>
      </w:pPr>
      <w:hyperlink w:tgtFrame="_blank" w:history="1" r:id="rId42">
        <w:r w:rsidR="00E47B9A">
          <w:rPr>
            <w:rStyle w:val="Hyperlink"/>
            <w:b/>
            <w:i/>
            <w:sz w:val="28"/>
          </w:rPr>
          <w:t>Train de mesures sur les brevets</w:t>
        </w:r>
      </w:hyperlink>
    </w:p>
    <w:p w:rsidRPr="00A6689B" w:rsidR="00E47B9A" w:rsidP="006203AB" w:rsidRDefault="00E47B9A" w14:paraId="4668E1C5" w14:textId="77777777">
      <w:pPr>
        <w:keepNext/>
        <w:tabs>
          <w:tab w:val="center" w:pos="284"/>
        </w:tabs>
        <w:ind w:left="266" w:hanging="266"/>
        <w:rPr>
          <w:b/>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2"/>
        <w:gridCol w:w="6931"/>
      </w:tblGrid>
      <w:tr w:rsidRPr="00A6689B" w:rsidR="00E47B9A" w:rsidTr="00195CCE" w14:paraId="2698D6D6" w14:textId="77777777">
        <w:tc>
          <w:tcPr>
            <w:tcW w:w="1090" w:type="pct"/>
          </w:tcPr>
          <w:p w:rsidRPr="00A6689B" w:rsidR="00E47B9A" w:rsidP="006203AB" w:rsidRDefault="00E47B9A" w14:paraId="40AA2E04" w14:textId="77777777">
            <w:pPr>
              <w:keepNext/>
              <w:tabs>
                <w:tab w:val="center" w:pos="284"/>
              </w:tabs>
              <w:ind w:left="266" w:hanging="266"/>
              <w:rPr>
                <w:b/>
              </w:rPr>
            </w:pPr>
            <w:r>
              <w:rPr>
                <w:b/>
              </w:rPr>
              <w:t>Rapporteur</w:t>
            </w:r>
          </w:p>
        </w:tc>
        <w:tc>
          <w:tcPr>
            <w:tcW w:w="3910" w:type="pct"/>
          </w:tcPr>
          <w:p w:rsidRPr="009E78F1" w:rsidR="00E47B9A" w:rsidP="006203AB" w:rsidRDefault="00E47B9A" w14:paraId="5BB4150F" w14:textId="77777777">
            <w:pPr>
              <w:keepNext/>
              <w:tabs>
                <w:tab w:val="center" w:pos="0"/>
              </w:tabs>
              <w:ind w:left="266" w:hanging="266"/>
            </w:pPr>
            <w:r>
              <w:t>Rudolf KOLBE (groupe des organisations de la société civile — AT)</w:t>
            </w:r>
          </w:p>
        </w:tc>
      </w:tr>
      <w:tr w:rsidRPr="00A6689B" w:rsidR="00E47B9A" w:rsidTr="00195CCE" w14:paraId="73490B51" w14:textId="77777777">
        <w:tc>
          <w:tcPr>
            <w:tcW w:w="5000" w:type="pct"/>
            <w:gridSpan w:val="2"/>
          </w:tcPr>
          <w:p w:rsidRPr="00A6689B" w:rsidR="00E47B9A" w:rsidP="006203AB" w:rsidRDefault="00E47B9A" w14:paraId="5076A948" w14:textId="77777777">
            <w:pPr>
              <w:keepNext/>
              <w:tabs>
                <w:tab w:val="center" w:pos="284"/>
              </w:tabs>
              <w:spacing w:line="160" w:lineRule="exact"/>
              <w:ind w:left="266" w:hanging="266"/>
            </w:pPr>
          </w:p>
        </w:tc>
      </w:tr>
      <w:tr w:rsidRPr="00A6689B" w:rsidR="00E47B9A" w:rsidTr="00195CCE" w14:paraId="620190D9" w14:textId="77777777">
        <w:tc>
          <w:tcPr>
            <w:tcW w:w="1090" w:type="pct"/>
            <w:vMerge w:val="restart"/>
          </w:tcPr>
          <w:p w:rsidRPr="00A6689B" w:rsidR="00E47B9A" w:rsidP="006203AB" w:rsidRDefault="00E47B9A" w14:paraId="54440C4C" w14:textId="77777777">
            <w:pPr>
              <w:keepNext/>
              <w:tabs>
                <w:tab w:val="center" w:pos="284"/>
              </w:tabs>
              <w:ind w:left="266" w:hanging="266"/>
              <w:rPr>
                <w:b/>
              </w:rPr>
            </w:pPr>
            <w:r>
              <w:rPr>
                <w:b/>
              </w:rPr>
              <w:t>Références</w:t>
            </w:r>
          </w:p>
        </w:tc>
        <w:tc>
          <w:tcPr>
            <w:tcW w:w="3910" w:type="pct"/>
          </w:tcPr>
          <w:p w:rsidR="00E47B9A" w:rsidP="006203AB" w:rsidRDefault="00E47B9A" w14:paraId="5198B2C6" w14:textId="1646BD3E">
            <w:pPr>
              <w:keepNext/>
              <w:tabs>
                <w:tab w:val="center" w:pos="284"/>
              </w:tabs>
              <w:ind w:left="266" w:hanging="266"/>
            </w:pPr>
            <w:r>
              <w:t>COM(2023) 221 final</w:t>
            </w:r>
          </w:p>
          <w:p w:rsidR="00E47B9A" w:rsidP="006203AB" w:rsidRDefault="00E47B9A" w14:paraId="6A0F36BC" w14:textId="10B375D5">
            <w:pPr>
              <w:keepNext/>
              <w:tabs>
                <w:tab w:val="center" w:pos="284"/>
              </w:tabs>
              <w:ind w:left="266" w:hanging="266"/>
            </w:pPr>
            <w:r>
              <w:t>COM(2023) 222 final</w:t>
            </w:r>
          </w:p>
          <w:p w:rsidR="00E47B9A" w:rsidP="006203AB" w:rsidRDefault="00E47B9A" w14:paraId="64B3BE36" w14:textId="4CA087BB">
            <w:pPr>
              <w:keepNext/>
              <w:tabs>
                <w:tab w:val="center" w:pos="284"/>
              </w:tabs>
              <w:ind w:left="266" w:hanging="266"/>
            </w:pPr>
            <w:r>
              <w:t>COM(2023) 223 final</w:t>
            </w:r>
          </w:p>
          <w:p w:rsidR="00E47B9A" w:rsidP="006203AB" w:rsidRDefault="00E47B9A" w14:paraId="5E94F761" w14:textId="7FFB951B">
            <w:pPr>
              <w:keepNext/>
              <w:tabs>
                <w:tab w:val="center" w:pos="284"/>
              </w:tabs>
              <w:ind w:left="266" w:hanging="266"/>
            </w:pPr>
            <w:r>
              <w:t>COM(2023) 224 final</w:t>
            </w:r>
          </w:p>
          <w:p w:rsidR="00E47B9A" w:rsidP="006203AB" w:rsidRDefault="00E47B9A" w14:paraId="13E3354F" w14:textId="708F2357">
            <w:pPr>
              <w:keepNext/>
              <w:tabs>
                <w:tab w:val="center" w:pos="284"/>
              </w:tabs>
              <w:ind w:left="266" w:hanging="266"/>
            </w:pPr>
            <w:r>
              <w:t>COM(2023) 231 final</w:t>
            </w:r>
          </w:p>
          <w:p w:rsidR="00E47B9A" w:rsidP="006203AB" w:rsidRDefault="00E47B9A" w14:paraId="0E80CEDA" w14:textId="08635830">
            <w:pPr>
              <w:keepNext/>
              <w:tabs>
                <w:tab w:val="center" w:pos="284"/>
              </w:tabs>
              <w:ind w:left="266" w:hanging="266"/>
            </w:pPr>
            <w:r>
              <w:t>COM(2023) 232 final</w:t>
            </w:r>
          </w:p>
          <w:p w:rsidRPr="00A6689B" w:rsidR="00E47B9A" w:rsidP="006203AB" w:rsidRDefault="00E47B9A" w14:paraId="7E8C28AE" w14:textId="7C480285">
            <w:pPr>
              <w:keepNext/>
              <w:tabs>
                <w:tab w:val="center" w:pos="284"/>
              </w:tabs>
              <w:ind w:left="266" w:hanging="266"/>
            </w:pPr>
            <w:r>
              <w:t xml:space="preserve">EESC-2023-02306-00-00-AC </w:t>
            </w:r>
          </w:p>
        </w:tc>
      </w:tr>
      <w:tr w:rsidRPr="00A6689B" w:rsidR="00E47B9A" w:rsidTr="00195CCE" w14:paraId="1D82BC04" w14:textId="77777777">
        <w:tc>
          <w:tcPr>
            <w:tcW w:w="1090" w:type="pct"/>
            <w:vMerge/>
          </w:tcPr>
          <w:p w:rsidRPr="00A6689B" w:rsidR="00E47B9A" w:rsidP="006203AB" w:rsidRDefault="00E47B9A" w14:paraId="711EB590" w14:textId="77777777">
            <w:pPr>
              <w:keepNext/>
              <w:tabs>
                <w:tab w:val="center" w:pos="284"/>
              </w:tabs>
              <w:ind w:left="266" w:hanging="266"/>
              <w:rPr>
                <w:b/>
                <w:lang w:val="en-US"/>
              </w:rPr>
            </w:pPr>
          </w:p>
        </w:tc>
        <w:tc>
          <w:tcPr>
            <w:tcW w:w="3910" w:type="pct"/>
          </w:tcPr>
          <w:p w:rsidRPr="00A6689B" w:rsidR="00E47B9A" w:rsidP="006203AB" w:rsidRDefault="00E47B9A" w14:paraId="42284242" w14:textId="77777777">
            <w:pPr>
              <w:keepNext/>
              <w:tabs>
                <w:tab w:val="center" w:pos="284"/>
              </w:tabs>
              <w:ind w:left="266" w:hanging="266"/>
              <w:rPr>
                <w:lang w:val="en-US"/>
              </w:rPr>
            </w:pPr>
          </w:p>
        </w:tc>
      </w:tr>
    </w:tbl>
    <w:p w:rsidRPr="00A6689B" w:rsidR="00E47B9A" w:rsidP="006203AB" w:rsidRDefault="00E47B9A" w14:paraId="3B73975B" w14:textId="77777777">
      <w:pPr>
        <w:keepNext/>
        <w:keepLines/>
        <w:tabs>
          <w:tab w:val="center" w:pos="284"/>
        </w:tabs>
        <w:ind w:left="266" w:hanging="266"/>
        <w:rPr>
          <w:b/>
        </w:rPr>
      </w:pPr>
      <w:r>
        <w:rPr>
          <w:b/>
        </w:rPr>
        <w:t>Points clés</w:t>
      </w:r>
    </w:p>
    <w:p w:rsidRPr="00A6689B" w:rsidR="00E47B9A" w:rsidP="006203AB" w:rsidRDefault="00E47B9A" w14:paraId="5C8256D9" w14:textId="77777777">
      <w:pPr>
        <w:keepNext/>
        <w:keepLines/>
        <w:tabs>
          <w:tab w:val="center" w:pos="284"/>
        </w:tabs>
        <w:ind w:left="266" w:hanging="266"/>
        <w:rPr>
          <w:b/>
        </w:rPr>
      </w:pPr>
    </w:p>
    <w:p w:rsidRPr="00A6689B" w:rsidR="00E47B9A" w:rsidP="006203AB" w:rsidRDefault="00E47B9A" w14:paraId="0F4AA60A" w14:textId="77777777">
      <w:pPr>
        <w:keepNext/>
        <w:rPr>
          <w:bCs/>
          <w:iCs/>
        </w:rPr>
      </w:pPr>
      <w:r>
        <w:t>Le CESE:</w:t>
      </w:r>
    </w:p>
    <w:p w:rsidRPr="00237BF1" w:rsidR="00E47B9A" w:rsidP="006203AB" w:rsidRDefault="00E47B9A" w14:paraId="05CA4042" w14:textId="77777777">
      <w:pPr>
        <w:pStyle w:val="ListParagraph"/>
        <w:keepNext/>
        <w:numPr>
          <w:ilvl w:val="0"/>
          <w:numId w:val="20"/>
        </w:numPr>
        <w:spacing w:after="200" w:line="276" w:lineRule="auto"/>
        <w:rPr>
          <w:bCs/>
          <w:iCs/>
        </w:rPr>
      </w:pPr>
      <w:r>
        <w:t xml:space="preserve">se félicite de l’intention de la Commission européenne de prendre des mesures en matière de certificats complémentaires de protection (CCP), et en particulier du </w:t>
      </w:r>
      <w:r>
        <w:rPr>
          <w:b/>
        </w:rPr>
        <w:t>projet visant à créer un nouveau CCP centralisé</w:t>
      </w:r>
      <w:r>
        <w:t xml:space="preserve"> pour les </w:t>
      </w:r>
      <w:r>
        <w:rPr>
          <w:b/>
        </w:rPr>
        <w:t>brevets européens à effet unitaire</w:t>
      </w:r>
      <w:r>
        <w:t xml:space="preserve"> (brevets unitaires). Ces mesures sont essentielles à la mise en place d’un système de brevets plus harmonisé au sein de l’Union;</w:t>
      </w:r>
    </w:p>
    <w:p w:rsidRPr="00237BF1" w:rsidR="00E47B9A" w:rsidP="00E86C69" w:rsidRDefault="00E47B9A" w14:paraId="3B0FD44E" w14:textId="77777777">
      <w:pPr>
        <w:pStyle w:val="ListParagraph"/>
        <w:numPr>
          <w:ilvl w:val="0"/>
          <w:numId w:val="20"/>
        </w:numPr>
        <w:spacing w:after="200" w:line="276" w:lineRule="auto"/>
        <w:rPr>
          <w:bCs/>
          <w:iCs/>
        </w:rPr>
      </w:pPr>
      <w:r>
        <w:t xml:space="preserve">estime que la proposition de système centralisé pour les brevets essentiels liés à une norme (BEN) est susceptible de promouvoir efficacement la transparence et la prévisibilité des BEN. Toutefois, en raison de sa complexité technique et juridique, la mise en place de procédures et d’un traitement administratif appropriés pour établir le caractère essentiel et les conditions FRAND (équitables, raisonnables et non discriminatoires) d’un BEN donné constituera un défi majeur dans le cadre de ce projet. Le CESE </w:t>
      </w:r>
      <w:r>
        <w:rPr>
          <w:b/>
        </w:rPr>
        <w:t>demande donc à la Commission</w:t>
      </w:r>
      <w:r>
        <w:t xml:space="preserve"> de poursuivre l’examen du projet et d’</w:t>
      </w:r>
      <w:r>
        <w:rPr>
          <w:b/>
        </w:rPr>
        <w:t>envisager d’associer davantage les experts et les autorités compétentes, y compris la juridiction unifiée du brevet (JUB)</w:t>
      </w:r>
      <w:r>
        <w:t>;</w:t>
      </w:r>
    </w:p>
    <w:p w:rsidRPr="00237BF1" w:rsidR="00E47B9A" w:rsidP="00E86C69" w:rsidRDefault="00E47B9A" w14:paraId="6950943E" w14:textId="77777777">
      <w:pPr>
        <w:pStyle w:val="ListParagraph"/>
        <w:numPr>
          <w:ilvl w:val="0"/>
          <w:numId w:val="20"/>
        </w:numPr>
        <w:spacing w:after="200" w:line="276" w:lineRule="auto"/>
        <w:rPr>
          <w:bCs/>
          <w:iCs/>
        </w:rPr>
      </w:pPr>
      <w:r>
        <w:t xml:space="preserve">est d’avis qu’il est pertinent et </w:t>
      </w:r>
      <w:r>
        <w:rPr>
          <w:b/>
        </w:rPr>
        <w:t>primordial que le système de brevets prévoie un système d’octroi de licences obligatoires qui soit transparent et équitable pour toutes les parties prenantes</w:t>
      </w:r>
      <w:r>
        <w:t xml:space="preserve"> (les titulaires de droits, les titulaires de licences potentiels et le public) et protège les droits fondamentaux. La </w:t>
      </w:r>
      <w:r>
        <w:rPr>
          <w:b/>
        </w:rPr>
        <w:t>proposition à l’examen ne répond pas à ces critères</w:t>
      </w:r>
      <w:r>
        <w:t>, dans la mesure où elle n’est conforme ni à la convention européenne des droits de l’homme (CEDH), ni aux normes minimales requises par l’accord sur les aspects des droits de propriété intellectuelle qui touchent au commerce (accord sur les ADPIC)</w:t>
      </w:r>
      <w:r w:rsidRPr="00237BF1">
        <w:rPr>
          <w:bCs/>
          <w:iCs/>
          <w:vertAlign w:val="superscript"/>
        </w:rPr>
        <w:footnoteReference w:id="2"/>
      </w:r>
      <w:r>
        <w:t>;</w:t>
      </w:r>
    </w:p>
    <w:p w:rsidRPr="00237BF1" w:rsidR="00E47B9A" w:rsidP="00E86C69" w:rsidRDefault="00E47B9A" w14:paraId="5353FB8B" w14:textId="77777777">
      <w:pPr>
        <w:pStyle w:val="ListParagraph"/>
        <w:numPr>
          <w:ilvl w:val="0"/>
          <w:numId w:val="20"/>
        </w:numPr>
        <w:spacing w:after="200" w:line="276" w:lineRule="auto"/>
        <w:rPr>
          <w:bCs/>
          <w:iCs/>
        </w:rPr>
      </w:pPr>
      <w:r>
        <w:rPr>
          <w:b/>
        </w:rPr>
        <w:t>recommande que la mise en place d’un octroi de licences obligatoires pour la gestion de crises pour les brevets européens et unitaires soit traitée par une juridiction qui soit aussi techniquement compétente, telle que la JUB</w:t>
      </w:r>
      <w:r>
        <w:t xml:space="preserve">, sur la base d’un cadre juridique et procédural transparent. </w:t>
      </w:r>
    </w:p>
    <w:p w:rsidRPr="000624A9" w:rsidR="00E47B9A" w:rsidP="00E47B9A" w:rsidRDefault="00E47B9A" w14:paraId="57E5E859" w14:textId="77777777">
      <w:pPr>
        <w:widowControl w:val="0"/>
        <w:ind w:left="709"/>
      </w:pP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9"/>
        <w:gridCol w:w="4293"/>
      </w:tblGrid>
      <w:tr w:rsidRPr="00A6689B" w:rsidR="00E47B9A" w:rsidTr="00195CCE" w14:paraId="7D49CC15" w14:textId="77777777">
        <w:tc>
          <w:tcPr>
            <w:tcW w:w="1556" w:type="pct"/>
          </w:tcPr>
          <w:p w:rsidRPr="00A6689B" w:rsidR="00E47B9A" w:rsidP="00195CCE" w:rsidRDefault="00E47B9A" w14:paraId="2A0F8AE8" w14:textId="77777777">
            <w:pPr>
              <w:spacing w:line="240" w:lineRule="auto"/>
              <w:rPr>
                <w:i/>
              </w:rPr>
            </w:pPr>
            <w:r>
              <w:rPr>
                <w:b/>
                <w:i/>
              </w:rPr>
              <w:t>Contact</w:t>
            </w:r>
          </w:p>
        </w:tc>
        <w:tc>
          <w:tcPr>
            <w:tcW w:w="3444" w:type="pct"/>
          </w:tcPr>
          <w:p w:rsidRPr="00A6689B" w:rsidR="00E47B9A" w:rsidP="00195CCE" w:rsidRDefault="00E47B9A" w14:paraId="3150A153" w14:textId="19E56CB6">
            <w:pPr>
              <w:spacing w:line="240" w:lineRule="auto"/>
              <w:rPr>
                <w:i/>
              </w:rPr>
            </w:pPr>
            <w:r>
              <w:rPr>
                <w:i/>
              </w:rPr>
              <w:t xml:space="preserve">Dalila </w:t>
            </w:r>
            <w:r w:rsidR="00093800">
              <w:rPr>
                <w:i/>
              </w:rPr>
              <w:t>BERNARD</w:t>
            </w:r>
          </w:p>
        </w:tc>
      </w:tr>
      <w:tr w:rsidRPr="00A6689B" w:rsidR="00E47B9A" w:rsidTr="00195CCE" w14:paraId="37B99C17" w14:textId="77777777">
        <w:tc>
          <w:tcPr>
            <w:tcW w:w="1556" w:type="pct"/>
          </w:tcPr>
          <w:p w:rsidRPr="00A6689B" w:rsidR="00E47B9A" w:rsidP="00195CCE" w:rsidRDefault="00E47B9A" w14:paraId="13274727" w14:textId="77777777">
            <w:pPr>
              <w:spacing w:line="240" w:lineRule="auto"/>
              <w:rPr>
                <w:i/>
              </w:rPr>
            </w:pPr>
            <w:r>
              <w:rPr>
                <w:i/>
              </w:rPr>
              <w:t>Tél.</w:t>
            </w:r>
          </w:p>
        </w:tc>
        <w:tc>
          <w:tcPr>
            <w:tcW w:w="3444" w:type="pct"/>
          </w:tcPr>
          <w:p w:rsidRPr="00A6689B" w:rsidR="00E47B9A" w:rsidP="00195CCE" w:rsidRDefault="00E47B9A" w14:paraId="64E17104" w14:textId="77777777">
            <w:pPr>
              <w:spacing w:line="240" w:lineRule="auto"/>
              <w:rPr>
                <w:i/>
              </w:rPr>
            </w:pPr>
            <w:r>
              <w:rPr>
                <w:i/>
              </w:rPr>
              <w:t>+32 25468438</w:t>
            </w:r>
          </w:p>
        </w:tc>
      </w:tr>
      <w:tr w:rsidRPr="00A6689B" w:rsidR="00E47B9A" w:rsidTr="00195CCE" w14:paraId="6270904A" w14:textId="77777777">
        <w:tc>
          <w:tcPr>
            <w:tcW w:w="1556" w:type="pct"/>
          </w:tcPr>
          <w:p w:rsidRPr="00A6689B" w:rsidR="00E47B9A" w:rsidP="00195CCE" w:rsidRDefault="00E47B9A" w14:paraId="66A5FEF0" w14:textId="77777777">
            <w:pPr>
              <w:spacing w:line="240" w:lineRule="auto"/>
              <w:rPr>
                <w:i/>
              </w:rPr>
            </w:pPr>
            <w:r>
              <w:rPr>
                <w:i/>
              </w:rPr>
              <w:t>Courriel</w:t>
            </w:r>
          </w:p>
        </w:tc>
        <w:tc>
          <w:tcPr>
            <w:tcW w:w="3444" w:type="pct"/>
          </w:tcPr>
          <w:p w:rsidRPr="00A6689B" w:rsidR="00E47B9A" w:rsidP="00195CCE" w:rsidRDefault="006F4895" w14:paraId="09321C33" w14:textId="77777777">
            <w:pPr>
              <w:spacing w:line="240" w:lineRule="auto"/>
              <w:rPr>
                <w:i/>
              </w:rPr>
            </w:pPr>
            <w:hyperlink w:history="1" r:id="rId43">
              <w:r w:rsidR="00E47B9A">
                <w:rPr>
                  <w:rStyle w:val="Hyperlink"/>
                </w:rPr>
                <w:t>Dalila.Bernard@eesc.europa.eu</w:t>
              </w:r>
            </w:hyperlink>
          </w:p>
        </w:tc>
      </w:tr>
      <w:tr w:rsidRPr="00A6689B" w:rsidR="00E2577F" w:rsidTr="00195CCE" w14:paraId="23C523E4" w14:textId="77777777">
        <w:tc>
          <w:tcPr>
            <w:tcW w:w="1556" w:type="pct"/>
          </w:tcPr>
          <w:p w:rsidR="00E2577F" w:rsidP="00195CCE" w:rsidRDefault="00E2577F" w14:paraId="3FE4F49E" w14:textId="77777777">
            <w:pPr>
              <w:spacing w:line="240" w:lineRule="auto"/>
              <w:rPr>
                <w:i/>
              </w:rPr>
            </w:pPr>
          </w:p>
        </w:tc>
        <w:tc>
          <w:tcPr>
            <w:tcW w:w="3444" w:type="pct"/>
          </w:tcPr>
          <w:p w:rsidR="00E2577F" w:rsidP="00195CCE" w:rsidRDefault="00E2577F" w14:paraId="4D89350D" w14:textId="77777777">
            <w:pPr>
              <w:spacing w:line="240" w:lineRule="auto"/>
            </w:pPr>
          </w:p>
        </w:tc>
      </w:tr>
    </w:tbl>
    <w:p w:rsidRPr="0003586F" w:rsidR="00E47B9A" w:rsidP="007678FE" w:rsidRDefault="006F4895" w14:paraId="5139D3E3" w14:textId="503D3285">
      <w:pPr>
        <w:widowControl w:val="0"/>
        <w:numPr>
          <w:ilvl w:val="0"/>
          <w:numId w:val="20"/>
        </w:numPr>
        <w:overflowPunct w:val="0"/>
        <w:autoSpaceDE w:val="0"/>
        <w:autoSpaceDN w:val="0"/>
        <w:adjustRightInd w:val="0"/>
        <w:ind w:left="426" w:hanging="426"/>
        <w:textAlignment w:val="baseline"/>
        <w:rPr>
          <w:sz w:val="20"/>
        </w:rPr>
      </w:pPr>
      <w:hyperlink w:tgtFrame="_blank" w:history="1" r:id="rId44">
        <w:r w:rsidR="00E47B9A">
          <w:rPr>
            <w:rStyle w:val="Hyperlink"/>
            <w:b/>
            <w:i/>
            <w:sz w:val="28"/>
          </w:rPr>
          <w:t>Pour une chaîne d’approvisionnement résiliente, durable et responsable de l’Union européenne dans le domaine des matières premières critiques</w:t>
        </w:r>
      </w:hyperlink>
    </w:p>
    <w:p w:rsidRPr="00A6689B" w:rsidR="00E47B9A" w:rsidP="00E47B9A" w:rsidRDefault="00E47B9A" w14:paraId="3282951D" w14:textId="77777777">
      <w:pPr>
        <w:tabs>
          <w:tab w:val="center" w:pos="284"/>
        </w:tabs>
        <w:ind w:left="266" w:hanging="266"/>
        <w:rPr>
          <w:b/>
        </w:rPr>
      </w:pPr>
    </w:p>
    <w:tbl>
      <w:tblPr>
        <w:tblStyle w:val="TableGrid"/>
        <w:tblW w:w="3985"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0"/>
        <w:gridCol w:w="5124"/>
      </w:tblGrid>
      <w:tr w:rsidRPr="00A6689B" w:rsidR="00E47B9A" w:rsidTr="00195CCE" w14:paraId="0A0EE0E9" w14:textId="77777777">
        <w:tc>
          <w:tcPr>
            <w:tcW w:w="1373" w:type="pct"/>
          </w:tcPr>
          <w:p w:rsidRPr="00A6689B" w:rsidR="00E47B9A" w:rsidP="00195CCE" w:rsidRDefault="00E47B9A" w14:paraId="569F57B8" w14:textId="77777777">
            <w:pPr>
              <w:tabs>
                <w:tab w:val="center" w:pos="284"/>
              </w:tabs>
              <w:ind w:left="266" w:hanging="266"/>
              <w:rPr>
                <w:b/>
              </w:rPr>
            </w:pPr>
            <w:proofErr w:type="spellStart"/>
            <w:r>
              <w:rPr>
                <w:b/>
              </w:rPr>
              <w:t>Rapporteure</w:t>
            </w:r>
            <w:proofErr w:type="spellEnd"/>
          </w:p>
        </w:tc>
        <w:tc>
          <w:tcPr>
            <w:tcW w:w="3627" w:type="pct"/>
          </w:tcPr>
          <w:p w:rsidRPr="009E78F1" w:rsidR="00E47B9A" w:rsidP="00195CCE" w:rsidRDefault="00E47B9A" w14:paraId="39F5140C" w14:textId="068C3961">
            <w:pPr>
              <w:tabs>
                <w:tab w:val="center" w:pos="0"/>
              </w:tabs>
              <w:ind w:left="266" w:hanging="266"/>
            </w:pPr>
            <w:r>
              <w:t>Cinzia DEL RIO (groupe des travailleurs </w:t>
            </w:r>
            <w:r w:rsidR="0048572F">
              <w:t>—</w:t>
            </w:r>
            <w:r>
              <w:t xml:space="preserve"> IT)</w:t>
            </w:r>
          </w:p>
        </w:tc>
      </w:tr>
      <w:tr w:rsidRPr="00A6689B" w:rsidR="00E47B9A" w:rsidTr="00195CCE" w14:paraId="0F63CB7A" w14:textId="77777777">
        <w:tc>
          <w:tcPr>
            <w:tcW w:w="5000" w:type="pct"/>
            <w:gridSpan w:val="2"/>
          </w:tcPr>
          <w:p w:rsidRPr="00A6689B" w:rsidR="00E47B9A" w:rsidP="00195CCE" w:rsidRDefault="00E47B9A" w14:paraId="77D7083C" w14:textId="77777777">
            <w:pPr>
              <w:tabs>
                <w:tab w:val="center" w:pos="284"/>
              </w:tabs>
              <w:spacing w:line="160" w:lineRule="exact"/>
              <w:ind w:left="266" w:hanging="266"/>
              <w:rPr>
                <w:lang w:val="en-US"/>
              </w:rPr>
            </w:pPr>
          </w:p>
        </w:tc>
      </w:tr>
      <w:tr w:rsidRPr="00A6689B" w:rsidR="00E47B9A" w:rsidTr="00195CCE" w14:paraId="1F903BB7" w14:textId="77777777">
        <w:tc>
          <w:tcPr>
            <w:tcW w:w="1373" w:type="pct"/>
            <w:vMerge w:val="restart"/>
          </w:tcPr>
          <w:p w:rsidRPr="00A6689B" w:rsidR="00E47B9A" w:rsidP="00195CCE" w:rsidRDefault="00E47B9A" w14:paraId="0281CD88" w14:textId="77777777">
            <w:pPr>
              <w:tabs>
                <w:tab w:val="center" w:pos="284"/>
              </w:tabs>
              <w:ind w:left="266" w:hanging="266"/>
              <w:rPr>
                <w:b/>
              </w:rPr>
            </w:pPr>
            <w:r>
              <w:rPr>
                <w:b/>
              </w:rPr>
              <w:t>Références</w:t>
            </w:r>
          </w:p>
        </w:tc>
        <w:tc>
          <w:tcPr>
            <w:tcW w:w="3627" w:type="pct"/>
          </w:tcPr>
          <w:p w:rsidRPr="00BF2778" w:rsidR="00E47B9A" w:rsidP="00195CCE" w:rsidRDefault="00E47B9A" w14:paraId="48B69573" w14:textId="77777777">
            <w:pPr>
              <w:tabs>
                <w:tab w:val="center" w:pos="284"/>
              </w:tabs>
              <w:ind w:left="266" w:hanging="266"/>
            </w:pPr>
            <w:r>
              <w:t>Avis d’initiative</w:t>
            </w:r>
          </w:p>
        </w:tc>
      </w:tr>
      <w:tr w:rsidRPr="00A6689B" w:rsidR="00E47B9A" w:rsidTr="00195CCE" w14:paraId="299A06E9" w14:textId="77777777">
        <w:tc>
          <w:tcPr>
            <w:tcW w:w="1373" w:type="pct"/>
            <w:vMerge/>
          </w:tcPr>
          <w:p w:rsidRPr="00A6689B" w:rsidR="00E47B9A" w:rsidP="00195CCE" w:rsidRDefault="00E47B9A" w14:paraId="7B4FAB47" w14:textId="77777777">
            <w:pPr>
              <w:tabs>
                <w:tab w:val="center" w:pos="284"/>
              </w:tabs>
              <w:ind w:left="266" w:hanging="266"/>
              <w:rPr>
                <w:b/>
                <w:lang w:val="en-US"/>
              </w:rPr>
            </w:pPr>
          </w:p>
        </w:tc>
        <w:tc>
          <w:tcPr>
            <w:tcW w:w="3627" w:type="pct"/>
          </w:tcPr>
          <w:p w:rsidRPr="00A6689B" w:rsidR="00E47B9A" w:rsidP="00195CCE" w:rsidRDefault="00E47B9A" w14:paraId="3A6AADCB" w14:textId="7245F253">
            <w:pPr>
              <w:tabs>
                <w:tab w:val="center" w:pos="284"/>
              </w:tabs>
              <w:ind w:left="266" w:hanging="266"/>
            </w:pPr>
            <w:r>
              <w:t>EESC-2023-00879-00-00-AC</w:t>
            </w:r>
          </w:p>
        </w:tc>
      </w:tr>
    </w:tbl>
    <w:p w:rsidRPr="00A6689B" w:rsidR="00E47B9A" w:rsidP="00E47B9A" w:rsidRDefault="00E47B9A" w14:paraId="1507DB09" w14:textId="77777777">
      <w:pPr>
        <w:keepNext/>
        <w:keepLines/>
        <w:tabs>
          <w:tab w:val="center" w:pos="284"/>
        </w:tabs>
        <w:ind w:left="266" w:hanging="266"/>
        <w:rPr>
          <w:b/>
        </w:rPr>
      </w:pPr>
      <w:r>
        <w:rPr>
          <w:b/>
        </w:rPr>
        <w:t>Points clés</w:t>
      </w:r>
    </w:p>
    <w:p w:rsidRPr="00A6689B" w:rsidR="00E47B9A" w:rsidP="00E47B9A" w:rsidRDefault="00E47B9A" w14:paraId="696A9932" w14:textId="77777777">
      <w:pPr>
        <w:keepNext/>
        <w:keepLines/>
        <w:tabs>
          <w:tab w:val="center" w:pos="284"/>
        </w:tabs>
        <w:ind w:left="266" w:hanging="266"/>
        <w:rPr>
          <w:b/>
        </w:rPr>
      </w:pPr>
    </w:p>
    <w:p w:rsidRPr="00A6689B" w:rsidR="00E47B9A" w:rsidP="00E47B9A" w:rsidRDefault="00E47B9A" w14:paraId="39840475" w14:textId="77777777">
      <w:pPr>
        <w:rPr>
          <w:bCs/>
          <w:iCs/>
        </w:rPr>
      </w:pPr>
      <w:r>
        <w:t>Le CESE:</w:t>
      </w:r>
    </w:p>
    <w:p w:rsidRPr="00A6689B" w:rsidR="00E47B9A" w:rsidP="00E47B9A" w:rsidRDefault="00E47B9A" w14:paraId="18ABC88F" w14:textId="77777777">
      <w:pPr>
        <w:keepNext/>
        <w:rPr>
          <w:bCs/>
          <w:iCs/>
        </w:rPr>
      </w:pPr>
    </w:p>
    <w:p w:rsidR="00E47B9A" w:rsidP="00E86C69" w:rsidRDefault="00E47B9A" w14:paraId="1139D771" w14:textId="77777777">
      <w:pPr>
        <w:pStyle w:val="ListParagraph"/>
        <w:numPr>
          <w:ilvl w:val="0"/>
          <w:numId w:val="20"/>
        </w:numPr>
        <w:spacing w:after="200" w:line="276" w:lineRule="auto"/>
        <w:rPr>
          <w:bCs/>
          <w:iCs/>
        </w:rPr>
      </w:pPr>
      <w:r>
        <w:t xml:space="preserve">fait valoir que dans le contexte géopolitique actuel, la priorité première de l’Union et de ses États membres consiste aujourd’hui à </w:t>
      </w:r>
      <w:r>
        <w:rPr>
          <w:b/>
        </w:rPr>
        <w:t>s’assurer un accès aux matières premières les plus cruciales</w:t>
      </w:r>
      <w:r>
        <w:t xml:space="preserve"> pour soutenir les transitions numérique et écologique du système industriel, étant entendu que le respect des normes sociales et environnementales tout au long des chaînes de valeur</w:t>
      </w:r>
      <w:r>
        <w:rPr>
          <w:b/>
        </w:rPr>
        <w:t>, dans tous les pays, demeure un objectif fondamental des politiques de l’Union</w:t>
      </w:r>
      <w:r>
        <w:t>;</w:t>
      </w:r>
    </w:p>
    <w:p w:rsidRPr="00EF1D8A" w:rsidR="00E47B9A" w:rsidP="00E86C69" w:rsidRDefault="00E47B9A" w14:paraId="730AB415" w14:textId="77777777">
      <w:pPr>
        <w:pStyle w:val="ListParagraph"/>
        <w:numPr>
          <w:ilvl w:val="0"/>
          <w:numId w:val="20"/>
        </w:numPr>
        <w:spacing w:after="200" w:line="276" w:lineRule="auto"/>
        <w:rPr>
          <w:bCs/>
          <w:iCs/>
        </w:rPr>
      </w:pPr>
      <w:r>
        <w:t xml:space="preserve">compte tenu de la dynamique internationale actuelle ainsi que des contraintes sociales et environnementales avec lesquelles il faut composer, conseille de reconnaître que </w:t>
      </w:r>
      <w:r>
        <w:rPr>
          <w:b/>
        </w:rPr>
        <w:t>des mesures volontaires et non obligatoires sont insuffisantes</w:t>
      </w:r>
      <w:r>
        <w:t xml:space="preserve"> pour relever des défis aussi complexes;</w:t>
      </w:r>
    </w:p>
    <w:p w:rsidRPr="00A15635" w:rsidR="00E47B9A" w:rsidP="00E86C69" w:rsidRDefault="00E47B9A" w14:paraId="7CAB8602" w14:textId="77777777">
      <w:pPr>
        <w:pStyle w:val="ListParagraph"/>
        <w:numPr>
          <w:ilvl w:val="0"/>
          <w:numId w:val="20"/>
        </w:numPr>
        <w:spacing w:after="200" w:line="276" w:lineRule="auto"/>
        <w:rPr>
          <w:bCs/>
          <w:iCs/>
        </w:rPr>
      </w:pPr>
      <w:r>
        <w:t xml:space="preserve">recommande de garantir le respect obligatoire, dans les accords commerciaux, de l’ensemble des règles et normes internationales, à commencer par celles qui s’appliquent au commerce illicite de ressources, en prévoyant des </w:t>
      </w:r>
      <w:r>
        <w:rPr>
          <w:b/>
        </w:rPr>
        <w:t>sanctions à caractère commercial</w:t>
      </w:r>
      <w:r>
        <w:t>;</w:t>
      </w:r>
    </w:p>
    <w:p w:rsidR="00E47B9A" w:rsidP="00E86C69" w:rsidRDefault="00E47B9A" w14:paraId="5B40E8A5" w14:textId="77777777">
      <w:pPr>
        <w:pStyle w:val="ListParagraph"/>
        <w:numPr>
          <w:ilvl w:val="0"/>
          <w:numId w:val="20"/>
        </w:numPr>
        <w:spacing w:after="200" w:line="276" w:lineRule="auto"/>
        <w:rPr>
          <w:bCs/>
          <w:iCs/>
        </w:rPr>
      </w:pPr>
      <w:r>
        <w:t xml:space="preserve">est favorable à la </w:t>
      </w:r>
      <w:r>
        <w:rPr>
          <w:b/>
        </w:rPr>
        <w:t>numérisation de la filière de production</w:t>
      </w:r>
      <w:r>
        <w:t>. L’utilisation des technologies numériques jouera un rôle clé pour améliorer la gestion de la chaîne d’approvisionnement et l’efficacité de la filière de production et pour détecter les problèmes à un stade précoce, grâce à des plateformes de gestion des commandes, à la traçabilité des produits et au suivi des processus de production;</w:t>
      </w:r>
    </w:p>
    <w:p w:rsidRPr="0086498A" w:rsidR="00E47B9A" w:rsidP="00E86C69" w:rsidRDefault="00E47B9A" w14:paraId="6429EDC3" w14:textId="77777777">
      <w:pPr>
        <w:pStyle w:val="ListParagraph"/>
        <w:numPr>
          <w:ilvl w:val="0"/>
          <w:numId w:val="20"/>
        </w:numPr>
        <w:spacing w:after="200" w:line="276" w:lineRule="auto"/>
        <w:rPr>
          <w:bCs/>
          <w:iCs/>
        </w:rPr>
      </w:pPr>
      <w:r>
        <w:t>recommande d’</w:t>
      </w:r>
      <w:r>
        <w:rPr>
          <w:b/>
          <w:bCs/>
        </w:rPr>
        <w:t>associer le Parlement au comité européen des matières premières critiques, et ce, non pas en tant que simple observateur</w:t>
      </w:r>
      <w:r>
        <w:t>. Ce comité se doit de consulter les partenaires sociaux et les organisations de la société civile de l’Union sur toutes les propositions, afin de garantir des décisions inclusives et des conditions de concurrence équitables entre les États membres de l’UE.</w:t>
      </w: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9"/>
        <w:gridCol w:w="4293"/>
      </w:tblGrid>
      <w:tr w:rsidRPr="00A6689B" w:rsidR="00E47B9A" w:rsidTr="00195CCE" w14:paraId="1C15F72C" w14:textId="77777777">
        <w:tc>
          <w:tcPr>
            <w:tcW w:w="1556" w:type="pct"/>
          </w:tcPr>
          <w:p w:rsidRPr="00A6689B" w:rsidR="00E47B9A" w:rsidP="00195CCE" w:rsidRDefault="00E47B9A" w14:paraId="37933A4A" w14:textId="77777777">
            <w:pPr>
              <w:spacing w:line="240" w:lineRule="auto"/>
              <w:rPr>
                <w:i/>
              </w:rPr>
            </w:pPr>
            <w:r>
              <w:rPr>
                <w:b/>
                <w:i/>
              </w:rPr>
              <w:t>Contact</w:t>
            </w:r>
          </w:p>
        </w:tc>
        <w:tc>
          <w:tcPr>
            <w:tcW w:w="3444" w:type="pct"/>
          </w:tcPr>
          <w:p w:rsidRPr="00A6689B" w:rsidR="00E47B9A" w:rsidP="00195CCE" w:rsidRDefault="00E47B9A" w14:paraId="26300AAB" w14:textId="6D2E2D4E">
            <w:pPr>
              <w:spacing w:line="240" w:lineRule="auto"/>
              <w:rPr>
                <w:i/>
              </w:rPr>
            </w:pPr>
            <w:r>
              <w:rPr>
                <w:i/>
              </w:rPr>
              <w:t xml:space="preserve">Silvia </w:t>
            </w:r>
            <w:r w:rsidR="007678FE">
              <w:rPr>
                <w:i/>
              </w:rPr>
              <w:t>STAFFA</w:t>
            </w:r>
          </w:p>
        </w:tc>
      </w:tr>
      <w:tr w:rsidRPr="00A6689B" w:rsidR="00E47B9A" w:rsidTr="00195CCE" w14:paraId="68D823D8" w14:textId="77777777">
        <w:tc>
          <w:tcPr>
            <w:tcW w:w="1556" w:type="pct"/>
          </w:tcPr>
          <w:p w:rsidRPr="00A6689B" w:rsidR="00E47B9A" w:rsidP="00195CCE" w:rsidRDefault="00E47B9A" w14:paraId="11B81D8B" w14:textId="77777777">
            <w:pPr>
              <w:spacing w:line="240" w:lineRule="auto"/>
              <w:rPr>
                <w:i/>
              </w:rPr>
            </w:pPr>
            <w:r>
              <w:rPr>
                <w:i/>
              </w:rPr>
              <w:t>Tél.</w:t>
            </w:r>
          </w:p>
        </w:tc>
        <w:tc>
          <w:tcPr>
            <w:tcW w:w="3444" w:type="pct"/>
          </w:tcPr>
          <w:p w:rsidRPr="00A6689B" w:rsidR="00E47B9A" w:rsidP="00195CCE" w:rsidRDefault="00E47B9A" w14:paraId="5F5206B4" w14:textId="77777777">
            <w:pPr>
              <w:spacing w:line="240" w:lineRule="auto"/>
              <w:rPr>
                <w:i/>
              </w:rPr>
            </w:pPr>
            <w:r>
              <w:rPr>
                <w:i/>
              </w:rPr>
              <w:t>+32 2 546 83 78</w:t>
            </w:r>
          </w:p>
        </w:tc>
      </w:tr>
      <w:tr w:rsidRPr="00A6689B" w:rsidR="00E47B9A" w:rsidTr="00195CCE" w14:paraId="5EB5176E" w14:textId="77777777">
        <w:tc>
          <w:tcPr>
            <w:tcW w:w="1556" w:type="pct"/>
          </w:tcPr>
          <w:p w:rsidRPr="00A6689B" w:rsidR="00E47B9A" w:rsidP="00195CCE" w:rsidRDefault="00E47B9A" w14:paraId="46E40A5B" w14:textId="77777777">
            <w:pPr>
              <w:spacing w:line="240" w:lineRule="auto"/>
              <w:rPr>
                <w:i/>
              </w:rPr>
            </w:pPr>
            <w:r>
              <w:rPr>
                <w:i/>
              </w:rPr>
              <w:t>Courriel</w:t>
            </w:r>
          </w:p>
        </w:tc>
        <w:tc>
          <w:tcPr>
            <w:tcW w:w="3444" w:type="pct"/>
          </w:tcPr>
          <w:p w:rsidRPr="00A6689B" w:rsidR="00E47B9A" w:rsidP="00195CCE" w:rsidRDefault="006F4895" w14:paraId="356E2CAF" w14:textId="77777777">
            <w:pPr>
              <w:spacing w:line="240" w:lineRule="auto"/>
              <w:rPr>
                <w:i/>
              </w:rPr>
            </w:pPr>
            <w:hyperlink w:history="1" r:id="rId45">
              <w:r w:rsidR="00E47B9A">
                <w:rPr>
                  <w:rStyle w:val="Hyperlink"/>
                  <w:i/>
                </w:rPr>
                <w:t>Silvia.Staffa@eesc.europa.eu</w:t>
              </w:r>
            </w:hyperlink>
          </w:p>
        </w:tc>
      </w:tr>
    </w:tbl>
    <w:p w:rsidRPr="008B55FA" w:rsidR="00E47B9A" w:rsidP="008B55FA" w:rsidRDefault="006F4895" w14:paraId="7450AFE0" w14:textId="17B30436">
      <w:pPr>
        <w:pStyle w:val="ListParagraph"/>
        <w:keepNext/>
        <w:widowControl w:val="0"/>
        <w:numPr>
          <w:ilvl w:val="0"/>
          <w:numId w:val="26"/>
        </w:numPr>
        <w:overflowPunct w:val="0"/>
        <w:autoSpaceDE w:val="0"/>
        <w:autoSpaceDN w:val="0"/>
        <w:adjustRightInd w:val="0"/>
        <w:ind w:left="426" w:hanging="426"/>
        <w:textAlignment w:val="baseline"/>
        <w:rPr>
          <w:b/>
          <w:bCs/>
          <w:i/>
          <w:iCs/>
          <w:sz w:val="28"/>
          <w:szCs w:val="28"/>
        </w:rPr>
      </w:pPr>
      <w:hyperlink w:tgtFrame="_blank" w:history="1" r:id="rId46">
        <w:r w:rsidRPr="008B55FA" w:rsidR="00E47B9A">
          <w:rPr>
            <w:rStyle w:val="Hyperlink"/>
            <w:b/>
            <w:i/>
            <w:sz w:val="28"/>
          </w:rPr>
          <w:t>Plateforme STEP</w:t>
        </w:r>
      </w:hyperlink>
    </w:p>
    <w:p w:rsidRPr="00A6689B" w:rsidR="00E47B9A" w:rsidP="008B55FA" w:rsidRDefault="00E47B9A" w14:paraId="56780A93" w14:textId="77777777">
      <w:pPr>
        <w:keepNext/>
        <w:tabs>
          <w:tab w:val="center" w:pos="284"/>
        </w:tabs>
        <w:ind w:left="266" w:hanging="266"/>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A6689B" w:rsidR="00E47B9A" w:rsidTr="00195CCE" w14:paraId="00A4DC23" w14:textId="77777777">
        <w:tc>
          <w:tcPr>
            <w:tcW w:w="1701" w:type="dxa"/>
          </w:tcPr>
          <w:p w:rsidRPr="00A6689B" w:rsidR="00E47B9A" w:rsidP="008B55FA" w:rsidRDefault="00E47B9A" w14:paraId="563AA050" w14:textId="77777777">
            <w:pPr>
              <w:keepNext/>
              <w:tabs>
                <w:tab w:val="center" w:pos="284"/>
              </w:tabs>
              <w:ind w:left="266" w:hanging="266"/>
              <w:rPr>
                <w:b/>
              </w:rPr>
            </w:pPr>
            <w:r>
              <w:rPr>
                <w:b/>
              </w:rPr>
              <w:t>Rapporteur</w:t>
            </w:r>
          </w:p>
        </w:tc>
        <w:tc>
          <w:tcPr>
            <w:tcW w:w="5387" w:type="dxa"/>
          </w:tcPr>
          <w:p w:rsidRPr="00A6689B" w:rsidR="00E47B9A" w:rsidP="008B55FA" w:rsidRDefault="00E47B9A" w14:paraId="22250105" w14:textId="2DA1C7FE">
            <w:pPr>
              <w:keepNext/>
              <w:tabs>
                <w:tab w:val="center" w:pos="284"/>
              </w:tabs>
              <w:ind w:left="266" w:hanging="266"/>
            </w:pPr>
            <w:r>
              <w:t>Matteo Carlo BORSANI (groupe des employeurs</w:t>
            </w:r>
            <w:r w:rsidR="00195CCE">
              <w:t xml:space="preserve"> </w:t>
            </w:r>
            <w:r w:rsidR="0048572F">
              <w:t>—</w:t>
            </w:r>
            <w:r w:rsidR="00195CCE">
              <w:t xml:space="preserve"> IT</w:t>
            </w:r>
            <w:r>
              <w:t>)</w:t>
            </w:r>
          </w:p>
        </w:tc>
      </w:tr>
      <w:tr w:rsidRPr="00A6689B" w:rsidR="00E47B9A" w:rsidTr="00195CCE" w14:paraId="736DD17C" w14:textId="77777777">
        <w:tc>
          <w:tcPr>
            <w:tcW w:w="7088" w:type="dxa"/>
            <w:gridSpan w:val="2"/>
          </w:tcPr>
          <w:p w:rsidRPr="00A6689B" w:rsidR="00E47B9A" w:rsidP="008B55FA" w:rsidRDefault="00E47B9A" w14:paraId="4F9DCA7C" w14:textId="77777777">
            <w:pPr>
              <w:keepNext/>
              <w:tabs>
                <w:tab w:val="center" w:pos="284"/>
              </w:tabs>
              <w:spacing w:line="160" w:lineRule="exact"/>
              <w:ind w:left="266" w:hanging="266"/>
              <w:rPr>
                <w:lang w:val="en-US"/>
              </w:rPr>
            </w:pPr>
          </w:p>
        </w:tc>
      </w:tr>
      <w:tr w:rsidRPr="00A6689B" w:rsidR="00E47B9A" w:rsidTr="00195CCE" w14:paraId="341752CD" w14:textId="77777777">
        <w:tc>
          <w:tcPr>
            <w:tcW w:w="1701" w:type="dxa"/>
            <w:vMerge w:val="restart"/>
          </w:tcPr>
          <w:p w:rsidRPr="00A6689B" w:rsidR="00E47B9A" w:rsidP="008B55FA" w:rsidRDefault="00E47B9A" w14:paraId="570A7091" w14:textId="77777777">
            <w:pPr>
              <w:keepNext/>
              <w:tabs>
                <w:tab w:val="center" w:pos="284"/>
              </w:tabs>
              <w:ind w:left="266" w:hanging="266"/>
              <w:rPr>
                <w:b/>
              </w:rPr>
            </w:pPr>
            <w:r>
              <w:rPr>
                <w:b/>
              </w:rPr>
              <w:t xml:space="preserve">Références </w:t>
            </w:r>
          </w:p>
        </w:tc>
        <w:tc>
          <w:tcPr>
            <w:tcW w:w="5387" w:type="dxa"/>
          </w:tcPr>
          <w:p w:rsidRPr="00A6689B" w:rsidR="00E47B9A" w:rsidP="008B55FA" w:rsidRDefault="00E47B9A" w14:paraId="468D4185" w14:textId="42AADE1E">
            <w:pPr>
              <w:keepNext/>
              <w:tabs>
                <w:tab w:val="center" w:pos="284"/>
              </w:tabs>
              <w:ind w:left="266" w:hanging="266"/>
            </w:pPr>
            <w:r>
              <w:t>COM(2023) 335 final</w:t>
            </w:r>
          </w:p>
        </w:tc>
      </w:tr>
      <w:tr w:rsidRPr="00A6689B" w:rsidR="00E47B9A" w:rsidTr="00195CCE" w14:paraId="3998B3B4" w14:textId="77777777">
        <w:tc>
          <w:tcPr>
            <w:tcW w:w="1701" w:type="dxa"/>
            <w:vMerge/>
          </w:tcPr>
          <w:p w:rsidRPr="00A6689B" w:rsidR="00E47B9A" w:rsidP="008B55FA" w:rsidRDefault="00E47B9A" w14:paraId="7DD040E2" w14:textId="77777777">
            <w:pPr>
              <w:keepNext/>
              <w:tabs>
                <w:tab w:val="center" w:pos="284"/>
              </w:tabs>
              <w:ind w:left="266" w:hanging="266"/>
              <w:rPr>
                <w:b/>
                <w:lang w:val="en-US"/>
              </w:rPr>
            </w:pPr>
          </w:p>
        </w:tc>
        <w:tc>
          <w:tcPr>
            <w:tcW w:w="5387" w:type="dxa"/>
          </w:tcPr>
          <w:p w:rsidRPr="00A6689B" w:rsidR="00E47B9A" w:rsidP="008B55FA" w:rsidRDefault="00E47B9A" w14:paraId="39562A11" w14:textId="24F8DA4C">
            <w:pPr>
              <w:keepNext/>
              <w:tabs>
                <w:tab w:val="center" w:pos="284"/>
              </w:tabs>
              <w:ind w:left="266" w:hanging="266"/>
            </w:pPr>
            <w:r>
              <w:t>EESC-2023-003586-00-00-AC</w:t>
            </w:r>
          </w:p>
        </w:tc>
      </w:tr>
    </w:tbl>
    <w:p w:rsidRPr="00A6689B" w:rsidR="00E47B9A" w:rsidP="008B55FA" w:rsidRDefault="00E47B9A" w14:paraId="3232DEF4" w14:textId="77777777">
      <w:pPr>
        <w:keepNext/>
        <w:tabs>
          <w:tab w:val="center" w:pos="284"/>
        </w:tabs>
        <w:ind w:left="266" w:hanging="266"/>
      </w:pPr>
    </w:p>
    <w:p w:rsidRPr="00A6689B" w:rsidR="00E47B9A" w:rsidP="008B55FA" w:rsidRDefault="00E47B9A" w14:paraId="649FF2F5" w14:textId="77777777">
      <w:pPr>
        <w:keepNext/>
        <w:keepLines/>
        <w:tabs>
          <w:tab w:val="center" w:pos="284"/>
        </w:tabs>
        <w:ind w:left="266" w:hanging="266"/>
        <w:rPr>
          <w:b/>
        </w:rPr>
      </w:pPr>
      <w:r>
        <w:rPr>
          <w:b/>
        </w:rPr>
        <w:t>Points clés</w:t>
      </w:r>
    </w:p>
    <w:p w:rsidRPr="00A6689B" w:rsidR="00E47B9A" w:rsidP="008B55FA" w:rsidRDefault="00E47B9A" w14:paraId="6738834F" w14:textId="77777777">
      <w:pPr>
        <w:keepNext/>
        <w:keepLines/>
        <w:tabs>
          <w:tab w:val="center" w:pos="284"/>
        </w:tabs>
        <w:ind w:left="266" w:hanging="266"/>
        <w:rPr>
          <w:b/>
        </w:rPr>
      </w:pPr>
    </w:p>
    <w:p w:rsidR="00E47B9A" w:rsidP="008B55FA" w:rsidRDefault="00E47B9A" w14:paraId="7E125386" w14:textId="77777777">
      <w:pPr>
        <w:keepNext/>
        <w:rPr>
          <w:bCs/>
          <w:iCs/>
        </w:rPr>
      </w:pPr>
      <w:bookmarkStart w:name="_Hlk138934448" w:id="70"/>
      <w:r>
        <w:t>Le CESE:</w:t>
      </w:r>
    </w:p>
    <w:bookmarkEnd w:id="70"/>
    <w:p w:rsidR="00E47B9A" w:rsidP="008B55FA" w:rsidRDefault="00E47B9A" w14:paraId="201B361D" w14:textId="77777777">
      <w:pPr>
        <w:keepNext/>
        <w:rPr>
          <w:bCs/>
          <w:iCs/>
        </w:rPr>
      </w:pPr>
    </w:p>
    <w:p w:rsidR="00E47B9A" w:rsidP="008B55FA" w:rsidRDefault="00E47B9A" w14:paraId="4EF7C8E1" w14:textId="77777777">
      <w:pPr>
        <w:pStyle w:val="ListParagraph"/>
        <w:keepNext/>
        <w:numPr>
          <w:ilvl w:val="0"/>
          <w:numId w:val="15"/>
        </w:numPr>
        <w:spacing w:after="200" w:line="276" w:lineRule="auto"/>
        <w:rPr>
          <w:bCs/>
          <w:iCs/>
        </w:rPr>
      </w:pPr>
      <w:r>
        <w:t>recommande que l’</w:t>
      </w:r>
      <w:r>
        <w:rPr>
          <w:b/>
          <w:bCs/>
        </w:rPr>
        <w:t>investissement dans le capital humain</w:t>
      </w:r>
      <w:r>
        <w:t xml:space="preserve"> aille de pair avec l’investissement dans la recherche et le développement de technologies productives. En particulier, le CESE demande de </w:t>
      </w:r>
      <w:r>
        <w:rPr>
          <w:b/>
          <w:bCs/>
        </w:rPr>
        <w:t>nouvelles politiques de perfectionnement et de reconversion professionnels qui soient uniformes</w:t>
      </w:r>
      <w:r>
        <w:t xml:space="preserve"> dans les 27 États membres, afin d’éviter les «fuites de cerveaux» et les asymétries concurrentielles;</w:t>
      </w:r>
    </w:p>
    <w:p w:rsidR="00E47B9A" w:rsidP="00426D38" w:rsidRDefault="00E47B9A" w14:paraId="12E2517C" w14:textId="77777777">
      <w:pPr>
        <w:pStyle w:val="ListParagraph"/>
        <w:numPr>
          <w:ilvl w:val="0"/>
          <w:numId w:val="15"/>
        </w:numPr>
        <w:spacing w:after="200" w:line="276" w:lineRule="auto"/>
        <w:rPr>
          <w:bCs/>
          <w:iCs/>
        </w:rPr>
      </w:pPr>
      <w:r>
        <w:t xml:space="preserve">recommande aux colégislateurs de promouvoir, au cours du processus législatif, une </w:t>
      </w:r>
      <w:r>
        <w:rPr>
          <w:b/>
          <w:bCs/>
        </w:rPr>
        <w:t>définition des secteurs concernés par le règlement qui puisse être interprétée de manière uniforme</w:t>
      </w:r>
      <w:r>
        <w:t>, cette définition ne figurant pas en l’état dans la proposition de la Commission;</w:t>
      </w:r>
    </w:p>
    <w:p w:rsidRPr="008E424C" w:rsidR="00E47B9A" w:rsidP="00426D38" w:rsidRDefault="00E47B9A" w14:paraId="0F5CAB30" w14:textId="77777777">
      <w:pPr>
        <w:pStyle w:val="ListParagraph"/>
        <w:numPr>
          <w:ilvl w:val="0"/>
          <w:numId w:val="15"/>
        </w:numPr>
        <w:spacing w:after="200" w:line="276" w:lineRule="auto"/>
        <w:rPr>
          <w:bCs/>
          <w:iCs/>
        </w:rPr>
      </w:pPr>
      <w:r>
        <w:t xml:space="preserve">invite la Commission à évaluer, sur la base de l’expérience acquise, la possibilité de mettre en place un </w:t>
      </w:r>
      <w:r>
        <w:rPr>
          <w:b/>
          <w:bCs/>
        </w:rPr>
        <w:t>véritable fonds de souveraineté à part entière</w:t>
      </w:r>
      <w:r>
        <w:t xml:space="preserve"> lors de la négociation du cadre financier pluriannuel (CFP) 2028-2034, et de l’accompagner d’un ensemble de </w:t>
      </w:r>
      <w:r>
        <w:rPr>
          <w:b/>
          <w:bCs/>
        </w:rPr>
        <w:t>réformes à long terme axées sur le soutien à l’industrie</w:t>
      </w:r>
      <w:r>
        <w:t>, dans une optique de stabilité budgétaire et d’équité entre les États membres.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6689B" w:rsidR="00E47B9A" w:rsidTr="00195CCE" w14:paraId="2F1C3B50" w14:textId="77777777">
        <w:tc>
          <w:tcPr>
            <w:tcW w:w="1418" w:type="dxa"/>
          </w:tcPr>
          <w:p w:rsidRPr="00A6689B" w:rsidR="00E47B9A" w:rsidP="00195CCE" w:rsidRDefault="00E47B9A" w14:paraId="711FF932" w14:textId="77777777">
            <w:pPr>
              <w:spacing w:line="240" w:lineRule="auto"/>
              <w:rPr>
                <w:i/>
              </w:rPr>
            </w:pPr>
            <w:r>
              <w:rPr>
                <w:b/>
                <w:i/>
              </w:rPr>
              <w:t>Contact</w:t>
            </w:r>
          </w:p>
        </w:tc>
        <w:tc>
          <w:tcPr>
            <w:tcW w:w="5670" w:type="dxa"/>
          </w:tcPr>
          <w:p w:rsidRPr="00A6689B" w:rsidR="00E47B9A" w:rsidP="00195CCE" w:rsidRDefault="00E47B9A" w14:paraId="72A7EC2C" w14:textId="77777777">
            <w:pPr>
              <w:spacing w:line="240" w:lineRule="auto"/>
              <w:rPr>
                <w:i/>
              </w:rPr>
            </w:pPr>
            <w:r>
              <w:rPr>
                <w:i/>
              </w:rPr>
              <w:t>Silvia STAFFA</w:t>
            </w:r>
          </w:p>
        </w:tc>
      </w:tr>
      <w:tr w:rsidRPr="00A6689B" w:rsidR="00E47B9A" w:rsidTr="00195CCE" w14:paraId="2E5EC71C" w14:textId="77777777">
        <w:tc>
          <w:tcPr>
            <w:tcW w:w="1418" w:type="dxa"/>
          </w:tcPr>
          <w:p w:rsidRPr="00A6689B" w:rsidR="00E47B9A" w:rsidP="00195CCE" w:rsidRDefault="00E47B9A" w14:paraId="691C321E" w14:textId="77777777">
            <w:pPr>
              <w:spacing w:line="240" w:lineRule="auto"/>
              <w:rPr>
                <w:i/>
              </w:rPr>
            </w:pPr>
            <w:r>
              <w:rPr>
                <w:i/>
              </w:rPr>
              <w:t>Tél.</w:t>
            </w:r>
          </w:p>
        </w:tc>
        <w:tc>
          <w:tcPr>
            <w:tcW w:w="5670" w:type="dxa"/>
          </w:tcPr>
          <w:p w:rsidRPr="00A6689B" w:rsidR="00E47B9A" w:rsidP="00195CCE" w:rsidRDefault="00E47B9A" w14:paraId="79BBA2BB" w14:textId="77777777">
            <w:pPr>
              <w:spacing w:line="240" w:lineRule="auto"/>
              <w:rPr>
                <w:i/>
              </w:rPr>
            </w:pPr>
            <w:r>
              <w:rPr>
                <w:i/>
              </w:rPr>
              <w:t>+32 25468378</w:t>
            </w:r>
          </w:p>
        </w:tc>
      </w:tr>
      <w:tr w:rsidRPr="00A6689B" w:rsidR="00E47B9A" w:rsidTr="00195CCE" w14:paraId="5EB1BA73" w14:textId="77777777">
        <w:tc>
          <w:tcPr>
            <w:tcW w:w="1418" w:type="dxa"/>
          </w:tcPr>
          <w:p w:rsidRPr="00A6689B" w:rsidR="00E47B9A" w:rsidP="00195CCE" w:rsidRDefault="00E47B9A" w14:paraId="05095BA9" w14:textId="77777777">
            <w:pPr>
              <w:spacing w:line="240" w:lineRule="auto"/>
              <w:rPr>
                <w:i/>
              </w:rPr>
            </w:pPr>
            <w:r>
              <w:rPr>
                <w:i/>
              </w:rPr>
              <w:t>Courriel</w:t>
            </w:r>
          </w:p>
        </w:tc>
        <w:tc>
          <w:tcPr>
            <w:tcW w:w="5670" w:type="dxa"/>
          </w:tcPr>
          <w:p w:rsidRPr="003059BC" w:rsidR="00E47B9A" w:rsidP="00195CCE" w:rsidRDefault="006F4895" w14:paraId="530E17BE" w14:textId="77777777">
            <w:pPr>
              <w:spacing w:line="240" w:lineRule="auto"/>
              <w:rPr>
                <w:i/>
                <w:iCs/>
              </w:rPr>
            </w:pPr>
            <w:hyperlink w:history="1" r:id="rId47">
              <w:r w:rsidR="00E47B9A">
                <w:rPr>
                  <w:rStyle w:val="Hyperlink"/>
                  <w:i/>
                </w:rPr>
                <w:t>silvia.staffa@eesc.europa.eu</w:t>
              </w:r>
            </w:hyperlink>
          </w:p>
        </w:tc>
      </w:tr>
    </w:tbl>
    <w:p w:rsidR="00E47B9A" w:rsidP="00775FC4" w:rsidRDefault="00E47B9A" w14:paraId="06A2FD52" w14:textId="35DCD4CF">
      <w:pPr>
        <w:keepNext/>
        <w:keepLines/>
        <w:jc w:val="left"/>
        <w:rPr>
          <w:b/>
          <w:iCs/>
        </w:rPr>
      </w:pPr>
    </w:p>
    <w:p w:rsidRPr="00094B6B" w:rsidR="00D707A3" w:rsidP="00775FC4" w:rsidRDefault="00D707A3" w14:paraId="27BF296F" w14:textId="1BC268B6">
      <w:pPr>
        <w:jc w:val="left"/>
        <w:rPr>
          <w:sz w:val="16"/>
          <w:szCs w:val="16"/>
        </w:rPr>
      </w:pPr>
      <w:r>
        <w:br w:type="page"/>
      </w:r>
    </w:p>
    <w:p w:rsidRPr="00B66035" w:rsidR="004C3902" w:rsidP="00426D38" w:rsidRDefault="008E2A59" w14:paraId="7AD922B6" w14:textId="4FE5D4DB">
      <w:pPr>
        <w:pStyle w:val="Heading1"/>
        <w:keepNext/>
        <w:keepLines/>
        <w:numPr>
          <w:ilvl w:val="0"/>
          <w:numId w:val="6"/>
        </w:numPr>
        <w:spacing w:before="0"/>
        <w:ind w:hanging="720"/>
        <w:rPr>
          <w:b/>
          <w:bCs/>
        </w:rPr>
      </w:pPr>
      <w:bookmarkStart w:name="_Toc146880471" w:id="71"/>
      <w:bookmarkStart w:name="_Toc146880522" w:id="72"/>
      <w:bookmarkStart w:name="_Hlk145944317" w:id="73"/>
      <w:r>
        <w:rPr>
          <w:b/>
        </w:rPr>
        <w:lastRenderedPageBreak/>
        <w:t>AGRICULTURE, DÉVELOPPEMENT RURAL ET ENVIRONNEMENT</w:t>
      </w:r>
      <w:bookmarkEnd w:id="71"/>
      <w:bookmarkEnd w:id="72"/>
    </w:p>
    <w:bookmarkEnd w:id="73"/>
    <w:p w:rsidR="002C016E" w:rsidP="00DE43CE" w:rsidRDefault="002C016E" w14:paraId="0E7342A4" w14:textId="1550E578">
      <w:pPr>
        <w:keepNext/>
        <w:keepLines/>
        <w:jc w:val="left"/>
        <w:rPr>
          <w:bCs/>
          <w:iCs/>
        </w:rPr>
      </w:pPr>
    </w:p>
    <w:p w:rsidRPr="008B55FA" w:rsidR="00E47B9A" w:rsidP="008B55FA" w:rsidRDefault="006F4895" w14:paraId="6305B5FF" w14:textId="220C4F5E">
      <w:pPr>
        <w:pStyle w:val="ListParagraph"/>
        <w:widowControl w:val="0"/>
        <w:numPr>
          <w:ilvl w:val="0"/>
          <w:numId w:val="27"/>
        </w:numPr>
        <w:overflowPunct w:val="0"/>
        <w:autoSpaceDE w:val="0"/>
        <w:autoSpaceDN w:val="0"/>
        <w:adjustRightInd w:val="0"/>
        <w:spacing w:line="240" w:lineRule="auto"/>
        <w:ind w:left="426" w:hanging="426"/>
        <w:textAlignment w:val="baseline"/>
        <w:rPr>
          <w:sz w:val="28"/>
          <w:szCs w:val="28"/>
        </w:rPr>
      </w:pPr>
      <w:hyperlink w:history="1" r:id="rId48">
        <w:r w:rsidRPr="008B55FA" w:rsidR="00E47B9A">
          <w:rPr>
            <w:rStyle w:val="Hyperlink"/>
            <w:b/>
            <w:i/>
            <w:sz w:val="28"/>
          </w:rPr>
          <w:t>Convention dans les pêches de l’Atlantique du Nord-Est</w:t>
        </w:r>
      </w:hyperlink>
    </w:p>
    <w:p w:rsidRPr="0003586F" w:rsidR="00E47B9A" w:rsidP="00E47B9A" w:rsidRDefault="00E47B9A" w14:paraId="6D23D6F1" w14:textId="77777777">
      <w:pPr>
        <w:widowControl w:val="0"/>
        <w:spacing w:line="240" w:lineRule="auto"/>
        <w:ind w:left="567"/>
        <w:rPr>
          <w:sz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2"/>
        <w:gridCol w:w="6931"/>
      </w:tblGrid>
      <w:tr w:rsidRPr="00A6689B" w:rsidR="00E47B9A" w:rsidTr="00195CCE" w14:paraId="43DB61A8" w14:textId="77777777">
        <w:tc>
          <w:tcPr>
            <w:tcW w:w="1090" w:type="pct"/>
          </w:tcPr>
          <w:p w:rsidRPr="00A6689B" w:rsidR="00E47B9A" w:rsidP="00195CCE" w:rsidRDefault="00E47B9A" w14:paraId="12F9DD8E" w14:textId="77777777">
            <w:pPr>
              <w:tabs>
                <w:tab w:val="center" w:pos="284"/>
              </w:tabs>
              <w:ind w:left="266" w:hanging="266"/>
              <w:rPr>
                <w:b/>
              </w:rPr>
            </w:pPr>
            <w:r>
              <w:rPr>
                <w:b/>
              </w:rPr>
              <w:t>Rapporteur</w:t>
            </w:r>
          </w:p>
        </w:tc>
        <w:tc>
          <w:tcPr>
            <w:tcW w:w="3910" w:type="pct"/>
          </w:tcPr>
          <w:p w:rsidRPr="00195CCE" w:rsidR="00E47B9A" w:rsidP="008B55FA" w:rsidRDefault="00E47B9A" w14:paraId="16B549C2" w14:textId="47E90EF5">
            <w:pPr>
              <w:rPr>
                <w:bCs/>
              </w:rPr>
            </w:pPr>
            <w:r w:rsidRPr="00195CCE">
              <w:rPr>
                <w:bCs/>
              </w:rPr>
              <w:t>Francisco Javier GARAT PÉREZ</w:t>
            </w:r>
            <w:r w:rsidR="00195CCE">
              <w:rPr>
                <w:bCs/>
              </w:rPr>
              <w:t xml:space="preserve"> (groupe des organisations de la société civile </w:t>
            </w:r>
            <w:r w:rsidR="0048572F">
              <w:rPr>
                <w:bCs/>
              </w:rPr>
              <w:t>—</w:t>
            </w:r>
            <w:r w:rsidR="00195CCE">
              <w:rPr>
                <w:bCs/>
              </w:rPr>
              <w:t xml:space="preserve"> ES)</w:t>
            </w:r>
          </w:p>
        </w:tc>
      </w:tr>
      <w:tr w:rsidRPr="00A6689B" w:rsidR="00E47B9A" w:rsidTr="00195CCE" w14:paraId="38BBDF53" w14:textId="77777777">
        <w:tc>
          <w:tcPr>
            <w:tcW w:w="5000" w:type="pct"/>
            <w:gridSpan w:val="2"/>
          </w:tcPr>
          <w:p w:rsidRPr="00A6689B" w:rsidR="00E47B9A" w:rsidP="00195CCE" w:rsidRDefault="00E47B9A" w14:paraId="523E3D20" w14:textId="77777777">
            <w:pPr>
              <w:tabs>
                <w:tab w:val="center" w:pos="284"/>
              </w:tabs>
              <w:spacing w:line="160" w:lineRule="exact"/>
              <w:ind w:left="266" w:hanging="266"/>
              <w:rPr>
                <w:lang w:val="en-US"/>
              </w:rPr>
            </w:pPr>
          </w:p>
        </w:tc>
      </w:tr>
      <w:tr w:rsidRPr="00A6689B" w:rsidR="00E47B9A" w:rsidTr="00195CCE" w14:paraId="514CB98C" w14:textId="77777777">
        <w:tc>
          <w:tcPr>
            <w:tcW w:w="1090" w:type="pct"/>
          </w:tcPr>
          <w:p w:rsidRPr="00A6689B" w:rsidR="00E47B9A" w:rsidP="00195CCE" w:rsidRDefault="00E47B9A" w14:paraId="1A733FCE" w14:textId="77777777">
            <w:pPr>
              <w:tabs>
                <w:tab w:val="center" w:pos="284"/>
              </w:tabs>
              <w:ind w:left="266" w:hanging="266"/>
              <w:rPr>
                <w:b/>
              </w:rPr>
            </w:pPr>
            <w:r>
              <w:rPr>
                <w:b/>
              </w:rPr>
              <w:t>Référence</w:t>
            </w:r>
          </w:p>
        </w:tc>
        <w:tc>
          <w:tcPr>
            <w:tcW w:w="3910" w:type="pct"/>
          </w:tcPr>
          <w:p w:rsidR="00195CCE" w:rsidP="00195CCE" w:rsidRDefault="00195CCE" w14:paraId="270B4C10" w14:textId="28F29925">
            <w:pPr>
              <w:tabs>
                <w:tab w:val="center" w:pos="284"/>
              </w:tabs>
              <w:ind w:left="266" w:hanging="266"/>
            </w:pPr>
            <w:r>
              <w:t>COM(2023) 362 final</w:t>
            </w:r>
          </w:p>
          <w:p w:rsidRPr="00A6689B" w:rsidR="00E47B9A" w:rsidP="00195CCE" w:rsidRDefault="00E47B9A" w14:paraId="526394B5" w14:textId="31905658">
            <w:pPr>
              <w:tabs>
                <w:tab w:val="center" w:pos="284"/>
              </w:tabs>
              <w:ind w:left="266" w:hanging="266"/>
            </w:pPr>
            <w:r>
              <w:t>EESC-2023-03331-00-00-A</w:t>
            </w:r>
            <w:r w:rsidR="00195CCE">
              <w:t>C</w:t>
            </w:r>
          </w:p>
        </w:tc>
      </w:tr>
    </w:tbl>
    <w:p w:rsidR="00E47B9A" w:rsidP="00E47B9A" w:rsidRDefault="00E47B9A" w14:paraId="077708E1" w14:textId="77777777">
      <w:pPr>
        <w:keepNext/>
        <w:keepLines/>
        <w:tabs>
          <w:tab w:val="center" w:pos="284"/>
        </w:tabs>
        <w:ind w:left="266" w:hanging="266"/>
        <w:rPr>
          <w:b/>
        </w:rPr>
      </w:pPr>
    </w:p>
    <w:p w:rsidR="00E47B9A" w:rsidP="00E47B9A" w:rsidRDefault="00E47B9A" w14:paraId="7C9C4B1E" w14:textId="77777777">
      <w:pPr>
        <w:keepNext/>
        <w:keepLines/>
        <w:tabs>
          <w:tab w:val="center" w:pos="284"/>
        </w:tabs>
        <w:ind w:left="266" w:hanging="266"/>
        <w:rPr>
          <w:b/>
        </w:rPr>
      </w:pPr>
      <w:r>
        <w:rPr>
          <w:b/>
        </w:rPr>
        <w:t>Points clés</w:t>
      </w:r>
    </w:p>
    <w:p w:rsidRPr="00A6689B" w:rsidR="00E47B9A" w:rsidP="00E47B9A" w:rsidRDefault="00E47B9A" w14:paraId="12FAC49F" w14:textId="77777777">
      <w:pPr>
        <w:keepNext/>
        <w:keepLines/>
        <w:tabs>
          <w:tab w:val="center" w:pos="284"/>
        </w:tabs>
        <w:ind w:left="266" w:hanging="266"/>
        <w:rPr>
          <w:b/>
        </w:rPr>
      </w:pPr>
    </w:p>
    <w:p w:rsidR="00E47B9A" w:rsidP="00E47B9A" w:rsidRDefault="00E47B9A" w14:paraId="3955D204" w14:textId="77777777">
      <w:pPr>
        <w:rPr>
          <w:bCs/>
          <w:iCs/>
        </w:rPr>
      </w:pPr>
      <w:r>
        <w:t>Le CESE:</w:t>
      </w:r>
    </w:p>
    <w:p w:rsidRPr="003D5B70" w:rsidR="00E47B9A" w:rsidP="00E47B9A" w:rsidRDefault="00E47B9A" w14:paraId="7C815787" w14:textId="77777777">
      <w:pPr>
        <w:pStyle w:val="Heading2"/>
        <w:ind w:left="567" w:hanging="567"/>
      </w:pPr>
      <w:bookmarkStart w:name="_Toc146880472" w:id="74"/>
      <w:bookmarkStart w:name="_Toc146880523" w:id="75"/>
      <w:r>
        <w:t>estime que la transposition dans le droit de l’Union des mesures de conservation et de contrôle adoptées par la Commission des pêches de l’Atlantique du Nord-Est (CPANE) est nécessaire pour parvenir à une application uniforme et effective de ces mesures au sein de l’Union;</w:t>
      </w:r>
      <w:bookmarkEnd w:id="74"/>
      <w:bookmarkEnd w:id="75"/>
    </w:p>
    <w:p w:rsidRPr="003D5B70" w:rsidR="00E47B9A" w:rsidP="00E47B9A" w:rsidRDefault="00E47B9A" w14:paraId="0907C970" w14:textId="7F24D219">
      <w:pPr>
        <w:pStyle w:val="Heading2"/>
        <w:ind w:left="567" w:hanging="567"/>
      </w:pPr>
      <w:bookmarkStart w:name="_Toc146880473" w:id="76"/>
      <w:bookmarkStart w:name="_Toc146880524" w:id="77"/>
      <w:r>
        <w:t>est toutefois d’avis que cette procédure de transposition ne prévoit toujours pas de mécanisme rapide, alors que ces mesures sont susceptibles d’être modifiées chaque année et que la bureaucratie de l’UE est très lente, ce qui se traduit par un écart constant entre les règles adoptées par la CPANE et la législation de l’Union;</w:t>
      </w:r>
      <w:bookmarkEnd w:id="76"/>
      <w:bookmarkEnd w:id="77"/>
    </w:p>
    <w:p w:rsidRPr="00FD327E" w:rsidR="00E47B9A" w:rsidP="00E47B9A" w:rsidRDefault="00E47B9A" w14:paraId="0AC776AD" w14:textId="42D312FF">
      <w:pPr>
        <w:pStyle w:val="Heading2"/>
        <w:spacing w:line="281" w:lineRule="auto"/>
        <w:ind w:left="567" w:hanging="567"/>
      </w:pPr>
      <w:bookmarkStart w:name="_Toc146880474" w:id="78"/>
      <w:bookmarkStart w:name="_Toc146880525" w:id="79"/>
      <w:r>
        <w:t>souligne le rôle important joué par les organisations régionales de gestion des pêches (ORGP) dans l’adoption de mesures de conservation, de gestion et de contrôle des stocks halieutiques en haute mer et demande à la Commission européenne et aux États membres, avec les autres parties contractantes, de les renforcer autant que possible en les dotant des moyens économiques, humains et scientifiques nécessaires pour atteindre correctement leurs objectifs.</w:t>
      </w:r>
      <w:bookmarkEnd w:id="78"/>
      <w:bookmarkEnd w:id="79"/>
    </w:p>
    <w:p w:rsidRPr="00DF750A" w:rsidR="00E47B9A" w:rsidP="00E47B9A" w:rsidRDefault="00E47B9A" w14:paraId="21208C0A" w14:textId="77777777">
      <w:pPr>
        <w:widowControl w:val="0"/>
        <w:ind w:left="709"/>
        <w:rPr>
          <w:rFonts w:asciiTheme="minorHAnsi" w:hAnsiTheme="minorHAnsi"/>
        </w:rPr>
      </w:pP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9"/>
        <w:gridCol w:w="4293"/>
      </w:tblGrid>
      <w:tr w:rsidRPr="00A6689B" w:rsidR="00E47B9A" w:rsidTr="00195CCE" w14:paraId="3C76E054" w14:textId="77777777">
        <w:tc>
          <w:tcPr>
            <w:tcW w:w="1556" w:type="pct"/>
          </w:tcPr>
          <w:p w:rsidRPr="00A6689B" w:rsidR="00E47B9A" w:rsidP="00195CCE" w:rsidRDefault="00E47B9A" w14:paraId="78A91028" w14:textId="77777777">
            <w:pPr>
              <w:spacing w:line="240" w:lineRule="auto"/>
              <w:rPr>
                <w:i/>
              </w:rPr>
            </w:pPr>
            <w:r>
              <w:rPr>
                <w:b/>
                <w:i/>
              </w:rPr>
              <w:t>Contact</w:t>
            </w:r>
          </w:p>
        </w:tc>
        <w:tc>
          <w:tcPr>
            <w:tcW w:w="3444" w:type="pct"/>
          </w:tcPr>
          <w:p w:rsidRPr="008B55FA" w:rsidR="00E47B9A" w:rsidP="00195CCE" w:rsidRDefault="00E47B9A" w14:paraId="08DDB509" w14:textId="77777777">
            <w:pPr>
              <w:spacing w:line="240" w:lineRule="auto"/>
              <w:rPr>
                <w:i/>
                <w:iCs/>
              </w:rPr>
            </w:pPr>
            <w:r w:rsidRPr="008B55FA">
              <w:rPr>
                <w:i/>
                <w:iCs/>
              </w:rPr>
              <w:t>Arturo ÍÑIGUEZ</w:t>
            </w:r>
          </w:p>
        </w:tc>
      </w:tr>
      <w:tr w:rsidRPr="00A6689B" w:rsidR="00E47B9A" w:rsidTr="00195CCE" w14:paraId="0F972A9F" w14:textId="77777777">
        <w:tc>
          <w:tcPr>
            <w:tcW w:w="1556" w:type="pct"/>
          </w:tcPr>
          <w:p w:rsidRPr="00A6689B" w:rsidR="00E47B9A" w:rsidP="00195CCE" w:rsidRDefault="00E47B9A" w14:paraId="3788C9FD" w14:textId="77777777">
            <w:pPr>
              <w:spacing w:line="240" w:lineRule="auto"/>
              <w:rPr>
                <w:i/>
              </w:rPr>
            </w:pPr>
            <w:r>
              <w:rPr>
                <w:i/>
              </w:rPr>
              <w:t>Tél.</w:t>
            </w:r>
          </w:p>
        </w:tc>
        <w:tc>
          <w:tcPr>
            <w:tcW w:w="3444" w:type="pct"/>
          </w:tcPr>
          <w:p w:rsidRPr="00A6689B" w:rsidR="00E47B9A" w:rsidP="00195CCE" w:rsidRDefault="00E47B9A" w14:paraId="15B9AFBA" w14:textId="77777777">
            <w:pPr>
              <w:spacing w:line="240" w:lineRule="auto"/>
              <w:rPr>
                <w:i/>
              </w:rPr>
            </w:pPr>
            <w:r>
              <w:rPr>
                <w:i/>
              </w:rPr>
              <w:t>+32 2 546 8768</w:t>
            </w:r>
          </w:p>
        </w:tc>
      </w:tr>
      <w:tr w:rsidRPr="00A6689B" w:rsidR="00E47B9A" w:rsidTr="00195CCE" w14:paraId="6EED7633" w14:textId="77777777">
        <w:tc>
          <w:tcPr>
            <w:tcW w:w="1556" w:type="pct"/>
          </w:tcPr>
          <w:p w:rsidRPr="00A6689B" w:rsidR="00E47B9A" w:rsidP="00195CCE" w:rsidRDefault="00E47B9A" w14:paraId="354AC425" w14:textId="77777777">
            <w:pPr>
              <w:spacing w:line="240" w:lineRule="auto"/>
              <w:rPr>
                <w:i/>
              </w:rPr>
            </w:pPr>
            <w:r>
              <w:rPr>
                <w:i/>
              </w:rPr>
              <w:t>Courriel</w:t>
            </w:r>
          </w:p>
        </w:tc>
        <w:tc>
          <w:tcPr>
            <w:tcW w:w="3444" w:type="pct"/>
          </w:tcPr>
          <w:p w:rsidRPr="00E87AAC" w:rsidR="00E47B9A" w:rsidP="00195CCE" w:rsidRDefault="006F4895" w14:paraId="105383A1" w14:textId="77777777">
            <w:pPr>
              <w:spacing w:line="240" w:lineRule="auto"/>
              <w:rPr>
                <w:i/>
                <w:iCs/>
              </w:rPr>
            </w:pPr>
            <w:hyperlink w:history="1" r:id="rId49">
              <w:r w:rsidRPr="008B15EB" w:rsidR="00E47B9A">
                <w:rPr>
                  <w:rStyle w:val="Hyperlink"/>
                  <w:i/>
                </w:rPr>
                <w:t>Arturo.Iniguez@eesc.europa.eu</w:t>
              </w:r>
            </w:hyperlink>
          </w:p>
        </w:tc>
      </w:tr>
    </w:tbl>
    <w:p w:rsidR="00E47B9A" w:rsidP="00DE43CE" w:rsidRDefault="00E47B9A" w14:paraId="7CA280AE" w14:textId="6EAA1C4B">
      <w:pPr>
        <w:keepNext/>
        <w:keepLines/>
        <w:jc w:val="left"/>
        <w:rPr>
          <w:bCs/>
          <w:iCs/>
        </w:rPr>
      </w:pPr>
    </w:p>
    <w:p w:rsidR="00E47B9A" w:rsidP="00E47B9A" w:rsidRDefault="00E47B9A" w14:paraId="242E4F9D" w14:textId="618D5382">
      <w:pPr>
        <w:widowControl w:val="0"/>
        <w:jc w:val="center"/>
        <w:rPr>
          <w:bCs/>
          <w:iCs/>
        </w:rPr>
      </w:pPr>
    </w:p>
    <w:p w:rsidRPr="00DF750A" w:rsidR="00E47B9A" w:rsidP="008B55FA" w:rsidRDefault="006F4895" w14:paraId="1FB10989" w14:textId="494CE387">
      <w:pPr>
        <w:keepNext/>
        <w:widowControl w:val="0"/>
        <w:numPr>
          <w:ilvl w:val="0"/>
          <w:numId w:val="20"/>
        </w:numPr>
        <w:overflowPunct w:val="0"/>
        <w:autoSpaceDE w:val="0"/>
        <w:autoSpaceDN w:val="0"/>
        <w:adjustRightInd w:val="0"/>
        <w:spacing w:line="240" w:lineRule="auto"/>
        <w:ind w:left="426" w:hanging="426"/>
        <w:textAlignment w:val="baseline"/>
        <w:rPr>
          <w:sz w:val="20"/>
        </w:rPr>
      </w:pPr>
      <w:hyperlink w:history="1" r:id="rId50">
        <w:r w:rsidR="00E47B9A">
          <w:rPr>
            <w:rStyle w:val="Hyperlink"/>
            <w:b/>
            <w:i/>
            <w:sz w:val="28"/>
          </w:rPr>
          <w:t>Révision des normes de commercialisation de l’UE pour les produits agricoles</w:t>
        </w:r>
      </w:hyperlink>
    </w:p>
    <w:p w:rsidRPr="0003586F" w:rsidR="00E47B9A" w:rsidP="008B55FA" w:rsidRDefault="00E47B9A" w14:paraId="65C79BE4" w14:textId="77777777">
      <w:pPr>
        <w:keepNext/>
        <w:widowControl w:val="0"/>
        <w:ind w:left="567"/>
        <w:rPr>
          <w:sz w:val="20"/>
        </w:rPr>
      </w:pPr>
    </w:p>
    <w:tbl>
      <w:tblPr>
        <w:tblStyle w:val="TableGrid"/>
        <w:tblW w:w="477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8"/>
        <w:gridCol w:w="6533"/>
      </w:tblGrid>
      <w:tr w:rsidRPr="00A6689B" w:rsidR="00E47B9A" w:rsidTr="008B55FA" w14:paraId="18308FA7" w14:textId="77777777">
        <w:tc>
          <w:tcPr>
            <w:tcW w:w="1144" w:type="pct"/>
          </w:tcPr>
          <w:p w:rsidRPr="00A6689B" w:rsidR="00E47B9A" w:rsidP="008B55FA" w:rsidRDefault="00E47B9A" w14:paraId="35B472D7" w14:textId="77777777">
            <w:pPr>
              <w:keepNext/>
              <w:tabs>
                <w:tab w:val="center" w:pos="284"/>
              </w:tabs>
              <w:ind w:left="266" w:hanging="266"/>
              <w:rPr>
                <w:b/>
              </w:rPr>
            </w:pPr>
            <w:proofErr w:type="spellStart"/>
            <w:r>
              <w:rPr>
                <w:b/>
              </w:rPr>
              <w:t>Rapporteure</w:t>
            </w:r>
            <w:proofErr w:type="spellEnd"/>
          </w:p>
        </w:tc>
        <w:tc>
          <w:tcPr>
            <w:tcW w:w="3856" w:type="pct"/>
          </w:tcPr>
          <w:p w:rsidRPr="00195CCE" w:rsidR="00E47B9A" w:rsidP="008B55FA" w:rsidRDefault="00E47B9A" w14:paraId="66A662FE" w14:textId="4F78D749">
            <w:pPr>
              <w:keepNext/>
              <w:tabs>
                <w:tab w:val="center" w:pos="284"/>
              </w:tabs>
              <w:ind w:left="266" w:hanging="266"/>
              <w:rPr>
                <w:bCs/>
              </w:rPr>
            </w:pPr>
            <w:proofErr w:type="spellStart"/>
            <w:r w:rsidRPr="00195CCE">
              <w:rPr>
                <w:bCs/>
              </w:rPr>
              <w:t>Kerli</w:t>
            </w:r>
            <w:proofErr w:type="spellEnd"/>
            <w:r w:rsidRPr="00195CCE">
              <w:rPr>
                <w:bCs/>
              </w:rPr>
              <w:t xml:space="preserve"> ATS</w:t>
            </w:r>
            <w:r w:rsidR="00195CCE">
              <w:rPr>
                <w:bCs/>
              </w:rPr>
              <w:t xml:space="preserve"> (groupe des organisations de la société civile </w:t>
            </w:r>
            <w:r w:rsidR="0048572F">
              <w:rPr>
                <w:bCs/>
              </w:rPr>
              <w:t>—</w:t>
            </w:r>
            <w:r w:rsidR="00195CCE">
              <w:rPr>
                <w:bCs/>
              </w:rPr>
              <w:t xml:space="preserve"> EE)</w:t>
            </w:r>
          </w:p>
        </w:tc>
      </w:tr>
      <w:tr w:rsidRPr="00A6689B" w:rsidR="00E47B9A" w:rsidTr="008B55FA" w14:paraId="1E7463CF" w14:textId="77777777">
        <w:tc>
          <w:tcPr>
            <w:tcW w:w="5000" w:type="pct"/>
            <w:gridSpan w:val="2"/>
          </w:tcPr>
          <w:p w:rsidRPr="00A6689B" w:rsidR="00E47B9A" w:rsidP="008B55FA" w:rsidRDefault="00E47B9A" w14:paraId="1A03CA4B" w14:textId="77777777">
            <w:pPr>
              <w:keepNext/>
              <w:tabs>
                <w:tab w:val="center" w:pos="284"/>
              </w:tabs>
              <w:spacing w:line="160" w:lineRule="exact"/>
              <w:ind w:left="266" w:hanging="266"/>
              <w:rPr>
                <w:lang w:val="en-US"/>
              </w:rPr>
            </w:pPr>
          </w:p>
        </w:tc>
      </w:tr>
      <w:tr w:rsidRPr="00A6689B" w:rsidR="00E47B9A" w:rsidTr="008B55FA" w14:paraId="1985CF86" w14:textId="77777777">
        <w:tc>
          <w:tcPr>
            <w:tcW w:w="1144" w:type="pct"/>
          </w:tcPr>
          <w:p w:rsidRPr="00A6689B" w:rsidR="00E47B9A" w:rsidP="008B55FA" w:rsidRDefault="00E47B9A" w14:paraId="7225B764" w14:textId="77777777">
            <w:pPr>
              <w:keepNext/>
              <w:tabs>
                <w:tab w:val="center" w:pos="284"/>
              </w:tabs>
              <w:ind w:left="266" w:hanging="266"/>
              <w:rPr>
                <w:b/>
              </w:rPr>
            </w:pPr>
            <w:r>
              <w:rPr>
                <w:b/>
              </w:rPr>
              <w:t>Référence</w:t>
            </w:r>
          </w:p>
        </w:tc>
        <w:tc>
          <w:tcPr>
            <w:tcW w:w="3856" w:type="pct"/>
          </w:tcPr>
          <w:p w:rsidR="0054574C" w:rsidP="008B55FA" w:rsidRDefault="0054574C" w14:paraId="08D662C7" w14:textId="6AFA53DD">
            <w:pPr>
              <w:keepNext/>
              <w:tabs>
                <w:tab w:val="center" w:pos="284"/>
              </w:tabs>
              <w:ind w:left="266" w:hanging="266"/>
            </w:pPr>
            <w:r>
              <w:t>COM(2023) 201 final</w:t>
            </w:r>
          </w:p>
          <w:p w:rsidRPr="00A6689B" w:rsidR="00E47B9A" w:rsidP="008B55FA" w:rsidRDefault="00E47B9A" w14:paraId="2BF96433" w14:textId="2AA1EC90">
            <w:pPr>
              <w:keepNext/>
              <w:tabs>
                <w:tab w:val="center" w:pos="284"/>
              </w:tabs>
              <w:ind w:left="266" w:hanging="266"/>
            </w:pPr>
            <w:r>
              <w:t>EESC-2023-02432-00-00-</w:t>
            </w:r>
            <w:r w:rsidR="0054574C">
              <w:t>AC</w:t>
            </w:r>
          </w:p>
        </w:tc>
      </w:tr>
    </w:tbl>
    <w:p w:rsidR="00E47B9A" w:rsidP="008B55FA" w:rsidRDefault="00E47B9A" w14:paraId="3D76F6BC" w14:textId="77777777">
      <w:pPr>
        <w:keepNext/>
        <w:tabs>
          <w:tab w:val="center" w:pos="284"/>
        </w:tabs>
        <w:ind w:left="266" w:hanging="266"/>
        <w:rPr>
          <w:b/>
        </w:rPr>
      </w:pPr>
    </w:p>
    <w:p w:rsidR="00E47B9A" w:rsidP="008B55FA" w:rsidRDefault="00E47B9A" w14:paraId="17E466D6" w14:textId="77777777">
      <w:pPr>
        <w:keepNext/>
        <w:keepLines/>
        <w:tabs>
          <w:tab w:val="center" w:pos="284"/>
        </w:tabs>
        <w:ind w:left="266" w:hanging="266"/>
        <w:rPr>
          <w:b/>
        </w:rPr>
      </w:pPr>
      <w:r>
        <w:rPr>
          <w:b/>
        </w:rPr>
        <w:t>Points clés</w:t>
      </w:r>
    </w:p>
    <w:p w:rsidRPr="00A6689B" w:rsidR="00E47B9A" w:rsidP="008B55FA" w:rsidRDefault="00E47B9A" w14:paraId="3049DFBB" w14:textId="77777777">
      <w:pPr>
        <w:keepNext/>
        <w:keepLines/>
        <w:tabs>
          <w:tab w:val="center" w:pos="284"/>
        </w:tabs>
        <w:ind w:left="266" w:hanging="266"/>
        <w:rPr>
          <w:b/>
        </w:rPr>
      </w:pPr>
    </w:p>
    <w:p w:rsidR="00E47B9A" w:rsidP="008B55FA" w:rsidRDefault="00E47B9A" w14:paraId="1D18E76C" w14:textId="5306A69F">
      <w:pPr>
        <w:keepNext/>
      </w:pPr>
      <w:r>
        <w:t>Le CESE:</w:t>
      </w:r>
    </w:p>
    <w:p w:rsidRPr="003F3DD7" w:rsidR="00E47B9A" w:rsidP="008B55FA" w:rsidRDefault="00E47B9A" w14:paraId="5F72CF95" w14:textId="77777777">
      <w:pPr>
        <w:pStyle w:val="Heading2"/>
        <w:keepNext/>
        <w:spacing w:line="281" w:lineRule="auto"/>
        <w:ind w:left="567" w:hanging="567"/>
      </w:pPr>
      <w:bookmarkStart w:name="_Toc146880475" w:id="80"/>
      <w:bookmarkStart w:name="_Toc146880526" w:id="81"/>
      <w:r>
        <w:t>a déjà déclaré qu’il est essentiel de promouvoir des régimes alimentaires sains et durables</w:t>
      </w:r>
      <w:r w:rsidRPr="00EA0FC9">
        <w:rPr>
          <w:rStyle w:val="FootnoteReference"/>
        </w:rPr>
        <w:footnoteReference w:id="3"/>
      </w:r>
      <w:r>
        <w:t xml:space="preserve"> afin d’améliorer la santé des personnes, le bien-être des écosystèmes et de la société dans son ensemble, et plus particulièrement la vitalité des zones rurales;</w:t>
      </w:r>
      <w:bookmarkEnd w:id="80"/>
      <w:bookmarkEnd w:id="81"/>
    </w:p>
    <w:p w:rsidRPr="003F3DD7" w:rsidR="00E47B9A" w:rsidP="00E47B9A" w:rsidRDefault="00E47B9A" w14:paraId="52926D8E" w14:textId="77777777">
      <w:pPr>
        <w:pStyle w:val="Heading2"/>
        <w:spacing w:line="281" w:lineRule="auto"/>
        <w:ind w:left="567" w:hanging="567"/>
      </w:pPr>
      <w:bookmarkStart w:name="_Toc146880476" w:id="82"/>
      <w:bookmarkStart w:name="_Toc146880527" w:id="83"/>
      <w:r>
        <w:t>accueille favorablement la proposition de révision de la directive relative au miel, qui introduit une indication obligatoire de l’origine afin d’accroître la transparence pour les consommateurs; regrette néanmoins son manque d’ambition concernant la mise en œuvre et la promotion de mesures supplémentaires visant à lutter contre la fraude;</w:t>
      </w:r>
      <w:bookmarkEnd w:id="82"/>
      <w:bookmarkEnd w:id="83"/>
    </w:p>
    <w:p w:rsidRPr="00EA0FC9" w:rsidR="00E47B9A" w:rsidP="00E47B9A" w:rsidRDefault="00E47B9A" w14:paraId="5681C60A" w14:textId="77777777">
      <w:pPr>
        <w:pStyle w:val="Heading2"/>
        <w:spacing w:line="281" w:lineRule="auto"/>
        <w:ind w:left="567" w:hanging="567"/>
      </w:pPr>
      <w:bookmarkStart w:name="_Toc146880477" w:id="84"/>
      <w:bookmarkStart w:name="_Toc146880528" w:id="85"/>
      <w:r>
        <w:t>demande instamment l’adoption de mesures plus ambitieuses visant à protéger les producteurs européens de miel, à faire appliquer des normes de commercialisation strictes, à réaliser systématiquement des tests et des contrôles de traçabilité du miel importé dans l’Union, et à exiger un étiquetage mentionnant les pays d’origine pour les mélanges de miel; cet étiquetage devrait indiquer aussi le pourcentage respectif de chaque origine, présenté par ordre décroissant;</w:t>
      </w:r>
      <w:bookmarkEnd w:id="84"/>
      <w:bookmarkEnd w:id="85"/>
    </w:p>
    <w:p w:rsidRPr="00EA0FC9" w:rsidR="00E47B9A" w:rsidP="00E47B9A" w:rsidRDefault="00E47B9A" w14:paraId="4B974539" w14:textId="77777777">
      <w:pPr>
        <w:pStyle w:val="Heading2"/>
        <w:spacing w:line="281" w:lineRule="auto"/>
        <w:ind w:left="567" w:hanging="567"/>
      </w:pPr>
      <w:bookmarkStart w:name="_Toc146880478" w:id="86"/>
      <w:bookmarkStart w:name="_Toc146880529" w:id="87"/>
      <w:r>
        <w:t>insiste avec force sur la nécessité d’agir rapidement pour trouver une méthode analytique fiable et accessible, ce qu’il considère comme une condition préalable à la mise en œuvre de l’étiquetage obligatoire de l’origine afin de protéger les consommateurs contre la fraude;</w:t>
      </w:r>
      <w:bookmarkEnd w:id="86"/>
      <w:bookmarkEnd w:id="87"/>
    </w:p>
    <w:p w:rsidRPr="00EA0FC9" w:rsidR="00E47B9A" w:rsidP="00E47B9A" w:rsidRDefault="00E47B9A" w14:paraId="05478283" w14:textId="77777777">
      <w:pPr>
        <w:pStyle w:val="Heading2"/>
        <w:spacing w:line="281" w:lineRule="auto"/>
        <w:ind w:left="567" w:hanging="567"/>
      </w:pPr>
      <w:bookmarkStart w:name="_Toc146880479" w:id="88"/>
      <w:bookmarkStart w:name="_Toc146880530" w:id="89"/>
      <w:r>
        <w:t>estime qu’il importe de veiller à ce que les entreprises, en particulier les petites et moyennes entreprises, ne soient pas confrontées à des coûts excessifs;</w:t>
      </w:r>
      <w:bookmarkEnd w:id="88"/>
      <w:bookmarkEnd w:id="89"/>
    </w:p>
    <w:p w:rsidRPr="00EA0FC9" w:rsidR="00E47B9A" w:rsidP="00E47B9A" w:rsidRDefault="00E47B9A" w14:paraId="23669729" w14:textId="77777777">
      <w:pPr>
        <w:pStyle w:val="Heading2"/>
        <w:spacing w:line="281" w:lineRule="auto"/>
        <w:ind w:left="567" w:hanging="567"/>
      </w:pPr>
      <w:bookmarkStart w:name="_Toc146880480" w:id="90"/>
      <w:bookmarkStart w:name="_Toc146880531" w:id="91"/>
      <w:r>
        <w:t>souligne la nécessité d’un étiquetage spécifique portant la mention «ultrafiltré» ou «pasteurisé», qui indiquera clairement les transformations que le miel a subies à travers ces processus spécifiques, lesquels réduisent les propriétés et avantages naturels du miel;</w:t>
      </w:r>
      <w:bookmarkEnd w:id="90"/>
      <w:bookmarkEnd w:id="91"/>
    </w:p>
    <w:p w:rsidR="00E47B9A" w:rsidP="00E47B9A" w:rsidRDefault="00E47B9A" w14:paraId="31C1C2E2" w14:textId="77777777">
      <w:pPr>
        <w:pStyle w:val="Heading2"/>
        <w:spacing w:line="281" w:lineRule="auto"/>
        <w:ind w:left="567" w:hanging="567"/>
      </w:pPr>
      <w:bookmarkStart w:name="_Toc146880481" w:id="92"/>
      <w:bookmarkStart w:name="_Toc146880532" w:id="93"/>
      <w:r>
        <w:t>demande qu’une évaluation soit menée pour établir dans quelle mesure l’apposition de la mention «pas de jus de fruits additionnés de sucres» à côté de la dénomination du produit pourrait favoriser une plus grande consommation de jus de fruits, au détriment de celle de fruits frais entiers;</w:t>
      </w:r>
      <w:bookmarkEnd w:id="92"/>
      <w:bookmarkEnd w:id="93"/>
    </w:p>
    <w:p w:rsidRPr="00EA0FC9" w:rsidR="00E47B9A" w:rsidP="00E47B9A" w:rsidRDefault="00E47B9A" w14:paraId="715E1A69" w14:textId="77777777">
      <w:pPr>
        <w:pStyle w:val="Heading2"/>
        <w:spacing w:line="281" w:lineRule="auto"/>
        <w:ind w:left="567" w:hanging="567"/>
      </w:pPr>
      <w:bookmarkStart w:name="_Toc146880482" w:id="94"/>
      <w:bookmarkStart w:name="_Toc146880533" w:id="95"/>
      <w:r>
        <w:t>propose, d’une part, que les producteurs de nectar soient tenus de faire figurer la mention «contient des sucres ajoutés», le cas échéant, et, d’autre part, de supprimer progressivement la mention «sans sucres ajoutés»;</w:t>
      </w:r>
      <w:bookmarkEnd w:id="94"/>
      <w:bookmarkEnd w:id="95"/>
    </w:p>
    <w:p w:rsidRPr="00FD327E" w:rsidR="00E47B9A" w:rsidP="00E47B9A" w:rsidRDefault="00E47B9A" w14:paraId="422824D5" w14:textId="77777777">
      <w:pPr>
        <w:pStyle w:val="Heading2"/>
        <w:spacing w:line="281" w:lineRule="auto"/>
        <w:ind w:left="567" w:hanging="567"/>
      </w:pPr>
      <w:bookmarkStart w:name="_Toc146880483" w:id="96"/>
      <w:bookmarkStart w:name="_Toc146880534" w:id="97"/>
      <w:r>
        <w:t>estime, concernant la «confiture extra», que porter la teneur minimale générale en fruits au-delà du seuil actuel de 450 g/1000 g ne permettra pas d’obtenir un produit final avec une teneur totale en sucres qui soit moindre; est, en revanche, favorable à une augmentation de la teneur en fruits des confitures standard à 400 g/1000 g.</w:t>
      </w:r>
      <w:bookmarkEnd w:id="96"/>
      <w:bookmarkEnd w:id="97"/>
    </w:p>
    <w:p w:rsidRPr="00DF750A" w:rsidR="00E47B9A" w:rsidP="00E47B9A" w:rsidRDefault="00E47B9A" w14:paraId="1919CE6E" w14:textId="77777777">
      <w:pPr>
        <w:widowControl w:val="0"/>
        <w:ind w:left="709"/>
        <w:rPr>
          <w:rFonts w:asciiTheme="minorHAnsi" w:hAnsiTheme="minorHAnsi"/>
        </w:rPr>
      </w:pP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9"/>
        <w:gridCol w:w="4293"/>
      </w:tblGrid>
      <w:tr w:rsidRPr="00A6689B" w:rsidR="00E47B9A" w:rsidTr="00195CCE" w14:paraId="539D1C7F" w14:textId="77777777">
        <w:tc>
          <w:tcPr>
            <w:tcW w:w="1556" w:type="pct"/>
          </w:tcPr>
          <w:p w:rsidRPr="00A6689B" w:rsidR="00E47B9A" w:rsidP="00195CCE" w:rsidRDefault="00E47B9A" w14:paraId="0E111DA4" w14:textId="77777777">
            <w:pPr>
              <w:spacing w:line="240" w:lineRule="auto"/>
              <w:rPr>
                <w:i/>
              </w:rPr>
            </w:pPr>
            <w:r>
              <w:rPr>
                <w:b/>
                <w:i/>
              </w:rPr>
              <w:t>Contact</w:t>
            </w:r>
          </w:p>
        </w:tc>
        <w:tc>
          <w:tcPr>
            <w:tcW w:w="3444" w:type="pct"/>
          </w:tcPr>
          <w:p w:rsidRPr="00A6689B" w:rsidR="00E47B9A" w:rsidP="00195CCE" w:rsidRDefault="00E47B9A" w14:paraId="41AAE196" w14:textId="77777777">
            <w:pPr>
              <w:spacing w:line="240" w:lineRule="auto"/>
              <w:rPr>
                <w:i/>
              </w:rPr>
            </w:pPr>
            <w:r>
              <w:t>Arturo ÍÑIGUEZ</w:t>
            </w:r>
          </w:p>
        </w:tc>
      </w:tr>
      <w:tr w:rsidRPr="00A6689B" w:rsidR="00E47B9A" w:rsidTr="00195CCE" w14:paraId="5E42A879" w14:textId="77777777">
        <w:tc>
          <w:tcPr>
            <w:tcW w:w="1556" w:type="pct"/>
          </w:tcPr>
          <w:p w:rsidRPr="00A6689B" w:rsidR="00E47B9A" w:rsidP="00195CCE" w:rsidRDefault="00E47B9A" w14:paraId="4D5B0848" w14:textId="77777777">
            <w:pPr>
              <w:spacing w:line="240" w:lineRule="auto"/>
              <w:rPr>
                <w:i/>
              </w:rPr>
            </w:pPr>
            <w:r>
              <w:rPr>
                <w:i/>
              </w:rPr>
              <w:t>Tél.</w:t>
            </w:r>
          </w:p>
        </w:tc>
        <w:tc>
          <w:tcPr>
            <w:tcW w:w="3444" w:type="pct"/>
          </w:tcPr>
          <w:p w:rsidRPr="00A6689B" w:rsidR="00E47B9A" w:rsidP="00195CCE" w:rsidRDefault="00E47B9A" w14:paraId="38598B52" w14:textId="77777777">
            <w:pPr>
              <w:spacing w:line="240" w:lineRule="auto"/>
              <w:rPr>
                <w:i/>
              </w:rPr>
            </w:pPr>
            <w:r>
              <w:rPr>
                <w:i/>
              </w:rPr>
              <w:t>+32 25468768</w:t>
            </w:r>
          </w:p>
        </w:tc>
      </w:tr>
      <w:tr w:rsidRPr="00A6689B" w:rsidR="00E47B9A" w:rsidTr="00195CCE" w14:paraId="547BA08F" w14:textId="77777777">
        <w:tc>
          <w:tcPr>
            <w:tcW w:w="1556" w:type="pct"/>
          </w:tcPr>
          <w:p w:rsidRPr="00A6689B" w:rsidR="00E47B9A" w:rsidP="00195CCE" w:rsidRDefault="00E47B9A" w14:paraId="3E460213" w14:textId="77777777">
            <w:pPr>
              <w:spacing w:line="240" w:lineRule="auto"/>
              <w:rPr>
                <w:i/>
              </w:rPr>
            </w:pPr>
            <w:r>
              <w:rPr>
                <w:i/>
              </w:rPr>
              <w:t>Courriel</w:t>
            </w:r>
          </w:p>
        </w:tc>
        <w:tc>
          <w:tcPr>
            <w:tcW w:w="3444" w:type="pct"/>
          </w:tcPr>
          <w:p w:rsidRPr="00E87AAC" w:rsidR="00E47B9A" w:rsidP="00195CCE" w:rsidRDefault="006F4895" w14:paraId="1ECA5DC2" w14:textId="77777777">
            <w:pPr>
              <w:spacing w:line="240" w:lineRule="auto"/>
              <w:rPr>
                <w:i/>
                <w:iCs/>
              </w:rPr>
            </w:pPr>
            <w:hyperlink w:history="1" r:id="rId51">
              <w:r w:rsidR="00E47B9A">
                <w:rPr>
                  <w:rStyle w:val="Hyperlink"/>
                  <w:i/>
                </w:rPr>
                <w:t>Arturo.Iniguez@eesc.europa.eu</w:t>
              </w:r>
            </w:hyperlink>
            <w:r w:rsidR="00E47B9A">
              <w:rPr>
                <w:i/>
              </w:rPr>
              <w:t xml:space="preserve"> </w:t>
            </w:r>
          </w:p>
        </w:tc>
      </w:tr>
    </w:tbl>
    <w:p w:rsidRPr="00FD327E" w:rsidR="00E47B9A" w:rsidP="00E47B9A" w:rsidRDefault="00E47B9A" w14:paraId="25CB79EC" w14:textId="77777777">
      <w:pPr>
        <w:jc w:val="center"/>
        <w:rPr>
          <w:b/>
          <w:bCs/>
          <w:lang w:val="nl-BE"/>
        </w:rPr>
      </w:pPr>
    </w:p>
    <w:p w:rsidR="00775FC4" w:rsidP="00775FC4" w:rsidRDefault="00775FC4" w14:paraId="09355098" w14:textId="0088D20F">
      <w:pPr>
        <w:pStyle w:val="Heading1"/>
        <w:keepNext/>
        <w:keepLines/>
        <w:spacing w:before="0"/>
        <w:ind w:left="720"/>
        <w:rPr>
          <w:b/>
          <w:bCs/>
        </w:rPr>
      </w:pPr>
      <w:r>
        <w:br w:type="page"/>
      </w:r>
    </w:p>
    <w:p w:rsidRPr="00B66035" w:rsidR="00F93E07" w:rsidP="00426D38" w:rsidRDefault="005374D2" w14:paraId="2E4EE4A0" w14:textId="21670B9D">
      <w:pPr>
        <w:pStyle w:val="Heading1"/>
        <w:keepNext/>
        <w:keepLines/>
        <w:numPr>
          <w:ilvl w:val="0"/>
          <w:numId w:val="6"/>
        </w:numPr>
        <w:spacing w:before="0"/>
        <w:ind w:hanging="720"/>
        <w:rPr>
          <w:b/>
          <w:bCs/>
        </w:rPr>
      </w:pPr>
      <w:bookmarkStart w:name="_Toc146880484" w:id="98"/>
      <w:bookmarkStart w:name="_Toc146880535" w:id="99"/>
      <w:r>
        <w:rPr>
          <w:b/>
        </w:rPr>
        <w:t>RELATIONS EXTÉRIEURES</w:t>
      </w:r>
      <w:bookmarkEnd w:id="98"/>
      <w:bookmarkEnd w:id="99"/>
    </w:p>
    <w:p w:rsidR="00E47B9A" w:rsidP="00775FC4" w:rsidRDefault="00E47B9A" w14:paraId="61982452" w14:textId="24B63DB3">
      <w:pPr>
        <w:keepNext/>
        <w:keepLines/>
        <w:jc w:val="left"/>
        <w:rPr>
          <w:b/>
          <w:bCs/>
          <w:sz w:val="28"/>
          <w:szCs w:val="28"/>
        </w:rPr>
      </w:pPr>
    </w:p>
    <w:p w:rsidRPr="0003586F" w:rsidR="00E47B9A" w:rsidP="00CF2BFD" w:rsidRDefault="006F4895" w14:paraId="5F0364C5" w14:textId="55ADBE7F">
      <w:pPr>
        <w:widowControl w:val="0"/>
        <w:numPr>
          <w:ilvl w:val="0"/>
          <w:numId w:val="20"/>
        </w:numPr>
        <w:overflowPunct w:val="0"/>
        <w:autoSpaceDE w:val="0"/>
        <w:autoSpaceDN w:val="0"/>
        <w:adjustRightInd w:val="0"/>
        <w:ind w:left="426" w:hanging="426"/>
        <w:textAlignment w:val="baseline"/>
        <w:rPr>
          <w:sz w:val="20"/>
        </w:rPr>
      </w:pPr>
      <w:hyperlink w:history="1" r:id="rId52">
        <w:r w:rsidR="00E47B9A">
          <w:rPr>
            <w:rStyle w:val="Hyperlink"/>
            <w:b/>
            <w:i/>
            <w:sz w:val="28"/>
          </w:rPr>
          <w:t>La poursuite de la participation de l’Union au partenariat en matière de recherche et d’innovation dans la zone méditerranéenne (PRIMA) au titre d’Horizon Europe</w:t>
        </w:r>
      </w:hyperlink>
    </w:p>
    <w:p w:rsidR="00E47B9A" w:rsidP="00E47B9A" w:rsidRDefault="00E47B9A" w14:paraId="203DB043" w14:textId="77777777">
      <w:pPr>
        <w:tabs>
          <w:tab w:val="center" w:pos="284"/>
        </w:tabs>
        <w:ind w:left="266" w:hanging="266"/>
        <w:rPr>
          <w:b/>
        </w:rPr>
      </w:pPr>
    </w:p>
    <w:tbl>
      <w:tblPr>
        <w:tblStyle w:val="TableGrid"/>
        <w:tblW w:w="3438"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9"/>
        <w:gridCol w:w="4155"/>
      </w:tblGrid>
      <w:tr w:rsidRPr="00A6689B" w:rsidR="00E47B9A" w:rsidTr="00195CCE" w14:paraId="5FBDD430" w14:textId="77777777">
        <w:tc>
          <w:tcPr>
            <w:tcW w:w="1591" w:type="pct"/>
            <w:vMerge w:val="restart"/>
          </w:tcPr>
          <w:p w:rsidRPr="00A6689B" w:rsidR="00E47B9A" w:rsidP="00195CCE" w:rsidRDefault="00E47B9A" w14:paraId="799FB3E2" w14:textId="77777777">
            <w:pPr>
              <w:tabs>
                <w:tab w:val="center" w:pos="284"/>
              </w:tabs>
              <w:ind w:left="266" w:hanging="266"/>
              <w:rPr>
                <w:b/>
              </w:rPr>
            </w:pPr>
            <w:r>
              <w:rPr>
                <w:b/>
              </w:rPr>
              <w:t>Références</w:t>
            </w:r>
          </w:p>
        </w:tc>
        <w:tc>
          <w:tcPr>
            <w:tcW w:w="3409" w:type="pct"/>
          </w:tcPr>
          <w:p w:rsidR="0054574C" w:rsidP="00195CCE" w:rsidRDefault="0054574C" w14:paraId="28D881FE" w14:textId="77777777">
            <w:pPr>
              <w:tabs>
                <w:tab w:val="center" w:pos="284"/>
              </w:tabs>
              <w:ind w:left="266" w:hanging="266"/>
            </w:pPr>
            <w:r>
              <w:t>Avis de catégorie C</w:t>
            </w:r>
          </w:p>
          <w:p w:rsidRPr="00A6689B" w:rsidR="00E47B9A" w:rsidP="00195CCE" w:rsidRDefault="00E47B9A" w14:paraId="7EC4D21E" w14:textId="4FB79674">
            <w:pPr>
              <w:tabs>
                <w:tab w:val="center" w:pos="284"/>
              </w:tabs>
              <w:ind w:left="266" w:hanging="266"/>
            </w:pPr>
            <w:r>
              <w:t>COM(2023) 359 final</w:t>
            </w:r>
          </w:p>
        </w:tc>
      </w:tr>
      <w:tr w:rsidRPr="00A6689B" w:rsidR="00E47B9A" w:rsidTr="00195CCE" w14:paraId="48D14102" w14:textId="77777777">
        <w:tc>
          <w:tcPr>
            <w:tcW w:w="1591" w:type="pct"/>
            <w:vMerge/>
          </w:tcPr>
          <w:p w:rsidRPr="00A6689B" w:rsidR="00E47B9A" w:rsidP="00195CCE" w:rsidRDefault="00E47B9A" w14:paraId="1082290E" w14:textId="77777777">
            <w:pPr>
              <w:tabs>
                <w:tab w:val="center" w:pos="284"/>
              </w:tabs>
              <w:ind w:left="266" w:hanging="266"/>
              <w:rPr>
                <w:b/>
                <w:lang w:val="en-US"/>
              </w:rPr>
            </w:pPr>
          </w:p>
        </w:tc>
        <w:tc>
          <w:tcPr>
            <w:tcW w:w="3409" w:type="pct"/>
          </w:tcPr>
          <w:p w:rsidRPr="00A6689B" w:rsidR="00E47B9A" w:rsidP="00195CCE" w:rsidRDefault="00E47B9A" w14:paraId="6C6DBBF9" w14:textId="088E9C45">
            <w:pPr>
              <w:tabs>
                <w:tab w:val="center" w:pos="284"/>
              </w:tabs>
              <w:ind w:left="266" w:hanging="266"/>
            </w:pPr>
            <w:bookmarkStart w:name="_Hlk141339251" w:id="100"/>
            <w:r>
              <w:t>EESC-2023-03618-00-00</w:t>
            </w:r>
            <w:bookmarkEnd w:id="100"/>
            <w:r>
              <w:t>-AC</w:t>
            </w:r>
          </w:p>
        </w:tc>
      </w:tr>
    </w:tbl>
    <w:p w:rsidRPr="00A6689B" w:rsidR="00E47B9A" w:rsidP="00E47B9A" w:rsidRDefault="00E47B9A" w14:paraId="1EB7C5D1" w14:textId="77777777">
      <w:pPr>
        <w:tabs>
          <w:tab w:val="center" w:pos="284"/>
        </w:tabs>
        <w:ind w:left="266" w:hanging="266"/>
        <w:rPr>
          <w:b/>
        </w:rPr>
      </w:pPr>
    </w:p>
    <w:p w:rsidRPr="00A6689B" w:rsidR="00E47B9A" w:rsidP="00E47B9A" w:rsidRDefault="00E47B9A" w14:paraId="0B2C9F79" w14:textId="77777777">
      <w:pPr>
        <w:keepNext/>
        <w:keepLines/>
        <w:tabs>
          <w:tab w:val="center" w:pos="284"/>
        </w:tabs>
        <w:ind w:left="266" w:hanging="266"/>
        <w:rPr>
          <w:b/>
        </w:rPr>
      </w:pPr>
      <w:r>
        <w:rPr>
          <w:b/>
        </w:rPr>
        <w:t>Points principaux</w:t>
      </w:r>
    </w:p>
    <w:p w:rsidRPr="00A6689B" w:rsidR="00E47B9A" w:rsidP="00E47B9A" w:rsidRDefault="00E47B9A" w14:paraId="49EE8F71" w14:textId="77777777">
      <w:pPr>
        <w:keepNext/>
        <w:keepLines/>
        <w:tabs>
          <w:tab w:val="center" w:pos="284"/>
        </w:tabs>
        <w:ind w:left="266" w:hanging="266"/>
        <w:rPr>
          <w:b/>
        </w:rPr>
      </w:pPr>
    </w:p>
    <w:p w:rsidRPr="00A6689B" w:rsidR="00E47B9A" w:rsidP="00E47B9A" w:rsidRDefault="00E47B9A" w14:paraId="6001BB83" w14:textId="77777777">
      <w:pPr>
        <w:rPr>
          <w:bCs/>
          <w:iCs/>
        </w:rPr>
      </w:pPr>
      <w:r>
        <w:t>Le CESE:</w:t>
      </w:r>
    </w:p>
    <w:p w:rsidR="00E47B9A" w:rsidP="00E86C69" w:rsidRDefault="00E47B9A" w14:paraId="7AA4556F" w14:textId="77777777">
      <w:pPr>
        <w:widowControl w:val="0"/>
        <w:numPr>
          <w:ilvl w:val="0"/>
          <w:numId w:val="20"/>
        </w:numPr>
        <w:overflowPunct w:val="0"/>
        <w:autoSpaceDE w:val="0"/>
        <w:autoSpaceDN w:val="0"/>
        <w:adjustRightInd w:val="0"/>
        <w:ind w:left="709" w:hanging="425"/>
        <w:textAlignment w:val="baseline"/>
        <w:rPr>
          <w:bCs/>
          <w:iCs/>
        </w:rPr>
      </w:pPr>
      <w:r>
        <w:t>ayant estimé que le contenu de la proposition est satisfaisant et n’appelle aucun commentaire de sa part, a décidé de rendre un avis favorable au texte proposé.</w:t>
      </w:r>
    </w:p>
    <w:p w:rsidRPr="000624A9" w:rsidR="00E47B9A" w:rsidP="00E47B9A" w:rsidRDefault="00E47B9A" w14:paraId="0D6E760B" w14:textId="77777777">
      <w:pPr>
        <w:widowControl w:val="0"/>
        <w:ind w:left="709"/>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6689B" w:rsidR="00E47B9A" w:rsidTr="00195CCE" w14:paraId="48FA4AA1" w14:textId="77777777">
        <w:tc>
          <w:tcPr>
            <w:tcW w:w="1418" w:type="dxa"/>
          </w:tcPr>
          <w:p w:rsidRPr="00A6689B" w:rsidR="00E47B9A" w:rsidP="00195CCE" w:rsidRDefault="00E47B9A" w14:paraId="61B33B11" w14:textId="77777777">
            <w:pPr>
              <w:rPr>
                <w:i/>
              </w:rPr>
            </w:pPr>
            <w:r>
              <w:rPr>
                <w:b/>
                <w:i/>
              </w:rPr>
              <w:t>Contact</w:t>
            </w:r>
          </w:p>
        </w:tc>
        <w:tc>
          <w:tcPr>
            <w:tcW w:w="5670" w:type="dxa"/>
          </w:tcPr>
          <w:p w:rsidRPr="00A6689B" w:rsidR="00E47B9A" w:rsidP="00195CCE" w:rsidRDefault="00E47B9A" w14:paraId="33EDE86C" w14:textId="77777777">
            <w:pPr>
              <w:rPr>
                <w:i/>
              </w:rPr>
            </w:pPr>
            <w:proofErr w:type="spellStart"/>
            <w:r>
              <w:rPr>
                <w:i/>
              </w:rPr>
              <w:t>Tzonka</w:t>
            </w:r>
            <w:proofErr w:type="spellEnd"/>
            <w:r>
              <w:rPr>
                <w:i/>
              </w:rPr>
              <w:t xml:space="preserve"> IOTZOVA</w:t>
            </w:r>
          </w:p>
        </w:tc>
      </w:tr>
      <w:tr w:rsidRPr="00A6689B" w:rsidR="00E47B9A" w:rsidTr="00195CCE" w14:paraId="6D6DB788" w14:textId="77777777">
        <w:tc>
          <w:tcPr>
            <w:tcW w:w="1418" w:type="dxa"/>
          </w:tcPr>
          <w:p w:rsidRPr="00A6689B" w:rsidR="00E47B9A" w:rsidP="00195CCE" w:rsidRDefault="00E47B9A" w14:paraId="450DE2B2" w14:textId="77777777">
            <w:pPr>
              <w:rPr>
                <w:i/>
              </w:rPr>
            </w:pPr>
            <w:r>
              <w:rPr>
                <w:i/>
              </w:rPr>
              <w:t>Tél.</w:t>
            </w:r>
          </w:p>
        </w:tc>
        <w:tc>
          <w:tcPr>
            <w:tcW w:w="5670" w:type="dxa"/>
          </w:tcPr>
          <w:p w:rsidRPr="00A6689B" w:rsidR="00E47B9A" w:rsidP="00195CCE" w:rsidRDefault="00E47B9A" w14:paraId="40BEA932" w14:textId="77777777">
            <w:pPr>
              <w:rPr>
                <w:i/>
              </w:rPr>
            </w:pPr>
            <w:r>
              <w:rPr>
                <w:i/>
              </w:rPr>
              <w:t>+32 25468978</w:t>
            </w:r>
          </w:p>
        </w:tc>
      </w:tr>
      <w:tr w:rsidRPr="00A6689B" w:rsidR="00E47B9A" w:rsidTr="00195CCE" w14:paraId="180DB5B1" w14:textId="77777777">
        <w:tc>
          <w:tcPr>
            <w:tcW w:w="1418" w:type="dxa"/>
          </w:tcPr>
          <w:p w:rsidRPr="00A6689B" w:rsidR="00E47B9A" w:rsidP="00195CCE" w:rsidRDefault="00E47B9A" w14:paraId="2526CA7A" w14:textId="77777777">
            <w:pPr>
              <w:rPr>
                <w:i/>
              </w:rPr>
            </w:pPr>
            <w:r>
              <w:rPr>
                <w:i/>
              </w:rPr>
              <w:t>Courriel</w:t>
            </w:r>
          </w:p>
        </w:tc>
        <w:tc>
          <w:tcPr>
            <w:tcW w:w="5670" w:type="dxa"/>
          </w:tcPr>
          <w:p w:rsidRPr="00A6689B" w:rsidR="00E47B9A" w:rsidP="00195CCE" w:rsidRDefault="006F4895" w14:paraId="5C327DB7" w14:textId="77777777">
            <w:pPr>
              <w:rPr>
                <w:i/>
              </w:rPr>
            </w:pPr>
            <w:hyperlink w:history="1" r:id="rId53">
              <w:r w:rsidR="00E47B9A">
                <w:rPr>
                  <w:rStyle w:val="Hyperlink"/>
                  <w:i/>
                </w:rPr>
                <w:t>Tzonka.Iotzova@eesc.europa.eu</w:t>
              </w:r>
            </w:hyperlink>
          </w:p>
        </w:tc>
      </w:tr>
    </w:tbl>
    <w:p w:rsidR="00E47B9A" w:rsidP="00E47B9A" w:rsidRDefault="00E47B9A" w14:paraId="61000377" w14:textId="4D34DF38">
      <w:pPr>
        <w:jc w:val="center"/>
      </w:pPr>
    </w:p>
    <w:p w:rsidR="00192492" w:rsidP="00E47B9A" w:rsidRDefault="00192492" w14:paraId="00645618" w14:textId="77777777">
      <w:pPr>
        <w:jc w:val="center"/>
      </w:pPr>
    </w:p>
    <w:p w:rsidRPr="0003586F" w:rsidR="00E47B9A" w:rsidP="00CF2BFD" w:rsidRDefault="006F4895" w14:paraId="14C55D7C" w14:textId="6B4C9331">
      <w:pPr>
        <w:widowControl w:val="0"/>
        <w:numPr>
          <w:ilvl w:val="0"/>
          <w:numId w:val="20"/>
        </w:numPr>
        <w:overflowPunct w:val="0"/>
        <w:autoSpaceDE w:val="0"/>
        <w:autoSpaceDN w:val="0"/>
        <w:adjustRightInd w:val="0"/>
        <w:ind w:left="426" w:hanging="426"/>
        <w:textAlignment w:val="baseline"/>
        <w:rPr>
          <w:sz w:val="20"/>
        </w:rPr>
      </w:pPr>
      <w:hyperlink w:history="1" r:id="rId54">
        <w:r w:rsidR="00E47B9A">
          <w:rPr>
            <w:rStyle w:val="Hyperlink"/>
            <w:b/>
            <w:i/>
            <w:sz w:val="28"/>
          </w:rPr>
          <w:t>La stratégie de sûreté maritime de l’UE et son plan d’action «Renforcement de la stratégie de sûreté maritime de l’UE pour faire face à l’évolution des menaces dans le domaine maritime»</w:t>
        </w:r>
      </w:hyperlink>
    </w:p>
    <w:p w:rsidRPr="00A6689B" w:rsidR="00E47B9A" w:rsidP="00E47B9A" w:rsidRDefault="00E47B9A" w14:paraId="72A024B4" w14:textId="77777777">
      <w:pPr>
        <w:tabs>
          <w:tab w:val="center" w:pos="284"/>
        </w:tabs>
        <w:ind w:left="266" w:hanging="266"/>
        <w:rPr>
          <w:b/>
        </w:rPr>
      </w:pPr>
    </w:p>
    <w:tbl>
      <w:tblPr>
        <w:tblStyle w:val="TableGrid"/>
        <w:tblW w:w="485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0"/>
        <w:gridCol w:w="6673"/>
      </w:tblGrid>
      <w:tr w:rsidRPr="00A6689B" w:rsidR="00E47B9A" w:rsidTr="0054574C" w14:paraId="1D33B97E" w14:textId="77777777">
        <w:tc>
          <w:tcPr>
            <w:tcW w:w="1126" w:type="pct"/>
          </w:tcPr>
          <w:p w:rsidRPr="00A6689B" w:rsidR="00E47B9A" w:rsidP="00195CCE" w:rsidRDefault="00E47B9A" w14:paraId="04ACF240" w14:textId="77777777">
            <w:pPr>
              <w:tabs>
                <w:tab w:val="center" w:pos="284"/>
              </w:tabs>
              <w:ind w:left="266" w:hanging="266"/>
              <w:rPr>
                <w:b/>
              </w:rPr>
            </w:pPr>
            <w:r>
              <w:rPr>
                <w:b/>
              </w:rPr>
              <w:t>Rapporteur</w:t>
            </w:r>
          </w:p>
        </w:tc>
        <w:tc>
          <w:tcPr>
            <w:tcW w:w="3874" w:type="pct"/>
          </w:tcPr>
          <w:p w:rsidRPr="00A6689B" w:rsidR="00E47B9A" w:rsidP="00CB19DE" w:rsidRDefault="00E47B9A" w14:paraId="26C636DE" w14:textId="680A6D09">
            <w:pPr>
              <w:tabs>
                <w:tab w:val="center" w:pos="44"/>
              </w:tabs>
              <w:ind w:left="44"/>
            </w:pPr>
            <w:proofErr w:type="spellStart"/>
            <w:r>
              <w:t>Anastasis</w:t>
            </w:r>
            <w:proofErr w:type="spellEnd"/>
            <w:r>
              <w:t> YIAPANIS</w:t>
            </w:r>
            <w:r w:rsidR="0001419F">
              <w:t xml:space="preserve"> </w:t>
            </w:r>
            <w:r>
              <w:t xml:space="preserve">(Groupe des organisations de la société civile — </w:t>
            </w:r>
            <w:r w:rsidR="0054574C">
              <w:t>CY</w:t>
            </w:r>
            <w:r>
              <w:t>)</w:t>
            </w:r>
          </w:p>
        </w:tc>
      </w:tr>
      <w:tr w:rsidRPr="00A6689B" w:rsidR="00E47B9A" w:rsidTr="0054574C" w14:paraId="4565D4FD" w14:textId="77777777">
        <w:tc>
          <w:tcPr>
            <w:tcW w:w="1126" w:type="pct"/>
          </w:tcPr>
          <w:p w:rsidRPr="00A6689B" w:rsidR="00E47B9A" w:rsidP="00195CCE" w:rsidRDefault="00E47B9A" w14:paraId="645FDE41" w14:textId="77777777">
            <w:pPr>
              <w:tabs>
                <w:tab w:val="center" w:pos="284"/>
              </w:tabs>
              <w:ind w:left="266" w:hanging="266"/>
              <w:rPr>
                <w:b/>
              </w:rPr>
            </w:pPr>
            <w:r>
              <w:rPr>
                <w:b/>
              </w:rPr>
              <w:t>Corapporteur</w:t>
            </w:r>
          </w:p>
        </w:tc>
        <w:tc>
          <w:tcPr>
            <w:tcW w:w="3874" w:type="pct"/>
          </w:tcPr>
          <w:p w:rsidRPr="00A6689B" w:rsidR="00E47B9A" w:rsidP="00195CCE" w:rsidRDefault="00E47B9A" w14:paraId="068C09EF" w14:textId="4359BE7A">
            <w:pPr>
              <w:tabs>
                <w:tab w:val="center" w:pos="284"/>
              </w:tabs>
              <w:ind w:left="266" w:hanging="266"/>
            </w:pPr>
            <w:proofErr w:type="spellStart"/>
            <w:r>
              <w:t>Mateusz</w:t>
            </w:r>
            <w:proofErr w:type="spellEnd"/>
            <w:r>
              <w:t> SZYMAŃSKI</w:t>
            </w:r>
            <w:r w:rsidR="0001419F">
              <w:t xml:space="preserve"> </w:t>
            </w:r>
            <w:r>
              <w:t xml:space="preserve">(Groupe des travailleurs — </w:t>
            </w:r>
            <w:r w:rsidR="0001419F">
              <w:t>PL</w:t>
            </w:r>
            <w:r>
              <w:t>)</w:t>
            </w:r>
          </w:p>
        </w:tc>
      </w:tr>
      <w:tr w:rsidRPr="00A6689B" w:rsidR="00E47B9A" w:rsidTr="0054574C" w14:paraId="5CB8FA46" w14:textId="77777777">
        <w:tc>
          <w:tcPr>
            <w:tcW w:w="5000" w:type="pct"/>
            <w:gridSpan w:val="2"/>
          </w:tcPr>
          <w:p w:rsidRPr="00A6689B" w:rsidR="00E47B9A" w:rsidP="00195CCE" w:rsidRDefault="00E47B9A" w14:paraId="6EA8CC78" w14:textId="77777777">
            <w:pPr>
              <w:tabs>
                <w:tab w:val="center" w:pos="284"/>
              </w:tabs>
              <w:spacing w:line="160" w:lineRule="exact"/>
              <w:ind w:left="266" w:hanging="266"/>
            </w:pPr>
          </w:p>
        </w:tc>
      </w:tr>
      <w:tr w:rsidRPr="00A6689B" w:rsidR="00E47B9A" w:rsidTr="0054574C" w14:paraId="48590C96" w14:textId="77777777">
        <w:tc>
          <w:tcPr>
            <w:tcW w:w="1126" w:type="pct"/>
          </w:tcPr>
          <w:p w:rsidRPr="00A6689B" w:rsidR="00E47B9A" w:rsidP="00195CCE" w:rsidRDefault="00E47B9A" w14:paraId="3F6631D0" w14:textId="77777777">
            <w:pPr>
              <w:tabs>
                <w:tab w:val="center" w:pos="284"/>
              </w:tabs>
              <w:ind w:left="266" w:hanging="266"/>
              <w:rPr>
                <w:b/>
              </w:rPr>
            </w:pPr>
            <w:r>
              <w:rPr>
                <w:b/>
              </w:rPr>
              <w:t>Références</w:t>
            </w:r>
          </w:p>
        </w:tc>
        <w:tc>
          <w:tcPr>
            <w:tcW w:w="3874" w:type="pct"/>
          </w:tcPr>
          <w:p w:rsidR="0001419F" w:rsidP="00195CCE" w:rsidRDefault="0001419F" w14:paraId="393B88E6" w14:textId="77777777">
            <w:pPr>
              <w:tabs>
                <w:tab w:val="center" w:pos="284"/>
              </w:tabs>
              <w:ind w:left="266" w:hanging="266"/>
            </w:pPr>
            <w:r>
              <w:t>JOIN(2023) </w:t>
            </w:r>
            <w:r w:rsidRPr="0001419F">
              <w:t>8</w:t>
            </w:r>
            <w:r>
              <w:t> final</w:t>
            </w:r>
          </w:p>
          <w:p w:rsidRPr="00A6689B" w:rsidR="00E47B9A" w:rsidP="00195CCE" w:rsidRDefault="00E47B9A" w14:paraId="4E91BEFF" w14:textId="741777D2">
            <w:pPr>
              <w:tabs>
                <w:tab w:val="center" w:pos="284"/>
              </w:tabs>
              <w:ind w:left="266" w:hanging="266"/>
            </w:pPr>
            <w:r w:rsidRPr="0001419F">
              <w:t>EESC</w:t>
            </w:r>
            <w:r>
              <w:t>-2023-02550-00-00-A</w:t>
            </w:r>
            <w:r w:rsidR="0001419F">
              <w:t>C</w:t>
            </w:r>
          </w:p>
        </w:tc>
      </w:tr>
    </w:tbl>
    <w:p w:rsidR="00E47B9A" w:rsidP="00E47B9A" w:rsidRDefault="00E47B9A" w14:paraId="1B44A911" w14:textId="77777777">
      <w:pPr>
        <w:tabs>
          <w:tab w:val="center" w:pos="284"/>
        </w:tabs>
        <w:ind w:left="266" w:hanging="266"/>
        <w:rPr>
          <w:b/>
        </w:rPr>
      </w:pPr>
    </w:p>
    <w:p w:rsidRPr="00A6689B" w:rsidR="00E47B9A" w:rsidP="00E47B9A" w:rsidRDefault="00E47B9A" w14:paraId="3416AB19" w14:textId="77777777">
      <w:pPr>
        <w:keepNext/>
        <w:tabs>
          <w:tab w:val="center" w:pos="284"/>
        </w:tabs>
        <w:ind w:left="266" w:hanging="266"/>
        <w:rPr>
          <w:b/>
        </w:rPr>
      </w:pPr>
      <w:r>
        <w:rPr>
          <w:b/>
        </w:rPr>
        <w:t>Points clés</w:t>
      </w:r>
    </w:p>
    <w:p w:rsidRPr="00A6689B" w:rsidR="00E47B9A" w:rsidP="00E47B9A" w:rsidRDefault="00E47B9A" w14:paraId="64AEA137" w14:textId="77777777">
      <w:pPr>
        <w:keepNext/>
        <w:tabs>
          <w:tab w:val="center" w:pos="284"/>
        </w:tabs>
        <w:ind w:left="266" w:hanging="266"/>
        <w:rPr>
          <w:b/>
        </w:rPr>
      </w:pPr>
    </w:p>
    <w:p w:rsidRPr="00A6689B" w:rsidR="00E47B9A" w:rsidP="00E47B9A" w:rsidRDefault="00E47B9A" w14:paraId="1A6BB198" w14:textId="77777777">
      <w:pPr>
        <w:keepNext/>
        <w:rPr>
          <w:bCs/>
          <w:iCs/>
        </w:rPr>
      </w:pPr>
      <w:r>
        <w:t>Le CESE:</w:t>
      </w:r>
    </w:p>
    <w:p w:rsidR="00E47B9A" w:rsidP="00E86C69" w:rsidRDefault="00E47B9A" w14:paraId="0D7845C6" w14:textId="77777777">
      <w:pPr>
        <w:keepNext/>
        <w:widowControl w:val="0"/>
        <w:numPr>
          <w:ilvl w:val="0"/>
          <w:numId w:val="20"/>
        </w:numPr>
        <w:overflowPunct w:val="0"/>
        <w:autoSpaceDE w:val="0"/>
        <w:autoSpaceDN w:val="0"/>
        <w:adjustRightInd w:val="0"/>
        <w:ind w:left="709" w:hanging="425"/>
        <w:textAlignment w:val="baseline"/>
        <w:rPr>
          <w:bCs/>
          <w:iCs/>
        </w:rPr>
      </w:pPr>
      <w:r>
        <w:t>reconnaît que la nouvelle stratégie de sûreté maritime de l’Union européenne est alignée sur la boussole stratégique et estime que cette stratégie doit préserver la souveraineté, la sécurité et la compétitivité de l’Union; En accordant la priorité au domaine maritime, cette dernière peut faire progresser son grand principe politique qu’est le multilatéralisme dans ses actions extérieures;</w:t>
      </w:r>
    </w:p>
    <w:p w:rsidRPr="00893153" w:rsidR="00E47B9A" w:rsidP="00E86C69" w:rsidRDefault="00E47B9A" w14:paraId="5A198190" w14:textId="77777777">
      <w:pPr>
        <w:widowControl w:val="0"/>
        <w:numPr>
          <w:ilvl w:val="0"/>
          <w:numId w:val="20"/>
        </w:numPr>
        <w:overflowPunct w:val="0"/>
        <w:autoSpaceDE w:val="0"/>
        <w:autoSpaceDN w:val="0"/>
        <w:adjustRightInd w:val="0"/>
        <w:ind w:left="709" w:hanging="425"/>
        <w:textAlignment w:val="baseline"/>
        <w:rPr>
          <w:bCs/>
          <w:iCs/>
        </w:rPr>
      </w:pPr>
      <w:r>
        <w:t>affirme qu’en ce qui concerne le financement, les besoins de l’UE en matière de sûreté maritime requièrent un accroissement des investissements de la part des États membres. Par conséquent, afin de garantir des synergies entre les capacités militaires fragmentées de l’Union, les États membres doivent recourir davantage à la mise en commun et au partage de leurs ressources, et recenser les domaines prioritaires pour les opérations et les passations conjointes de marchés;</w:t>
      </w:r>
    </w:p>
    <w:p w:rsidRPr="00893153" w:rsidR="00E47B9A" w:rsidP="00E86C69" w:rsidRDefault="00E47B9A" w14:paraId="1F8C59D7" w14:textId="77777777">
      <w:pPr>
        <w:widowControl w:val="0"/>
        <w:numPr>
          <w:ilvl w:val="0"/>
          <w:numId w:val="20"/>
        </w:numPr>
        <w:overflowPunct w:val="0"/>
        <w:autoSpaceDE w:val="0"/>
        <w:autoSpaceDN w:val="0"/>
        <w:adjustRightInd w:val="0"/>
        <w:ind w:left="709" w:hanging="425"/>
        <w:textAlignment w:val="baseline"/>
        <w:rPr>
          <w:bCs/>
          <w:iCs/>
        </w:rPr>
      </w:pPr>
      <w:r>
        <w:t>reconnaît que l’agression militaire de la Russie, son comportement imprévisible et son recours à des stratégies hybrides constituent une grave menace pour la sécurité maritime internationale;</w:t>
      </w:r>
    </w:p>
    <w:p w:rsidRPr="00DE5DAE" w:rsidR="00E47B9A" w:rsidP="00E86C69" w:rsidRDefault="00E47B9A" w14:paraId="665F4F7D" w14:textId="77777777">
      <w:pPr>
        <w:widowControl w:val="0"/>
        <w:numPr>
          <w:ilvl w:val="0"/>
          <w:numId w:val="20"/>
        </w:numPr>
        <w:overflowPunct w:val="0"/>
        <w:autoSpaceDE w:val="0"/>
        <w:autoSpaceDN w:val="0"/>
        <w:adjustRightInd w:val="0"/>
        <w:ind w:left="709" w:hanging="425"/>
        <w:textAlignment w:val="baseline"/>
        <w:rPr>
          <w:bCs/>
          <w:iCs/>
        </w:rPr>
      </w:pPr>
      <w:r>
        <w:t>considère que la coopération entre l’UE et l’OTAN est essentielle et qu’il conviendrait de la renforcer par un meilleur partage des connaissances relatives à la situation maritime et une coordination plus efficace dans différents domaines d’intérêt commun, y compris la protection des infrastructures critiques;</w:t>
      </w:r>
    </w:p>
    <w:p w:rsidRPr="00DE5DAE" w:rsidR="00E47B9A" w:rsidP="00E86C69" w:rsidRDefault="00E47B9A" w14:paraId="71796C10" w14:textId="77777777">
      <w:pPr>
        <w:widowControl w:val="0"/>
        <w:numPr>
          <w:ilvl w:val="0"/>
          <w:numId w:val="20"/>
        </w:numPr>
        <w:overflowPunct w:val="0"/>
        <w:autoSpaceDE w:val="0"/>
        <w:autoSpaceDN w:val="0"/>
        <w:adjustRightInd w:val="0"/>
        <w:ind w:left="709" w:hanging="425"/>
        <w:textAlignment w:val="baseline"/>
        <w:rPr>
          <w:bCs/>
          <w:iCs/>
        </w:rPr>
      </w:pPr>
      <w:r>
        <w:t>préconise que l’Union européenne accroisse sa collaboration avec ses partenaires internationaux afin d’aborder collectivement des préoccupations communes, telles que le trafic d’êtres humains ou la traite des êtres humains;</w:t>
      </w:r>
    </w:p>
    <w:p w:rsidRPr="00DE5DAE" w:rsidR="00E47B9A" w:rsidP="00E86C69" w:rsidRDefault="00E47B9A" w14:paraId="5A33931A" w14:textId="77777777">
      <w:pPr>
        <w:widowControl w:val="0"/>
        <w:numPr>
          <w:ilvl w:val="0"/>
          <w:numId w:val="20"/>
        </w:numPr>
        <w:overflowPunct w:val="0"/>
        <w:autoSpaceDE w:val="0"/>
        <w:autoSpaceDN w:val="0"/>
        <w:adjustRightInd w:val="0"/>
        <w:ind w:left="709" w:hanging="425"/>
        <w:textAlignment w:val="baseline"/>
        <w:rPr>
          <w:bCs/>
          <w:iCs/>
        </w:rPr>
      </w:pPr>
      <w:r>
        <w:t>est favorable aux efforts visant à inclure la coopération en matière de sûreté maritime dans les futurs accords commerciaux de l’UE;</w:t>
      </w:r>
    </w:p>
    <w:p w:rsidR="00E47B9A" w:rsidP="00E86C69" w:rsidRDefault="00E47B9A" w14:paraId="079F3EDD" w14:textId="77777777">
      <w:pPr>
        <w:widowControl w:val="0"/>
        <w:numPr>
          <w:ilvl w:val="0"/>
          <w:numId w:val="20"/>
        </w:numPr>
        <w:overflowPunct w:val="0"/>
        <w:autoSpaceDE w:val="0"/>
        <w:autoSpaceDN w:val="0"/>
        <w:adjustRightInd w:val="0"/>
        <w:ind w:left="709" w:hanging="425"/>
        <w:textAlignment w:val="baseline"/>
        <w:rPr>
          <w:bCs/>
          <w:iCs/>
        </w:rPr>
      </w:pPr>
      <w:r>
        <w:t>se déclare préoccupé par la dépendance stratégique actuelle de l’Union à l’égard de la Chine, notamment la présence toujours plus massive d’activités chinoises dans les ports de plusieurs États membres;</w:t>
      </w:r>
    </w:p>
    <w:p w:rsidR="00E47B9A" w:rsidP="00E86C69" w:rsidRDefault="00E47B9A" w14:paraId="033B65C7" w14:textId="77777777">
      <w:pPr>
        <w:keepLines/>
        <w:widowControl w:val="0"/>
        <w:numPr>
          <w:ilvl w:val="0"/>
          <w:numId w:val="20"/>
        </w:numPr>
        <w:overflowPunct w:val="0"/>
        <w:autoSpaceDE w:val="0"/>
        <w:autoSpaceDN w:val="0"/>
        <w:adjustRightInd w:val="0"/>
        <w:ind w:left="709" w:hanging="425"/>
        <w:textAlignment w:val="baseline"/>
        <w:rPr>
          <w:bCs/>
          <w:iCs/>
        </w:rPr>
      </w:pPr>
      <w:r>
        <w:t>souligne l’importance de veiller à la sûreté et la sécurité des gens de mer ainsi que la nécessité de prévoir des programmes de formation professionnelle visant à renforcer la capacité des équipages à lutter contre les cybermenaces et à faire face aux incidents de sécurité;</w:t>
      </w:r>
    </w:p>
    <w:p w:rsidRPr="00DE5DAE" w:rsidR="00E47B9A" w:rsidP="00E86C69" w:rsidRDefault="00E47B9A" w14:paraId="18BC2D55" w14:textId="77777777">
      <w:pPr>
        <w:widowControl w:val="0"/>
        <w:numPr>
          <w:ilvl w:val="0"/>
          <w:numId w:val="20"/>
        </w:numPr>
        <w:overflowPunct w:val="0"/>
        <w:autoSpaceDE w:val="0"/>
        <w:autoSpaceDN w:val="0"/>
        <w:adjustRightInd w:val="0"/>
        <w:ind w:left="709" w:hanging="425"/>
        <w:textAlignment w:val="baseline"/>
        <w:rPr>
          <w:bCs/>
          <w:iCs/>
        </w:rPr>
      </w:pPr>
      <w:r>
        <w:t>appelle de ses vœux la mise en place immédiate, au niveau de l’Union, d’une plateforme centralisée de surveillance afin de répondre aux besoins des acteurs civils comme militaires. L’intégration et une meilleure coordination des plateformes actuelles doivent permettre d’améliorer le partage d’informations au niveau européen dans le secteur maritime;</w:t>
      </w:r>
    </w:p>
    <w:p w:rsidRPr="00DE5DAE" w:rsidR="00E47B9A" w:rsidP="00E86C69" w:rsidRDefault="00E47B9A" w14:paraId="0623C58A" w14:textId="77777777">
      <w:pPr>
        <w:widowControl w:val="0"/>
        <w:numPr>
          <w:ilvl w:val="0"/>
          <w:numId w:val="20"/>
        </w:numPr>
        <w:overflowPunct w:val="0"/>
        <w:autoSpaceDE w:val="0"/>
        <w:autoSpaceDN w:val="0"/>
        <w:adjustRightInd w:val="0"/>
        <w:ind w:left="709" w:hanging="425"/>
        <w:textAlignment w:val="baseline"/>
        <w:rPr>
          <w:bCs/>
          <w:iCs/>
        </w:rPr>
      </w:pPr>
      <w:r>
        <w:t>estime qu’une collaboration continue et des discussions constructives sur le développement de la sûreté maritime doivent associer activement la société civile organisée de l’Union.</w:t>
      </w:r>
    </w:p>
    <w:p w:rsidRPr="00130576" w:rsidR="00E47B9A" w:rsidP="00E47B9A" w:rsidRDefault="00E47B9A" w14:paraId="255DF755" w14:textId="77777777">
      <w:pPr>
        <w:widowControl w:val="0"/>
        <w:ind w:left="709"/>
        <w:rPr>
          <w:bCs/>
          <w:iCs/>
        </w:rPr>
      </w:pP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9"/>
        <w:gridCol w:w="4293"/>
      </w:tblGrid>
      <w:tr w:rsidRPr="00A6689B" w:rsidR="00E47B9A" w:rsidTr="00195CCE" w14:paraId="0CE8956D" w14:textId="77777777">
        <w:tc>
          <w:tcPr>
            <w:tcW w:w="1556" w:type="pct"/>
          </w:tcPr>
          <w:p w:rsidRPr="00A6689B" w:rsidR="00E47B9A" w:rsidP="00195CCE" w:rsidRDefault="00E47B9A" w14:paraId="20E63433" w14:textId="77777777">
            <w:pPr>
              <w:spacing w:line="240" w:lineRule="auto"/>
              <w:rPr>
                <w:i/>
              </w:rPr>
            </w:pPr>
            <w:r>
              <w:rPr>
                <w:b/>
                <w:i/>
              </w:rPr>
              <w:t>Contact</w:t>
            </w:r>
          </w:p>
        </w:tc>
        <w:tc>
          <w:tcPr>
            <w:tcW w:w="3444" w:type="pct"/>
          </w:tcPr>
          <w:p w:rsidRPr="00A6689B" w:rsidR="00E47B9A" w:rsidP="00195CCE" w:rsidRDefault="00E47B9A" w14:paraId="3A6D4478" w14:textId="77777777">
            <w:pPr>
              <w:spacing w:line="240" w:lineRule="auto"/>
              <w:rPr>
                <w:i/>
              </w:rPr>
            </w:pPr>
            <w:r>
              <w:rPr>
                <w:i/>
              </w:rPr>
              <w:t>Ewa TOMASZEWSKA</w:t>
            </w:r>
          </w:p>
        </w:tc>
      </w:tr>
      <w:tr w:rsidRPr="00A6689B" w:rsidR="00E47B9A" w:rsidTr="00195CCE" w14:paraId="4C45C336" w14:textId="77777777">
        <w:tc>
          <w:tcPr>
            <w:tcW w:w="1556" w:type="pct"/>
          </w:tcPr>
          <w:p w:rsidRPr="00A6689B" w:rsidR="00E47B9A" w:rsidP="00E47B9A" w:rsidRDefault="00E47B9A" w14:paraId="51B9244E" w14:textId="77777777">
            <w:pPr>
              <w:spacing w:line="240" w:lineRule="auto"/>
              <w:rPr>
                <w:i/>
              </w:rPr>
            </w:pPr>
            <w:r>
              <w:rPr>
                <w:i/>
              </w:rPr>
              <w:t>Tél.</w:t>
            </w:r>
          </w:p>
        </w:tc>
        <w:tc>
          <w:tcPr>
            <w:tcW w:w="3444" w:type="pct"/>
          </w:tcPr>
          <w:p w:rsidRPr="00A6689B" w:rsidR="00E47B9A" w:rsidP="00E47B9A" w:rsidRDefault="00E47B9A" w14:paraId="46B29688" w14:textId="77777777">
            <w:pPr>
              <w:spacing w:line="240" w:lineRule="auto"/>
              <w:rPr>
                <w:i/>
              </w:rPr>
            </w:pPr>
            <w:r>
              <w:rPr>
                <w:i/>
              </w:rPr>
              <w:t>+32 25469724</w:t>
            </w:r>
          </w:p>
        </w:tc>
      </w:tr>
      <w:tr w:rsidRPr="00A6689B" w:rsidR="00E47B9A" w:rsidTr="00195CCE" w14:paraId="25D5BCCD" w14:textId="77777777">
        <w:tc>
          <w:tcPr>
            <w:tcW w:w="1556" w:type="pct"/>
          </w:tcPr>
          <w:p w:rsidRPr="00A6689B" w:rsidR="00E47B9A" w:rsidP="00E47B9A" w:rsidRDefault="00E47B9A" w14:paraId="2B5EC65C" w14:textId="77777777">
            <w:pPr>
              <w:spacing w:line="240" w:lineRule="auto"/>
              <w:rPr>
                <w:i/>
              </w:rPr>
            </w:pPr>
            <w:r>
              <w:rPr>
                <w:i/>
              </w:rPr>
              <w:t>Courriel</w:t>
            </w:r>
          </w:p>
        </w:tc>
        <w:tc>
          <w:tcPr>
            <w:tcW w:w="3444" w:type="pct"/>
          </w:tcPr>
          <w:p w:rsidRPr="00A6689B" w:rsidR="00E47B9A" w:rsidP="00E47B9A" w:rsidRDefault="00E47B9A" w14:paraId="6DEC85CB" w14:textId="77777777">
            <w:pPr>
              <w:spacing w:line="240" w:lineRule="auto"/>
              <w:rPr>
                <w:i/>
              </w:rPr>
            </w:pPr>
            <w:r>
              <w:rPr>
                <w:rStyle w:val="Hyperlink"/>
                <w:i/>
              </w:rPr>
              <w:t>Ewa.Tomaszewska@eesc.europa.eu</w:t>
            </w:r>
          </w:p>
        </w:tc>
      </w:tr>
    </w:tbl>
    <w:p w:rsidR="00E47B9A" w:rsidP="00E47B9A" w:rsidRDefault="00E47B9A" w14:paraId="22CFB0F1" w14:textId="14C3D962">
      <w:pPr>
        <w:keepLines/>
        <w:jc w:val="left"/>
        <w:rPr>
          <w:b/>
          <w:bCs/>
          <w:sz w:val="28"/>
          <w:szCs w:val="28"/>
        </w:rPr>
      </w:pPr>
    </w:p>
    <w:p w:rsidRPr="0001419F" w:rsidR="00E47B9A" w:rsidP="00CF2BFD" w:rsidRDefault="006F4895" w14:paraId="35F99471" w14:textId="37227BFB">
      <w:pPr>
        <w:pStyle w:val="ListParagraph"/>
        <w:keepNext/>
        <w:widowControl w:val="0"/>
        <w:numPr>
          <w:ilvl w:val="0"/>
          <w:numId w:val="23"/>
        </w:numPr>
        <w:ind w:left="426" w:hanging="426"/>
        <w:rPr>
          <w:sz w:val="20"/>
        </w:rPr>
      </w:pPr>
      <w:hyperlink w:history="1" r:id="rId55">
        <w:r w:rsidRPr="0001419F" w:rsidR="00E47B9A">
          <w:rPr>
            <w:rStyle w:val="Hyperlink"/>
            <w:b/>
            <w:i/>
            <w:sz w:val="28"/>
          </w:rPr>
          <w:t>Arctique: comment offrir à une région géostratégique un avenir pacifique, durable et prospère</w:t>
        </w:r>
      </w:hyperlink>
    </w:p>
    <w:p w:rsidRPr="00A6689B" w:rsidR="00E47B9A" w:rsidP="00CF2BFD" w:rsidRDefault="00E47B9A" w14:paraId="42C08B9E" w14:textId="77777777">
      <w:pPr>
        <w:keepNext/>
        <w:tabs>
          <w:tab w:val="center" w:pos="284"/>
        </w:tabs>
        <w:ind w:left="266" w:hanging="266"/>
        <w:rPr>
          <w:b/>
        </w:rPr>
      </w:pPr>
    </w:p>
    <w:tbl>
      <w:tblPr>
        <w:tblStyle w:val="TableGrid"/>
        <w:tblW w:w="494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9"/>
        <w:gridCol w:w="6821"/>
      </w:tblGrid>
      <w:tr w:rsidRPr="00A6689B" w:rsidR="00E47B9A" w:rsidTr="00195CCE" w14:paraId="29DCC89C" w14:textId="77777777">
        <w:tc>
          <w:tcPr>
            <w:tcW w:w="1107" w:type="pct"/>
          </w:tcPr>
          <w:p w:rsidRPr="00A6689B" w:rsidR="00E47B9A" w:rsidP="00CF2BFD" w:rsidRDefault="00E47B9A" w14:paraId="6FB8FAB2" w14:textId="77777777">
            <w:pPr>
              <w:keepNext/>
              <w:tabs>
                <w:tab w:val="center" w:pos="284"/>
              </w:tabs>
              <w:ind w:left="266" w:hanging="266"/>
              <w:rPr>
                <w:b/>
              </w:rPr>
            </w:pPr>
            <w:r>
              <w:rPr>
                <w:b/>
              </w:rPr>
              <w:t>Rapporteur</w:t>
            </w:r>
          </w:p>
        </w:tc>
        <w:tc>
          <w:tcPr>
            <w:tcW w:w="3893" w:type="pct"/>
          </w:tcPr>
          <w:p w:rsidRPr="00A6689B" w:rsidR="00E47B9A" w:rsidP="00CF2BFD" w:rsidRDefault="00E47B9A" w14:paraId="267677C0" w14:textId="0EF4B2CD">
            <w:pPr>
              <w:keepNext/>
            </w:pPr>
            <w:r>
              <w:t xml:space="preserve">Anders LADEFOGED (groupe des employeurs — </w:t>
            </w:r>
            <w:r w:rsidR="0001419F">
              <w:t>DK</w:t>
            </w:r>
            <w:r>
              <w:t>)</w:t>
            </w:r>
          </w:p>
        </w:tc>
      </w:tr>
      <w:tr w:rsidRPr="00A6689B" w:rsidR="00E47B9A" w:rsidTr="00195CCE" w14:paraId="592D47E2" w14:textId="77777777">
        <w:tc>
          <w:tcPr>
            <w:tcW w:w="1107" w:type="pct"/>
          </w:tcPr>
          <w:p w:rsidRPr="00A6689B" w:rsidR="00E47B9A" w:rsidP="00CF2BFD" w:rsidRDefault="00E47B9A" w14:paraId="1608C392" w14:textId="77777777">
            <w:pPr>
              <w:keepNext/>
              <w:tabs>
                <w:tab w:val="center" w:pos="284"/>
              </w:tabs>
              <w:ind w:left="266" w:hanging="266"/>
              <w:rPr>
                <w:b/>
              </w:rPr>
            </w:pPr>
            <w:r>
              <w:rPr>
                <w:b/>
              </w:rPr>
              <w:t>Corapporteur</w:t>
            </w:r>
          </w:p>
        </w:tc>
        <w:tc>
          <w:tcPr>
            <w:tcW w:w="3893" w:type="pct"/>
          </w:tcPr>
          <w:p w:rsidRPr="00A6689B" w:rsidR="00E47B9A" w:rsidP="00CF2BFD" w:rsidRDefault="00E47B9A" w14:paraId="694362AC" w14:textId="3FF65E71">
            <w:pPr>
              <w:keepNext/>
            </w:pPr>
            <w:r>
              <w:t xml:space="preserve">Christian MOOS (groupe des organisations de la société civile — </w:t>
            </w:r>
            <w:r w:rsidR="0001419F">
              <w:t>DE</w:t>
            </w:r>
            <w:r>
              <w:t>)</w:t>
            </w:r>
          </w:p>
        </w:tc>
      </w:tr>
      <w:tr w:rsidRPr="00A6689B" w:rsidR="00E47B9A" w:rsidTr="00195CCE" w14:paraId="591C7D40" w14:textId="77777777">
        <w:tc>
          <w:tcPr>
            <w:tcW w:w="5000" w:type="pct"/>
            <w:gridSpan w:val="2"/>
          </w:tcPr>
          <w:p w:rsidRPr="00A6689B" w:rsidR="00E47B9A" w:rsidP="00CF2BFD" w:rsidRDefault="00E47B9A" w14:paraId="392B9C6B" w14:textId="77777777">
            <w:pPr>
              <w:keepNext/>
              <w:tabs>
                <w:tab w:val="center" w:pos="284"/>
              </w:tabs>
              <w:spacing w:line="160" w:lineRule="exact"/>
              <w:ind w:left="266" w:hanging="266"/>
              <w:rPr>
                <w:lang w:val="en-US"/>
              </w:rPr>
            </w:pPr>
          </w:p>
        </w:tc>
      </w:tr>
      <w:tr w:rsidRPr="00A6689B" w:rsidR="00E47B9A" w:rsidTr="00195CCE" w14:paraId="0AC735EA" w14:textId="77777777">
        <w:tc>
          <w:tcPr>
            <w:tcW w:w="1107" w:type="pct"/>
            <w:vMerge w:val="restart"/>
          </w:tcPr>
          <w:p w:rsidRPr="00A6689B" w:rsidR="00E47B9A" w:rsidP="00CF2BFD" w:rsidRDefault="00E47B9A" w14:paraId="34FDEBEC" w14:textId="77777777">
            <w:pPr>
              <w:keepNext/>
              <w:tabs>
                <w:tab w:val="center" w:pos="284"/>
              </w:tabs>
              <w:ind w:left="266" w:hanging="266"/>
              <w:rPr>
                <w:b/>
              </w:rPr>
            </w:pPr>
            <w:r>
              <w:rPr>
                <w:b/>
              </w:rPr>
              <w:t>Références</w:t>
            </w:r>
          </w:p>
        </w:tc>
        <w:tc>
          <w:tcPr>
            <w:tcW w:w="3893" w:type="pct"/>
          </w:tcPr>
          <w:p w:rsidR="0001419F" w:rsidP="00CF2BFD" w:rsidRDefault="0001419F" w14:paraId="7D07592B" w14:textId="6CD1C31F">
            <w:pPr>
              <w:keepNext/>
              <w:tabs>
                <w:tab w:val="center" w:pos="284"/>
              </w:tabs>
              <w:ind w:left="266" w:hanging="266"/>
              <w:rPr>
                <w:lang w:val="fr-BE"/>
              </w:rPr>
            </w:pPr>
            <w:r>
              <w:t>Rapport d</w:t>
            </w:r>
            <w:r w:rsidR="0048572F">
              <w:rPr>
                <w:lang w:val="fr-BE"/>
              </w:rPr>
              <w:t>’</w:t>
            </w:r>
            <w:r>
              <w:rPr>
                <w:lang w:val="fr-BE"/>
              </w:rPr>
              <w:t>information</w:t>
            </w:r>
          </w:p>
          <w:p w:rsidRPr="00A6689B" w:rsidR="00E47B9A" w:rsidP="00CF2BFD" w:rsidRDefault="00E47B9A" w14:paraId="0C509740" w14:textId="58537814">
            <w:pPr>
              <w:keepNext/>
              <w:tabs>
                <w:tab w:val="center" w:pos="284"/>
              </w:tabs>
              <w:ind w:left="266" w:hanging="266"/>
            </w:pPr>
            <w:r>
              <w:t>EESC-2023-01717-00-00-R</w:t>
            </w:r>
            <w:r w:rsidR="0001419F">
              <w:t>I</w:t>
            </w:r>
          </w:p>
        </w:tc>
      </w:tr>
      <w:tr w:rsidRPr="00A6689B" w:rsidR="00E47B9A" w:rsidTr="00195CCE" w14:paraId="3A3BF408" w14:textId="77777777">
        <w:tc>
          <w:tcPr>
            <w:tcW w:w="1107" w:type="pct"/>
            <w:vMerge/>
          </w:tcPr>
          <w:p w:rsidRPr="00A6689B" w:rsidR="00E47B9A" w:rsidP="00CF2BFD" w:rsidRDefault="00E47B9A" w14:paraId="176C0650" w14:textId="77777777">
            <w:pPr>
              <w:keepNext/>
              <w:tabs>
                <w:tab w:val="center" w:pos="284"/>
              </w:tabs>
              <w:ind w:left="266" w:hanging="266"/>
              <w:rPr>
                <w:b/>
                <w:lang w:val="en-US"/>
              </w:rPr>
            </w:pPr>
          </w:p>
        </w:tc>
        <w:tc>
          <w:tcPr>
            <w:tcW w:w="3893" w:type="pct"/>
          </w:tcPr>
          <w:p w:rsidRPr="00A6689B" w:rsidR="00E47B9A" w:rsidP="00CF2BFD" w:rsidRDefault="00E47B9A" w14:paraId="263AD64C" w14:textId="77777777">
            <w:pPr>
              <w:keepNext/>
              <w:tabs>
                <w:tab w:val="center" w:pos="284"/>
              </w:tabs>
              <w:ind w:left="266" w:hanging="266"/>
              <w:rPr>
                <w:lang w:val="en-US"/>
              </w:rPr>
            </w:pPr>
          </w:p>
        </w:tc>
      </w:tr>
    </w:tbl>
    <w:p w:rsidRPr="00A6689B" w:rsidR="00E47B9A" w:rsidP="00CF2BFD" w:rsidRDefault="00E47B9A" w14:paraId="290DA941" w14:textId="77777777">
      <w:pPr>
        <w:keepNext/>
        <w:keepLines/>
        <w:tabs>
          <w:tab w:val="center" w:pos="284"/>
        </w:tabs>
        <w:ind w:left="266" w:hanging="266"/>
        <w:rPr>
          <w:b/>
        </w:rPr>
      </w:pPr>
      <w:r>
        <w:rPr>
          <w:b/>
        </w:rPr>
        <w:t>Points clés</w:t>
      </w:r>
    </w:p>
    <w:p w:rsidRPr="00A6689B" w:rsidR="00E47B9A" w:rsidP="00CF2BFD" w:rsidRDefault="00E47B9A" w14:paraId="0C22EDFF" w14:textId="77777777">
      <w:pPr>
        <w:keepNext/>
        <w:keepLines/>
        <w:tabs>
          <w:tab w:val="center" w:pos="284"/>
        </w:tabs>
        <w:ind w:left="266" w:hanging="266"/>
        <w:rPr>
          <w:b/>
        </w:rPr>
      </w:pPr>
    </w:p>
    <w:p w:rsidRPr="00A6689B" w:rsidR="00E47B9A" w:rsidP="00CF2BFD" w:rsidRDefault="00E47B9A" w14:paraId="3310F8C6" w14:textId="77777777">
      <w:pPr>
        <w:keepNext/>
        <w:rPr>
          <w:bCs/>
          <w:iCs/>
        </w:rPr>
      </w:pPr>
      <w:r>
        <w:t>Le CESE:</w:t>
      </w:r>
    </w:p>
    <w:p w:rsidRPr="00A6689B" w:rsidR="00E47B9A" w:rsidP="00CF2BFD" w:rsidRDefault="00E47B9A" w14:paraId="2D24930E" w14:textId="77777777">
      <w:pPr>
        <w:keepNext/>
        <w:rPr>
          <w:bCs/>
          <w:iCs/>
        </w:rPr>
      </w:pPr>
    </w:p>
    <w:p w:rsidR="00E47B9A" w:rsidP="00CF2BFD" w:rsidRDefault="00E47B9A" w14:paraId="6F2A52BB" w14:textId="77777777">
      <w:pPr>
        <w:keepNext/>
        <w:widowControl w:val="0"/>
        <w:numPr>
          <w:ilvl w:val="0"/>
          <w:numId w:val="20"/>
        </w:numPr>
        <w:overflowPunct w:val="0"/>
        <w:autoSpaceDE w:val="0"/>
        <w:autoSpaceDN w:val="0"/>
        <w:adjustRightInd w:val="0"/>
        <w:ind w:hanging="567"/>
        <w:textAlignment w:val="baseline"/>
        <w:rPr>
          <w:bCs/>
          <w:iCs/>
        </w:rPr>
      </w:pPr>
      <w:r>
        <w:t>vise à mettre en lumière dans le présent rapport l’importance d’une stratégie européenne globale et cohérente pour l’Arctique;</w:t>
      </w:r>
    </w:p>
    <w:p w:rsidRPr="005C714A" w:rsidR="00E47B9A" w:rsidP="00E86C69" w:rsidRDefault="00E47B9A" w14:paraId="45B4B72F" w14:textId="77777777">
      <w:pPr>
        <w:widowControl w:val="0"/>
        <w:numPr>
          <w:ilvl w:val="0"/>
          <w:numId w:val="20"/>
        </w:numPr>
        <w:overflowPunct w:val="0"/>
        <w:autoSpaceDE w:val="0"/>
        <w:autoSpaceDN w:val="0"/>
        <w:adjustRightInd w:val="0"/>
        <w:ind w:hanging="567"/>
        <w:textAlignment w:val="baseline"/>
        <w:rPr>
          <w:bCs/>
          <w:iCs/>
        </w:rPr>
      </w:pPr>
      <w:r>
        <w:t>estime qu’il est de l’intérêt de l’Union européenne de veiller à ce que l’Arctique, au regard de l’importance géostratégique de cette région du monde, ne voie pas les faibles tensions qui y prévalent dégénérer de façon définitive en fortes tensions, avec tous les risques inhérents à des frictions involontaires et à une escalade;</w:t>
      </w:r>
    </w:p>
    <w:p w:rsidR="00E47B9A" w:rsidP="00E86C69" w:rsidRDefault="00E47B9A" w14:paraId="40E46B9A" w14:textId="77777777">
      <w:pPr>
        <w:widowControl w:val="0"/>
        <w:numPr>
          <w:ilvl w:val="0"/>
          <w:numId w:val="20"/>
        </w:numPr>
        <w:overflowPunct w:val="0"/>
        <w:autoSpaceDE w:val="0"/>
        <w:autoSpaceDN w:val="0"/>
        <w:adjustRightInd w:val="0"/>
        <w:ind w:hanging="567"/>
        <w:textAlignment w:val="baseline"/>
        <w:rPr>
          <w:bCs/>
          <w:iCs/>
        </w:rPr>
      </w:pPr>
      <w:r>
        <w:t>au vu de la transformation de la région arctique et des graves conséquences de la guerre menée par la Russie en Ukraine sur la coopération transfrontalière locale, insiste tout particulièrement dans le présent rapport sur les besoins des populations locales, notamment les peuples autochtones, et sur les attentes qui sont les leurs en matière de développement économique et social;</w:t>
      </w:r>
    </w:p>
    <w:p w:rsidRPr="0044535F" w:rsidR="00E47B9A" w:rsidP="00E86C69" w:rsidRDefault="00E47B9A" w14:paraId="1600D182" w14:textId="77777777">
      <w:pPr>
        <w:widowControl w:val="0"/>
        <w:numPr>
          <w:ilvl w:val="0"/>
          <w:numId w:val="20"/>
        </w:numPr>
        <w:overflowPunct w:val="0"/>
        <w:autoSpaceDE w:val="0"/>
        <w:autoSpaceDN w:val="0"/>
        <w:adjustRightInd w:val="0"/>
        <w:ind w:hanging="567"/>
        <w:textAlignment w:val="baseline"/>
        <w:rPr>
          <w:bCs/>
          <w:iCs/>
        </w:rPr>
      </w:pPr>
      <w:r>
        <w:t>relève que les groupes d’intérêt locaux, tout en faisant preuve d’ouverture, et sachant que, dans une certaine mesure, ils plaident pour recevoir davantage d’investissements directs étrangers et d’engagement extérieur, souhaitent que les projets d’investissement améliorent le développement économique durable dans les régions arctiques et étendent les possibilités d’éducation et d’emploi pour la population locale, tout en attirant une main-d’œuvre étrangère qualifiée et en préservant les conditions environnementales nécessaires aux modes de vie traditionnels;</w:t>
      </w:r>
    </w:p>
    <w:p w:rsidR="00E47B9A" w:rsidP="00E86C69" w:rsidRDefault="00E47B9A" w14:paraId="3872248B" w14:textId="77777777">
      <w:pPr>
        <w:pStyle w:val="ListParagraph"/>
        <w:widowControl w:val="0"/>
        <w:numPr>
          <w:ilvl w:val="0"/>
          <w:numId w:val="20"/>
        </w:numPr>
        <w:spacing w:after="200" w:line="276" w:lineRule="auto"/>
        <w:ind w:hanging="567"/>
        <w:rPr>
          <w:bCs/>
          <w:iCs/>
        </w:rPr>
      </w:pPr>
      <w:r>
        <w:t>fait valoir que dans l’Arctique européen, il existe d’importants gisements de matières premières critiques qui sont nécessaires à la transition écologique et numérique de l’Union, et qui pourraient conférer à l’Europe un plus haut degré d’autonomie stratégique;</w:t>
      </w:r>
    </w:p>
    <w:p w:rsidRPr="0044535F" w:rsidR="00E47B9A" w:rsidP="00E86C69" w:rsidRDefault="00E47B9A" w14:paraId="0DF0CACE" w14:textId="77777777">
      <w:pPr>
        <w:pStyle w:val="ListParagraph"/>
        <w:widowControl w:val="0"/>
        <w:numPr>
          <w:ilvl w:val="0"/>
          <w:numId w:val="20"/>
        </w:numPr>
        <w:spacing w:after="200" w:line="276" w:lineRule="auto"/>
        <w:ind w:hanging="567"/>
        <w:rPr>
          <w:bCs/>
          <w:iCs/>
        </w:rPr>
      </w:pPr>
      <w:r>
        <w:t>considère, encore en raison de ses gisements considérables de matières premières critiques qui sont nécessaires aux technologies vertes, mais aussi de son potentiel en matière d’énergies renouvelables telles que les énergies hydraulique, éolienne et solaire ou encore l’hydrogène vert, l’Arctique sera appelé à jouer, s’il est développé de manière durable, un rôle déterminant dans la lutte contre le changement climatique.</w:t>
      </w: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21"/>
        <w:gridCol w:w="4911"/>
      </w:tblGrid>
      <w:tr w:rsidRPr="00A6689B" w:rsidR="00E47B9A" w:rsidTr="00195CCE" w14:paraId="5D459E31" w14:textId="77777777">
        <w:tc>
          <w:tcPr>
            <w:tcW w:w="1060" w:type="pct"/>
          </w:tcPr>
          <w:p w:rsidRPr="00A6689B" w:rsidR="00E47B9A" w:rsidP="00195CCE" w:rsidRDefault="00E47B9A" w14:paraId="69A1004C" w14:textId="77777777">
            <w:pPr>
              <w:keepNext/>
              <w:spacing w:line="240" w:lineRule="auto"/>
              <w:rPr>
                <w:i/>
              </w:rPr>
            </w:pPr>
            <w:r>
              <w:rPr>
                <w:b/>
                <w:i/>
              </w:rPr>
              <w:t>Contact</w:t>
            </w:r>
          </w:p>
        </w:tc>
        <w:tc>
          <w:tcPr>
            <w:tcW w:w="3940" w:type="pct"/>
          </w:tcPr>
          <w:p w:rsidRPr="00A6689B" w:rsidR="00E47B9A" w:rsidP="00195CCE" w:rsidRDefault="00E47B9A" w14:paraId="60955E0A" w14:textId="77777777">
            <w:pPr>
              <w:keepNext/>
              <w:spacing w:line="240" w:lineRule="auto"/>
              <w:rPr>
                <w:i/>
              </w:rPr>
            </w:pPr>
            <w:proofErr w:type="spellStart"/>
            <w:r>
              <w:rPr>
                <w:i/>
              </w:rPr>
              <w:t>Maarit</w:t>
            </w:r>
            <w:proofErr w:type="spellEnd"/>
            <w:r>
              <w:rPr>
                <w:i/>
              </w:rPr>
              <w:t> LAURILA</w:t>
            </w:r>
          </w:p>
        </w:tc>
      </w:tr>
      <w:tr w:rsidRPr="00A6689B" w:rsidR="00E47B9A" w:rsidTr="00195CCE" w14:paraId="7912B418" w14:textId="77777777">
        <w:tc>
          <w:tcPr>
            <w:tcW w:w="1060" w:type="pct"/>
          </w:tcPr>
          <w:p w:rsidRPr="00A6689B" w:rsidR="00E47B9A" w:rsidP="00195CCE" w:rsidRDefault="00E47B9A" w14:paraId="52D2A19B" w14:textId="77777777">
            <w:pPr>
              <w:spacing w:line="240" w:lineRule="auto"/>
              <w:rPr>
                <w:i/>
              </w:rPr>
            </w:pPr>
            <w:r>
              <w:rPr>
                <w:i/>
              </w:rPr>
              <w:t>Tél.</w:t>
            </w:r>
          </w:p>
        </w:tc>
        <w:tc>
          <w:tcPr>
            <w:tcW w:w="3940" w:type="pct"/>
          </w:tcPr>
          <w:p w:rsidRPr="00A6689B" w:rsidR="00E47B9A" w:rsidP="00195CCE" w:rsidRDefault="00E47B9A" w14:paraId="758E8F0C" w14:textId="77777777">
            <w:pPr>
              <w:spacing w:line="240" w:lineRule="auto"/>
              <w:rPr>
                <w:i/>
              </w:rPr>
            </w:pPr>
            <w:r>
              <w:rPr>
                <w:i/>
              </w:rPr>
              <w:t>+32 25469739</w:t>
            </w:r>
          </w:p>
        </w:tc>
      </w:tr>
      <w:tr w:rsidRPr="00A6689B" w:rsidR="00E47B9A" w:rsidTr="00195CCE" w14:paraId="60D73E0A" w14:textId="77777777">
        <w:tc>
          <w:tcPr>
            <w:tcW w:w="1060" w:type="pct"/>
          </w:tcPr>
          <w:p w:rsidRPr="00A6689B" w:rsidR="00E47B9A" w:rsidP="00195CCE" w:rsidRDefault="00E47B9A" w14:paraId="5D93FCEB" w14:textId="77777777">
            <w:pPr>
              <w:spacing w:line="240" w:lineRule="auto"/>
              <w:rPr>
                <w:i/>
              </w:rPr>
            </w:pPr>
            <w:r>
              <w:rPr>
                <w:i/>
              </w:rPr>
              <w:t>Courriel</w:t>
            </w:r>
          </w:p>
        </w:tc>
        <w:tc>
          <w:tcPr>
            <w:tcW w:w="3940" w:type="pct"/>
          </w:tcPr>
          <w:p w:rsidRPr="00A6689B" w:rsidR="00E47B9A" w:rsidP="00195CCE" w:rsidRDefault="00E47B9A" w14:paraId="115ABB7C" w14:textId="77777777">
            <w:pPr>
              <w:spacing w:line="240" w:lineRule="auto"/>
              <w:rPr>
                <w:i/>
              </w:rPr>
            </w:pPr>
            <w:r>
              <w:rPr>
                <w:rStyle w:val="Hyperlink"/>
                <w:i/>
              </w:rPr>
              <w:t>Maarit.Laurila@eesc.europa.eu</w:t>
            </w:r>
          </w:p>
        </w:tc>
      </w:tr>
    </w:tbl>
    <w:p w:rsidR="00E47B9A" w:rsidP="00E47B9A" w:rsidRDefault="00E47B9A" w14:paraId="49744AA3" w14:textId="28E3393E">
      <w:pPr>
        <w:keepLines/>
        <w:jc w:val="left"/>
        <w:rPr>
          <w:b/>
          <w:bCs/>
          <w:sz w:val="28"/>
          <w:szCs w:val="28"/>
        </w:rPr>
      </w:pPr>
    </w:p>
    <w:p w:rsidRPr="004D1601" w:rsidR="00800885" w:rsidP="00CF2BFD" w:rsidRDefault="006F4895" w14:paraId="7261DB40" w14:textId="0821AB68">
      <w:pPr>
        <w:keepNext/>
        <w:widowControl w:val="0"/>
        <w:numPr>
          <w:ilvl w:val="0"/>
          <w:numId w:val="7"/>
        </w:numPr>
        <w:overflowPunct w:val="0"/>
        <w:autoSpaceDE w:val="0"/>
        <w:autoSpaceDN w:val="0"/>
        <w:adjustRightInd w:val="0"/>
        <w:ind w:left="426" w:hanging="426"/>
        <w:textAlignment w:val="baseline"/>
        <w:rPr>
          <w:b/>
          <w:bCs/>
          <w:i/>
          <w:iCs/>
          <w:sz w:val="28"/>
          <w:szCs w:val="28"/>
        </w:rPr>
      </w:pPr>
      <w:hyperlink w:history="1" r:id="rId56">
        <w:r w:rsidR="00800885">
          <w:rPr>
            <w:rStyle w:val="Hyperlink"/>
            <w:b/>
            <w:i/>
            <w:sz w:val="28"/>
          </w:rPr>
          <w:t>Stratégie de l’Union en matière de santé mondiale — Une</w:t>
        </w:r>
        <w:r w:rsidR="00CF2BFD">
          <w:rPr>
            <w:rStyle w:val="Hyperlink"/>
            <w:b/>
            <w:i/>
            <w:sz w:val="28"/>
          </w:rPr>
          <w:t xml:space="preserve"> </w:t>
        </w:r>
        <w:r w:rsidR="00800885">
          <w:rPr>
            <w:rStyle w:val="Hyperlink"/>
            <w:b/>
            <w:i/>
            <w:sz w:val="28"/>
          </w:rPr>
          <w:t>meilleure santé pour tous dans un monde en mutation</w:t>
        </w:r>
      </w:hyperlink>
    </w:p>
    <w:p w:rsidRPr="00A6689B" w:rsidR="00800885" w:rsidP="00CF2BFD" w:rsidRDefault="00800885" w14:paraId="2F252973" w14:textId="77777777">
      <w:pPr>
        <w:keepNext/>
        <w:tabs>
          <w:tab w:val="center" w:pos="284"/>
        </w:tabs>
        <w:ind w:left="266" w:hanging="266"/>
        <w:rPr>
          <w:b/>
        </w:rPr>
      </w:pPr>
    </w:p>
    <w:tbl>
      <w:tblPr>
        <w:tblStyle w:val="TableGrid"/>
        <w:tblW w:w="494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9"/>
        <w:gridCol w:w="6819"/>
      </w:tblGrid>
      <w:tr w:rsidRPr="00A6689B" w:rsidR="00800885" w:rsidTr="00177A3F" w14:paraId="3873E9E5" w14:textId="77777777">
        <w:tc>
          <w:tcPr>
            <w:tcW w:w="1107" w:type="pct"/>
          </w:tcPr>
          <w:p w:rsidRPr="00A6689B" w:rsidR="00800885" w:rsidP="00CF2BFD" w:rsidRDefault="00800885" w14:paraId="3FB3FCB7" w14:textId="77777777">
            <w:pPr>
              <w:keepNext/>
              <w:tabs>
                <w:tab w:val="center" w:pos="284"/>
              </w:tabs>
              <w:ind w:left="266" w:hanging="266"/>
              <w:rPr>
                <w:b/>
              </w:rPr>
            </w:pPr>
            <w:r>
              <w:rPr>
                <w:b/>
              </w:rPr>
              <w:t>Rapporteurs</w:t>
            </w:r>
          </w:p>
        </w:tc>
        <w:tc>
          <w:tcPr>
            <w:tcW w:w="3893" w:type="pct"/>
          </w:tcPr>
          <w:p w:rsidRPr="00800885" w:rsidR="00800885" w:rsidP="00CF2BFD" w:rsidRDefault="00800885" w14:paraId="76F2CD72" w14:textId="343A291D">
            <w:pPr>
              <w:keepNext/>
              <w:tabs>
                <w:tab w:val="center" w:pos="284"/>
              </w:tabs>
              <w:ind w:left="266" w:hanging="266"/>
              <w:rPr>
                <w:bCs/>
              </w:rPr>
            </w:pPr>
            <w:r w:rsidRPr="00800885">
              <w:rPr>
                <w:bCs/>
              </w:rPr>
              <w:t>Paulo BARROS VALE (groupe des employeurs — PT)</w:t>
            </w:r>
          </w:p>
          <w:p w:rsidRPr="00800885" w:rsidR="00800885" w:rsidP="00CF2BFD" w:rsidRDefault="00800885" w14:paraId="5BC08DDE" w14:textId="4EF7CE38">
            <w:pPr>
              <w:keepNext/>
              <w:tabs>
                <w:tab w:val="center" w:pos="284"/>
              </w:tabs>
              <w:ind w:left="266" w:hanging="266"/>
              <w:rPr>
                <w:bCs/>
              </w:rPr>
            </w:pPr>
            <w:r w:rsidRPr="00800885">
              <w:rPr>
                <w:bCs/>
              </w:rPr>
              <w:t xml:space="preserve">Carlos Manuel TRINDADE (groupe des travailleurs — PT) </w:t>
            </w:r>
          </w:p>
          <w:p w:rsidRPr="00A6689B" w:rsidR="00800885" w:rsidP="00CF2BFD" w:rsidRDefault="00800885" w14:paraId="050F5671" w14:textId="54E41E93">
            <w:pPr>
              <w:keepNext/>
              <w:tabs>
                <w:tab w:val="center" w:pos="284"/>
              </w:tabs>
              <w:ind w:left="266" w:hanging="266"/>
            </w:pPr>
            <w:proofErr w:type="spellStart"/>
            <w:r w:rsidRPr="00800885">
              <w:rPr>
                <w:bCs/>
              </w:rPr>
              <w:t>Danko</w:t>
            </w:r>
            <w:proofErr w:type="spellEnd"/>
            <w:r w:rsidRPr="00800885">
              <w:rPr>
                <w:bCs/>
              </w:rPr>
              <w:t> RELIĆ (</w:t>
            </w:r>
            <w:r>
              <w:t>groupe des organisations de la société civile — HR)</w:t>
            </w:r>
          </w:p>
        </w:tc>
      </w:tr>
      <w:tr w:rsidRPr="00A6689B" w:rsidR="00800885" w:rsidTr="00177A3F" w14:paraId="35AE3634" w14:textId="77777777">
        <w:tc>
          <w:tcPr>
            <w:tcW w:w="5000" w:type="pct"/>
            <w:gridSpan w:val="2"/>
          </w:tcPr>
          <w:p w:rsidRPr="00A6689B" w:rsidR="00800885" w:rsidP="00CF2BFD" w:rsidRDefault="00800885" w14:paraId="51E0BC8C" w14:textId="77777777">
            <w:pPr>
              <w:keepNext/>
              <w:tabs>
                <w:tab w:val="center" w:pos="284"/>
              </w:tabs>
              <w:spacing w:line="160" w:lineRule="exact"/>
              <w:ind w:left="266" w:hanging="266"/>
              <w:rPr>
                <w:lang w:val="en-US"/>
              </w:rPr>
            </w:pPr>
          </w:p>
        </w:tc>
      </w:tr>
      <w:tr w:rsidRPr="00A6689B" w:rsidR="00800885" w:rsidTr="00177A3F" w14:paraId="7636A14A" w14:textId="77777777">
        <w:tc>
          <w:tcPr>
            <w:tcW w:w="1107" w:type="pct"/>
          </w:tcPr>
          <w:p w:rsidRPr="00A6689B" w:rsidR="00800885" w:rsidP="00CF2BFD" w:rsidRDefault="00800885" w14:paraId="77623F94" w14:textId="77777777">
            <w:pPr>
              <w:keepNext/>
              <w:tabs>
                <w:tab w:val="center" w:pos="284"/>
              </w:tabs>
              <w:ind w:left="266" w:hanging="266"/>
              <w:rPr>
                <w:b/>
              </w:rPr>
            </w:pPr>
            <w:r>
              <w:rPr>
                <w:b/>
              </w:rPr>
              <w:t>Références</w:t>
            </w:r>
          </w:p>
        </w:tc>
        <w:tc>
          <w:tcPr>
            <w:tcW w:w="3893" w:type="pct"/>
          </w:tcPr>
          <w:p w:rsidR="00800885" w:rsidP="00CF2BFD" w:rsidRDefault="00800885" w14:paraId="494C72DE" w14:textId="77777777">
            <w:pPr>
              <w:keepNext/>
              <w:tabs>
                <w:tab w:val="center" w:pos="284"/>
              </w:tabs>
              <w:ind w:left="266" w:hanging="266"/>
              <w:jc w:val="left"/>
            </w:pPr>
            <w:r>
              <w:t>COM(2022) 675 final</w:t>
            </w:r>
          </w:p>
          <w:p w:rsidRPr="00A6689B" w:rsidR="00800885" w:rsidP="00CF2BFD" w:rsidRDefault="00800885" w14:paraId="0F2E170A" w14:textId="1DE4AC06">
            <w:pPr>
              <w:keepNext/>
              <w:tabs>
                <w:tab w:val="center" w:pos="284"/>
              </w:tabs>
              <w:ind w:left="266" w:hanging="266"/>
              <w:jc w:val="left"/>
            </w:pPr>
            <w:r>
              <w:t>EESC-2023-01885-00-00-A</w:t>
            </w:r>
            <w:r w:rsidR="00411F4F">
              <w:t>C</w:t>
            </w:r>
          </w:p>
        </w:tc>
      </w:tr>
    </w:tbl>
    <w:p w:rsidRPr="00A6689B" w:rsidR="00800885" w:rsidP="00CF2BFD" w:rsidRDefault="00800885" w14:paraId="28D678BD" w14:textId="77777777">
      <w:pPr>
        <w:keepNext/>
        <w:tabs>
          <w:tab w:val="center" w:pos="284"/>
        </w:tabs>
        <w:ind w:left="266" w:hanging="266"/>
      </w:pPr>
    </w:p>
    <w:p w:rsidRPr="00A6689B" w:rsidR="00800885" w:rsidP="00CF2BFD" w:rsidRDefault="00800885" w14:paraId="46E2B105" w14:textId="77777777">
      <w:pPr>
        <w:keepNext/>
        <w:keepLines/>
        <w:tabs>
          <w:tab w:val="center" w:pos="284"/>
        </w:tabs>
        <w:ind w:left="266" w:hanging="266"/>
        <w:rPr>
          <w:b/>
        </w:rPr>
      </w:pPr>
      <w:r>
        <w:rPr>
          <w:b/>
        </w:rPr>
        <w:t>Points clés</w:t>
      </w:r>
    </w:p>
    <w:p w:rsidRPr="00A6689B" w:rsidR="00800885" w:rsidP="00CF2BFD" w:rsidRDefault="00800885" w14:paraId="01ADD5CD" w14:textId="77777777">
      <w:pPr>
        <w:keepNext/>
        <w:keepLines/>
        <w:tabs>
          <w:tab w:val="center" w:pos="284"/>
        </w:tabs>
        <w:ind w:left="266" w:hanging="266"/>
        <w:rPr>
          <w:b/>
        </w:rPr>
      </w:pPr>
    </w:p>
    <w:p w:rsidRPr="00A6689B" w:rsidR="00800885" w:rsidP="00CF2BFD" w:rsidRDefault="00800885" w14:paraId="04EFC9CE" w14:textId="77777777">
      <w:pPr>
        <w:keepNext/>
        <w:rPr>
          <w:bCs/>
          <w:iCs/>
        </w:rPr>
      </w:pPr>
      <w:r>
        <w:t>Le CESE:</w:t>
      </w:r>
    </w:p>
    <w:p w:rsidR="00800885" w:rsidP="00CF2BFD" w:rsidRDefault="00800885" w14:paraId="512B9640" w14:textId="77777777">
      <w:pPr>
        <w:keepNext/>
        <w:widowControl w:val="0"/>
        <w:numPr>
          <w:ilvl w:val="0"/>
          <w:numId w:val="7"/>
        </w:numPr>
        <w:overflowPunct w:val="0"/>
        <w:autoSpaceDE w:val="0"/>
        <w:autoSpaceDN w:val="0"/>
        <w:adjustRightInd w:val="0"/>
        <w:ind w:left="357" w:hanging="357"/>
        <w:textAlignment w:val="baseline"/>
      </w:pPr>
      <w:r>
        <w:t xml:space="preserve">est favorable à l’adoption d’une approche globale renouvelée concernant la stratégie de l’Union en matière de santé mondiale et reconnaît qu’il est </w:t>
      </w:r>
      <w:r>
        <w:rPr>
          <w:b/>
        </w:rPr>
        <w:t>urgent d’agir au niveau mondial pour lutter contre les maladies transmissibles et non transmissibles</w:t>
      </w:r>
      <w:r>
        <w:t>, d’améliorer les systèmes de surveillance des maladies, les programmes de vaccination, l’accès aux médicaments essentiels et la lutte contre la résistance aux antimicrobiens, et de renforcer les systèmes de santé;</w:t>
      </w:r>
    </w:p>
    <w:p w:rsidR="00800885" w:rsidP="00800885" w:rsidRDefault="00800885" w14:paraId="10300845" w14:textId="77777777">
      <w:pPr>
        <w:widowControl w:val="0"/>
        <w:numPr>
          <w:ilvl w:val="0"/>
          <w:numId w:val="7"/>
        </w:numPr>
        <w:overflowPunct w:val="0"/>
        <w:autoSpaceDE w:val="0"/>
        <w:autoSpaceDN w:val="0"/>
        <w:adjustRightInd w:val="0"/>
        <w:ind w:left="357" w:hanging="357"/>
        <w:textAlignment w:val="baseline"/>
      </w:pPr>
      <w:r>
        <w:t xml:space="preserve">insiste sur l’importance d’adopter une approche globale de la santé en s’attaquant aux </w:t>
      </w:r>
      <w:r>
        <w:rPr>
          <w:b/>
        </w:rPr>
        <w:t>déterminants sociaux, économiques et environnementaux</w:t>
      </w:r>
      <w:r>
        <w:t xml:space="preserve"> de la santé; </w:t>
      </w:r>
    </w:p>
    <w:p w:rsidR="00800885" w:rsidP="00800885" w:rsidRDefault="00800885" w14:paraId="1DB9EB94" w14:textId="77777777">
      <w:pPr>
        <w:pStyle w:val="Heading2"/>
        <w:widowControl w:val="0"/>
        <w:numPr>
          <w:ilvl w:val="0"/>
          <w:numId w:val="7"/>
        </w:numPr>
        <w:ind w:left="357" w:hanging="357"/>
      </w:pPr>
      <w:r>
        <w:t xml:space="preserve">recommande d’intensifier les </w:t>
      </w:r>
      <w:r>
        <w:rPr>
          <w:b/>
        </w:rPr>
        <w:t>investissements dans le domaine de la santé</w:t>
      </w:r>
      <w:r>
        <w:t xml:space="preserve"> (y compris la santé numérique), de manière à renforcer le rôle de chef de file mondial de l’UE et souligne que les </w:t>
      </w:r>
      <w:r>
        <w:rPr>
          <w:b/>
        </w:rPr>
        <w:t>considérations sanitaires</w:t>
      </w:r>
      <w:r>
        <w:t xml:space="preserve">, y compris celles relatives à la santé mentale, doivent être </w:t>
      </w:r>
      <w:r>
        <w:rPr>
          <w:b/>
        </w:rPr>
        <w:t>intégrées dans tous les domaines de l’engagement extérieur de l’UE</w:t>
      </w:r>
      <w:r>
        <w:t>, notamment dans les accords commerciaux et la coopération au développement;</w:t>
      </w:r>
    </w:p>
    <w:p w:rsidR="00800885" w:rsidP="00800885" w:rsidRDefault="00800885" w14:paraId="008F3C33" w14:textId="77777777">
      <w:pPr>
        <w:pStyle w:val="Heading2"/>
        <w:widowControl w:val="0"/>
        <w:numPr>
          <w:ilvl w:val="0"/>
          <w:numId w:val="7"/>
        </w:numPr>
        <w:ind w:left="357" w:hanging="357"/>
      </w:pPr>
      <w:r>
        <w:t xml:space="preserve">s’inquiète des difficultés que pose la </w:t>
      </w:r>
      <w:r>
        <w:rPr>
          <w:b/>
        </w:rPr>
        <w:t>pénurie de personnel de santé</w:t>
      </w:r>
      <w:r>
        <w:t xml:space="preserve"> et insiste sur l’importance d’améliorer ses conditions de travail et de tenir compte de la migration de la main-d’œuvre;</w:t>
      </w:r>
    </w:p>
    <w:p w:rsidR="00800885" w:rsidP="00800885" w:rsidRDefault="00800885" w14:paraId="1205232F" w14:textId="77777777">
      <w:pPr>
        <w:pStyle w:val="Heading2"/>
        <w:widowControl w:val="0"/>
        <w:numPr>
          <w:ilvl w:val="0"/>
          <w:numId w:val="7"/>
        </w:numPr>
        <w:ind w:left="357" w:hanging="357"/>
      </w:pPr>
      <w:r>
        <w:t xml:space="preserve">recommande d’aligner les actions relatives à la santé déjà menées par l’Union sur les objectifs et les priorités de la stratégie mondiale, tout en développant une </w:t>
      </w:r>
      <w:r>
        <w:rPr>
          <w:b/>
        </w:rPr>
        <w:t>diplomatie</w:t>
      </w:r>
      <w:r>
        <w:t xml:space="preserve"> solide </w:t>
      </w:r>
      <w:r>
        <w:rPr>
          <w:b/>
        </w:rPr>
        <w:t>en matière de santé</w:t>
      </w:r>
      <w:r>
        <w:t xml:space="preserve">; soutient la demande formelle de </w:t>
      </w:r>
      <w:r>
        <w:rPr>
          <w:b/>
        </w:rPr>
        <w:t>l’Union d’être invitée à siéger en qualité d’observateur au sein de l’Organisation mondiale de la santé</w:t>
      </w:r>
      <w:r>
        <w:t>;</w:t>
      </w:r>
    </w:p>
    <w:p w:rsidR="00800885" w:rsidP="00800885" w:rsidRDefault="00800885" w14:paraId="6A236D75" w14:textId="77777777">
      <w:pPr>
        <w:pStyle w:val="Heading2"/>
        <w:widowControl w:val="0"/>
        <w:numPr>
          <w:ilvl w:val="0"/>
          <w:numId w:val="7"/>
        </w:numPr>
        <w:ind w:left="357" w:hanging="357"/>
      </w:pPr>
      <w:r>
        <w:t xml:space="preserve">suggère que les pays les plus démunis bénéficient d’un </w:t>
      </w:r>
      <w:r>
        <w:rPr>
          <w:b/>
        </w:rPr>
        <w:t>programme plus conséquent d’aide au développement</w:t>
      </w:r>
      <w:r>
        <w:t xml:space="preserve">. Il convient de poursuivre les stratégies et les actions de coopération avec les pays confrontés à des difficultés socio-économiques afin de les remettre sur la bonne voie pour atteindre les </w:t>
      </w:r>
      <w:r>
        <w:rPr>
          <w:b/>
        </w:rPr>
        <w:t>objectifs en matière de santé</w:t>
      </w:r>
      <w:r>
        <w:t xml:space="preserve"> fixés dans le programme de développement durable à l’horizon 2030;</w:t>
      </w:r>
    </w:p>
    <w:p w:rsidRPr="009461D7" w:rsidR="00800885" w:rsidP="00800885" w:rsidRDefault="00800885" w14:paraId="6C2B0D5C" w14:textId="77777777">
      <w:pPr>
        <w:pStyle w:val="Heading2"/>
        <w:widowControl w:val="0"/>
        <w:numPr>
          <w:ilvl w:val="0"/>
          <w:numId w:val="7"/>
        </w:numPr>
        <w:ind w:left="357" w:hanging="357"/>
      </w:pPr>
      <w:r>
        <w:t xml:space="preserve">plaide en faveur d’un </w:t>
      </w:r>
      <w:r>
        <w:rPr>
          <w:b/>
        </w:rPr>
        <w:t>mécanisme de participation de la société civile</w:t>
      </w:r>
      <w:r>
        <w:t xml:space="preserve"> qui permettrait de mettre effectivement en œuvre la stratégie, et invite à améliorer la </w:t>
      </w:r>
      <w:r>
        <w:rPr>
          <w:b/>
        </w:rPr>
        <w:t>gouvernance</w:t>
      </w:r>
      <w:r>
        <w:t xml:space="preserve"> au niveau national, en tenant compte de la complexité des systèmes de santé et en se tournant vers des approches plus systémiques. </w:t>
      </w:r>
    </w:p>
    <w:p w:rsidRPr="008907DD" w:rsidR="00800885" w:rsidP="00800885" w:rsidRDefault="00800885" w14:paraId="4AAC8180" w14:textId="77777777">
      <w:pPr>
        <w:widowControl w:val="0"/>
        <w:rPr>
          <w:bCs/>
          <w:iCs/>
          <w:sz w:val="16"/>
          <w:szCs w:val="16"/>
        </w:rPr>
      </w:pP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9"/>
        <w:gridCol w:w="4293"/>
      </w:tblGrid>
      <w:tr w:rsidRPr="00A6689B" w:rsidR="00800885" w:rsidTr="00177A3F" w14:paraId="0A0015B0" w14:textId="77777777">
        <w:tc>
          <w:tcPr>
            <w:tcW w:w="1556" w:type="pct"/>
          </w:tcPr>
          <w:p w:rsidRPr="00A6689B" w:rsidR="00800885" w:rsidP="00177A3F" w:rsidRDefault="00800885" w14:paraId="56F0E7BC" w14:textId="77777777">
            <w:pPr>
              <w:spacing w:line="240" w:lineRule="auto"/>
              <w:rPr>
                <w:i/>
              </w:rPr>
            </w:pPr>
            <w:r>
              <w:rPr>
                <w:b/>
                <w:i/>
              </w:rPr>
              <w:t>Contact</w:t>
            </w:r>
          </w:p>
        </w:tc>
        <w:tc>
          <w:tcPr>
            <w:tcW w:w="3444" w:type="pct"/>
          </w:tcPr>
          <w:p w:rsidRPr="00A6689B" w:rsidR="00800885" w:rsidP="00177A3F" w:rsidRDefault="00800885" w14:paraId="72F70823" w14:textId="77777777">
            <w:pPr>
              <w:spacing w:line="240" w:lineRule="auto"/>
              <w:rPr>
                <w:i/>
              </w:rPr>
            </w:pPr>
            <w:r>
              <w:rPr>
                <w:i/>
              </w:rPr>
              <w:t>Charlotte RIVE</w:t>
            </w:r>
          </w:p>
        </w:tc>
      </w:tr>
      <w:tr w:rsidRPr="00A6689B" w:rsidR="00800885" w:rsidTr="00177A3F" w14:paraId="35FCF172" w14:textId="77777777">
        <w:tc>
          <w:tcPr>
            <w:tcW w:w="1556" w:type="pct"/>
          </w:tcPr>
          <w:p w:rsidRPr="00A6689B" w:rsidR="00800885" w:rsidP="00177A3F" w:rsidRDefault="00800885" w14:paraId="404CB4DD" w14:textId="77777777">
            <w:pPr>
              <w:spacing w:line="240" w:lineRule="auto"/>
              <w:rPr>
                <w:i/>
              </w:rPr>
            </w:pPr>
            <w:r>
              <w:rPr>
                <w:i/>
              </w:rPr>
              <w:t>Tél.:</w:t>
            </w:r>
          </w:p>
        </w:tc>
        <w:tc>
          <w:tcPr>
            <w:tcW w:w="3444" w:type="pct"/>
          </w:tcPr>
          <w:p w:rsidRPr="00A6689B" w:rsidR="00800885" w:rsidP="00177A3F" w:rsidRDefault="00800885" w14:paraId="59C35767" w14:textId="77777777">
            <w:pPr>
              <w:spacing w:line="240" w:lineRule="auto"/>
              <w:rPr>
                <w:i/>
              </w:rPr>
            </w:pPr>
            <w:r>
              <w:rPr>
                <w:i/>
              </w:rPr>
              <w:t>+32 2 546 9388</w:t>
            </w:r>
          </w:p>
        </w:tc>
      </w:tr>
      <w:tr w:rsidRPr="00A6689B" w:rsidR="00800885" w:rsidTr="00177A3F" w14:paraId="754E6493" w14:textId="77777777">
        <w:tc>
          <w:tcPr>
            <w:tcW w:w="1556" w:type="pct"/>
          </w:tcPr>
          <w:p w:rsidRPr="00A6689B" w:rsidR="00800885" w:rsidP="00177A3F" w:rsidRDefault="00800885" w14:paraId="43C772E3" w14:textId="77777777">
            <w:pPr>
              <w:spacing w:line="240" w:lineRule="auto"/>
              <w:rPr>
                <w:i/>
              </w:rPr>
            </w:pPr>
            <w:r>
              <w:rPr>
                <w:i/>
              </w:rPr>
              <w:t>Courriel:</w:t>
            </w:r>
          </w:p>
        </w:tc>
        <w:tc>
          <w:tcPr>
            <w:tcW w:w="3444" w:type="pct"/>
          </w:tcPr>
          <w:p w:rsidRPr="00A6689B" w:rsidR="00800885" w:rsidP="00177A3F" w:rsidRDefault="006F4895" w14:paraId="558F4B73" w14:textId="77777777">
            <w:pPr>
              <w:spacing w:line="240" w:lineRule="auto"/>
              <w:rPr>
                <w:i/>
              </w:rPr>
            </w:pPr>
            <w:hyperlink w:history="1" r:id="rId57">
              <w:r w:rsidR="00800885">
                <w:rPr>
                  <w:rStyle w:val="Hyperlink"/>
                  <w:i/>
                </w:rPr>
                <w:t>Charlotte.Rive@eesc.europa.eu</w:t>
              </w:r>
            </w:hyperlink>
          </w:p>
        </w:tc>
      </w:tr>
    </w:tbl>
    <w:p w:rsidRPr="003E1E29" w:rsidR="00C14BEF" w:rsidP="00CF2BFD" w:rsidRDefault="006F4895" w14:paraId="085EF777" w14:textId="6D61CDCA">
      <w:pPr>
        <w:widowControl w:val="0"/>
        <w:numPr>
          <w:ilvl w:val="0"/>
          <w:numId w:val="7"/>
        </w:numPr>
        <w:overflowPunct w:val="0"/>
        <w:autoSpaceDE w:val="0"/>
        <w:autoSpaceDN w:val="0"/>
        <w:adjustRightInd w:val="0"/>
        <w:ind w:left="426" w:hanging="426"/>
        <w:textAlignment w:val="baseline"/>
        <w:rPr>
          <w:sz w:val="20"/>
        </w:rPr>
      </w:pPr>
      <w:hyperlink w:history="1" r:id="rId58">
        <w:r w:rsidR="00C14BEF">
          <w:rPr>
            <w:rStyle w:val="Hyperlink"/>
            <w:b/>
            <w:i/>
            <w:sz w:val="28"/>
          </w:rPr>
          <w:t>Politique de l’eau: entre désertification et sécurisation, est</w:t>
        </w:r>
        <w:r w:rsidR="00CF2BFD">
          <w:rPr>
            <w:rStyle w:val="Hyperlink"/>
            <w:b/>
            <w:i/>
            <w:sz w:val="28"/>
          </w:rPr>
          <w:t xml:space="preserve"> </w:t>
        </w:r>
        <w:r w:rsidR="00C14BEF">
          <w:rPr>
            <w:rStyle w:val="Hyperlink"/>
            <w:b/>
            <w:i/>
            <w:sz w:val="28"/>
          </w:rPr>
          <w:t>venu le temps d’une diplomatie bleue</w:t>
        </w:r>
      </w:hyperlink>
    </w:p>
    <w:p w:rsidRPr="00A6689B" w:rsidR="00C14BEF" w:rsidP="00C14BEF" w:rsidRDefault="00C14BEF" w14:paraId="3E483E89" w14:textId="77777777">
      <w:pPr>
        <w:tabs>
          <w:tab w:val="center" w:pos="284"/>
        </w:tabs>
        <w:ind w:left="266" w:hanging="266"/>
        <w:rPr>
          <w:b/>
        </w:rPr>
      </w:pPr>
    </w:p>
    <w:tbl>
      <w:tblPr>
        <w:tblStyle w:val="TableGrid"/>
        <w:tblW w:w="493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8"/>
        <w:gridCol w:w="6817"/>
      </w:tblGrid>
      <w:tr w:rsidRPr="00A6689B" w:rsidR="00C14BEF" w:rsidTr="00CF2BFD" w14:paraId="69195824" w14:textId="77777777">
        <w:tc>
          <w:tcPr>
            <w:tcW w:w="1107" w:type="pct"/>
          </w:tcPr>
          <w:p w:rsidRPr="00A6689B" w:rsidR="00C14BEF" w:rsidP="00177A3F" w:rsidRDefault="00C14BEF" w14:paraId="7493F159" w14:textId="77777777">
            <w:pPr>
              <w:tabs>
                <w:tab w:val="center" w:pos="284"/>
              </w:tabs>
              <w:ind w:left="266" w:hanging="266"/>
              <w:rPr>
                <w:b/>
              </w:rPr>
            </w:pPr>
            <w:r>
              <w:rPr>
                <w:b/>
              </w:rPr>
              <w:t>Rapporteur</w:t>
            </w:r>
          </w:p>
        </w:tc>
        <w:tc>
          <w:tcPr>
            <w:tcW w:w="3893" w:type="pct"/>
          </w:tcPr>
          <w:p w:rsidRPr="00A6689B" w:rsidR="00C14BEF" w:rsidP="00CF2BFD" w:rsidRDefault="00C14BEF" w14:paraId="6A9ECC87" w14:textId="0208D892">
            <w:pPr>
              <w:tabs>
                <w:tab w:val="center" w:pos="44"/>
              </w:tabs>
              <w:ind w:left="44"/>
            </w:pPr>
            <w:r>
              <w:t xml:space="preserve">Ioannis VARDAKASTANIS (groupe des organisations de la société civile </w:t>
            </w:r>
            <w:r w:rsidR="0048572F">
              <w:t>—</w:t>
            </w:r>
            <w:r>
              <w:t xml:space="preserve"> EL)</w:t>
            </w:r>
          </w:p>
        </w:tc>
      </w:tr>
      <w:tr w:rsidRPr="00A6689B" w:rsidR="00C14BEF" w:rsidTr="00CF2BFD" w14:paraId="3455EA44" w14:textId="77777777">
        <w:tc>
          <w:tcPr>
            <w:tcW w:w="1107" w:type="pct"/>
          </w:tcPr>
          <w:p w:rsidRPr="00A6689B" w:rsidR="00C14BEF" w:rsidP="00177A3F" w:rsidRDefault="00C14BEF" w14:paraId="0C575C03" w14:textId="77777777">
            <w:pPr>
              <w:tabs>
                <w:tab w:val="center" w:pos="284"/>
              </w:tabs>
              <w:ind w:left="266" w:hanging="266"/>
              <w:rPr>
                <w:b/>
              </w:rPr>
            </w:pPr>
            <w:r>
              <w:rPr>
                <w:b/>
              </w:rPr>
              <w:t>Corapporteure</w:t>
            </w:r>
          </w:p>
        </w:tc>
        <w:tc>
          <w:tcPr>
            <w:tcW w:w="3893" w:type="pct"/>
          </w:tcPr>
          <w:p w:rsidRPr="00A6689B" w:rsidR="00C14BEF" w:rsidP="00177A3F" w:rsidRDefault="00C14BEF" w14:paraId="0E718708" w14:textId="5FBBE504">
            <w:pPr>
              <w:tabs>
                <w:tab w:val="center" w:pos="284"/>
              </w:tabs>
              <w:ind w:left="266" w:hanging="266"/>
            </w:pPr>
            <w:r>
              <w:t xml:space="preserve">Milena ANGELOVA (groupe des employeurs </w:t>
            </w:r>
            <w:r w:rsidR="0048572F">
              <w:t>—</w:t>
            </w:r>
            <w:r>
              <w:t xml:space="preserve"> BG)</w:t>
            </w:r>
          </w:p>
        </w:tc>
      </w:tr>
      <w:tr w:rsidRPr="00A6689B" w:rsidR="00C14BEF" w:rsidTr="00CF2BFD" w14:paraId="76812134" w14:textId="77777777">
        <w:tc>
          <w:tcPr>
            <w:tcW w:w="5000" w:type="pct"/>
            <w:gridSpan w:val="2"/>
          </w:tcPr>
          <w:p w:rsidRPr="00A6689B" w:rsidR="00C14BEF" w:rsidP="00177A3F" w:rsidRDefault="00C14BEF" w14:paraId="5F08FA8F" w14:textId="77777777">
            <w:pPr>
              <w:tabs>
                <w:tab w:val="center" w:pos="284"/>
              </w:tabs>
              <w:spacing w:line="160" w:lineRule="exact"/>
              <w:ind w:left="266" w:hanging="266"/>
              <w:rPr>
                <w:lang w:val="en-US"/>
              </w:rPr>
            </w:pPr>
          </w:p>
        </w:tc>
      </w:tr>
      <w:tr w:rsidRPr="00A6689B" w:rsidR="00C14BEF" w:rsidTr="00CF2BFD" w14:paraId="02DC707E" w14:textId="77777777">
        <w:tc>
          <w:tcPr>
            <w:tcW w:w="1107" w:type="pct"/>
            <w:vMerge w:val="restart"/>
          </w:tcPr>
          <w:p w:rsidRPr="00A6689B" w:rsidR="00C14BEF" w:rsidP="00177A3F" w:rsidRDefault="00C14BEF" w14:paraId="52E3BF40" w14:textId="77777777">
            <w:pPr>
              <w:tabs>
                <w:tab w:val="center" w:pos="284"/>
              </w:tabs>
              <w:ind w:left="266" w:hanging="266"/>
              <w:rPr>
                <w:b/>
              </w:rPr>
            </w:pPr>
            <w:r>
              <w:rPr>
                <w:b/>
              </w:rPr>
              <w:t>Références</w:t>
            </w:r>
          </w:p>
        </w:tc>
        <w:tc>
          <w:tcPr>
            <w:tcW w:w="3893" w:type="pct"/>
          </w:tcPr>
          <w:p w:rsidRPr="00A6689B" w:rsidR="00C14BEF" w:rsidP="00177A3F" w:rsidRDefault="00C14BEF" w14:paraId="062CE1BB" w14:textId="71E09611">
            <w:pPr>
              <w:tabs>
                <w:tab w:val="center" w:pos="284"/>
              </w:tabs>
              <w:ind w:left="266" w:hanging="266"/>
            </w:pPr>
            <w:r>
              <w:t>EESC-2023-00858-00-00-AC</w:t>
            </w:r>
          </w:p>
        </w:tc>
      </w:tr>
      <w:tr w:rsidRPr="00A6689B" w:rsidR="00C14BEF" w:rsidTr="00CF2BFD" w14:paraId="20FBEAA3" w14:textId="77777777">
        <w:tc>
          <w:tcPr>
            <w:tcW w:w="1107" w:type="pct"/>
            <w:vMerge/>
          </w:tcPr>
          <w:p w:rsidRPr="00A6689B" w:rsidR="00C14BEF" w:rsidP="00177A3F" w:rsidRDefault="00C14BEF" w14:paraId="5DD45608" w14:textId="77777777">
            <w:pPr>
              <w:tabs>
                <w:tab w:val="center" w:pos="284"/>
              </w:tabs>
              <w:ind w:left="266" w:hanging="266"/>
              <w:rPr>
                <w:b/>
                <w:lang w:val="en-US"/>
              </w:rPr>
            </w:pPr>
          </w:p>
        </w:tc>
        <w:tc>
          <w:tcPr>
            <w:tcW w:w="3893" w:type="pct"/>
          </w:tcPr>
          <w:p w:rsidRPr="00A6689B" w:rsidR="00C14BEF" w:rsidP="00177A3F" w:rsidRDefault="00C14BEF" w14:paraId="35F55CF5" w14:textId="77777777">
            <w:pPr>
              <w:tabs>
                <w:tab w:val="center" w:pos="284"/>
              </w:tabs>
              <w:ind w:left="266" w:hanging="266"/>
              <w:rPr>
                <w:lang w:val="en-US"/>
              </w:rPr>
            </w:pPr>
          </w:p>
        </w:tc>
      </w:tr>
    </w:tbl>
    <w:p w:rsidRPr="00A6689B" w:rsidR="00C14BEF" w:rsidP="00C14BEF" w:rsidRDefault="00C14BEF" w14:paraId="7B653B90" w14:textId="77777777">
      <w:pPr>
        <w:tabs>
          <w:tab w:val="center" w:pos="284"/>
        </w:tabs>
        <w:ind w:left="266" w:hanging="266"/>
      </w:pPr>
    </w:p>
    <w:p w:rsidRPr="00A6689B" w:rsidR="00C14BEF" w:rsidP="00C14BEF" w:rsidRDefault="00C14BEF" w14:paraId="75AB0709" w14:textId="77777777">
      <w:pPr>
        <w:keepNext/>
        <w:keepLines/>
        <w:tabs>
          <w:tab w:val="center" w:pos="284"/>
        </w:tabs>
        <w:ind w:left="266" w:hanging="266"/>
        <w:rPr>
          <w:b/>
        </w:rPr>
      </w:pPr>
      <w:r>
        <w:rPr>
          <w:b/>
        </w:rPr>
        <w:t>Points clés</w:t>
      </w:r>
    </w:p>
    <w:p w:rsidRPr="00A6689B" w:rsidR="00C14BEF" w:rsidP="00C14BEF" w:rsidRDefault="00C14BEF" w14:paraId="3D39CAB2" w14:textId="77777777">
      <w:pPr>
        <w:keepNext/>
        <w:keepLines/>
        <w:tabs>
          <w:tab w:val="center" w:pos="284"/>
        </w:tabs>
        <w:ind w:left="266" w:hanging="266"/>
        <w:rPr>
          <w:b/>
        </w:rPr>
      </w:pPr>
    </w:p>
    <w:p w:rsidRPr="00A6689B" w:rsidR="00C14BEF" w:rsidP="00C14BEF" w:rsidRDefault="00C14BEF" w14:paraId="6D21F431" w14:textId="77777777">
      <w:pPr>
        <w:rPr>
          <w:bCs/>
          <w:iCs/>
        </w:rPr>
      </w:pPr>
      <w:r>
        <w:t>Le CESE:</w:t>
      </w:r>
    </w:p>
    <w:p w:rsidRPr="00956393" w:rsidR="00C14BEF" w:rsidP="00C14BEF" w:rsidRDefault="00C14BEF" w14:paraId="3E42DE41" w14:textId="77777777">
      <w:pPr>
        <w:widowControl w:val="0"/>
        <w:numPr>
          <w:ilvl w:val="0"/>
          <w:numId w:val="7"/>
        </w:numPr>
        <w:overflowPunct w:val="0"/>
        <w:autoSpaceDE w:val="0"/>
        <w:autoSpaceDN w:val="0"/>
        <w:adjustRightInd w:val="0"/>
        <w:ind w:left="709" w:hanging="425"/>
        <w:textAlignment w:val="baseline"/>
        <w:rPr>
          <w:bCs/>
          <w:iCs/>
        </w:rPr>
      </w:pPr>
      <w:r>
        <w:t>estime qu’en raison de sa pénurie croissante à l’échelle mondiale, l’</w:t>
      </w:r>
      <w:r>
        <w:rPr>
          <w:b/>
        </w:rPr>
        <w:t>eau</w:t>
      </w:r>
      <w:r>
        <w:t xml:space="preserve"> est considérée comme un </w:t>
      </w:r>
      <w:r>
        <w:rPr>
          <w:b/>
        </w:rPr>
        <w:t>atout stratégique de sécurité</w:t>
      </w:r>
      <w:r>
        <w:t xml:space="preserve">. L’UE devrait </w:t>
      </w:r>
      <w:r>
        <w:rPr>
          <w:b/>
        </w:rPr>
        <w:t>intensifier ses efforts</w:t>
      </w:r>
      <w:r>
        <w:t xml:space="preserve"> dans le domaine de la </w:t>
      </w:r>
      <w:r>
        <w:rPr>
          <w:b/>
        </w:rPr>
        <w:t>diplomatie bleue</w:t>
      </w:r>
      <w:r>
        <w:t xml:space="preserve"> et intégrer celle-ci de manière systématique dans sa politique étrangère et ses relations extérieures, y compris dans ses politiques commerciale et de développement;</w:t>
      </w:r>
    </w:p>
    <w:p w:rsidRPr="00A6689B" w:rsidR="00C14BEF" w:rsidP="00C14BEF" w:rsidRDefault="00C14BEF" w14:paraId="26552D7F" w14:textId="77777777">
      <w:pPr>
        <w:widowControl w:val="0"/>
        <w:numPr>
          <w:ilvl w:val="0"/>
          <w:numId w:val="7"/>
        </w:numPr>
        <w:overflowPunct w:val="0"/>
        <w:autoSpaceDE w:val="0"/>
        <w:autoSpaceDN w:val="0"/>
        <w:adjustRightInd w:val="0"/>
        <w:ind w:left="709" w:hanging="425"/>
        <w:textAlignment w:val="baseline"/>
        <w:rPr>
          <w:bCs/>
          <w:iCs/>
        </w:rPr>
      </w:pPr>
      <w:r>
        <w:t xml:space="preserve">fait valoir que </w:t>
      </w:r>
      <w:r>
        <w:rPr>
          <w:b/>
        </w:rPr>
        <w:t>l’eau n’est pas une simple marchandise</w:t>
      </w:r>
      <w:r>
        <w:t xml:space="preserve">, mais un bien public essentiel à la vie humaine. L’UE devrait œuvrer en faveur d’un </w:t>
      </w:r>
      <w:r>
        <w:rPr>
          <w:b/>
        </w:rPr>
        <w:t>accès à l’eau aisé, ininterrompu et abordable</w:t>
      </w:r>
      <w:r>
        <w:t xml:space="preserve"> pour tous à travers le monde et faciliter la gestion durable de l’eau et des eaux usées;</w:t>
      </w:r>
    </w:p>
    <w:p w:rsidRPr="00A6689B" w:rsidR="00C14BEF" w:rsidP="00C14BEF" w:rsidRDefault="00C14BEF" w14:paraId="2CBF185C" w14:textId="77777777">
      <w:pPr>
        <w:widowControl w:val="0"/>
        <w:numPr>
          <w:ilvl w:val="0"/>
          <w:numId w:val="7"/>
        </w:numPr>
        <w:overflowPunct w:val="0"/>
        <w:autoSpaceDE w:val="0"/>
        <w:autoSpaceDN w:val="0"/>
        <w:adjustRightInd w:val="0"/>
        <w:ind w:left="709" w:hanging="425"/>
        <w:textAlignment w:val="baseline"/>
        <w:rPr>
          <w:bCs/>
          <w:iCs/>
        </w:rPr>
      </w:pPr>
      <w:r>
        <w:t xml:space="preserve">demande que la </w:t>
      </w:r>
      <w:r>
        <w:rPr>
          <w:b/>
        </w:rPr>
        <w:t>protection des zones humides et de la biodiversité</w:t>
      </w:r>
      <w:r>
        <w:t xml:space="preserve"> soit considérée comme un élément essentiel de la diplomatie bleue. La gestion durable des </w:t>
      </w:r>
      <w:r>
        <w:rPr>
          <w:b/>
        </w:rPr>
        <w:t>rivières, des zones humides et des lacs transfrontaliers du sud-est de l’Europe</w:t>
      </w:r>
      <w:r>
        <w:t xml:space="preserve"> devrait être prioritaire, compte tenu de leur grande importance pour la protection de la biodiversité européenne;</w:t>
      </w:r>
    </w:p>
    <w:p w:rsidRPr="00A6689B" w:rsidR="00C14BEF" w:rsidP="00C14BEF" w:rsidRDefault="00C14BEF" w14:paraId="3A16563E" w14:textId="77777777">
      <w:pPr>
        <w:widowControl w:val="0"/>
        <w:numPr>
          <w:ilvl w:val="0"/>
          <w:numId w:val="7"/>
        </w:numPr>
        <w:overflowPunct w:val="0"/>
        <w:autoSpaceDE w:val="0"/>
        <w:autoSpaceDN w:val="0"/>
        <w:adjustRightInd w:val="0"/>
        <w:ind w:left="709" w:hanging="425"/>
        <w:textAlignment w:val="baseline"/>
        <w:rPr>
          <w:bCs/>
          <w:iCs/>
        </w:rPr>
      </w:pPr>
      <w:r>
        <w:t xml:space="preserve">encourage la mise en place d’une </w:t>
      </w:r>
      <w:r>
        <w:rPr>
          <w:b/>
        </w:rPr>
        <w:t xml:space="preserve">stratégie </w:t>
      </w:r>
      <w:proofErr w:type="spellStart"/>
      <w:r>
        <w:rPr>
          <w:b/>
        </w:rPr>
        <w:t>macrorégionale</w:t>
      </w:r>
      <w:proofErr w:type="spellEnd"/>
      <w:r>
        <w:rPr>
          <w:b/>
        </w:rPr>
        <w:t xml:space="preserve"> pour la région méditerranéenne</w:t>
      </w:r>
      <w:r>
        <w:t>. Une telle stratégie pourrait renforcer la cohérence et l’intégration entre les cadres et les programmes déjà déployés tout en permettant une plus grande rationalité dans l’utilisation des ressources;</w:t>
      </w:r>
    </w:p>
    <w:p w:rsidR="00C14BEF" w:rsidP="00C14BEF" w:rsidRDefault="00C14BEF" w14:paraId="05F753AE" w14:textId="77777777">
      <w:pPr>
        <w:widowControl w:val="0"/>
        <w:numPr>
          <w:ilvl w:val="0"/>
          <w:numId w:val="7"/>
        </w:numPr>
        <w:overflowPunct w:val="0"/>
        <w:autoSpaceDE w:val="0"/>
        <w:autoSpaceDN w:val="0"/>
        <w:adjustRightInd w:val="0"/>
        <w:ind w:left="709" w:hanging="425"/>
        <w:textAlignment w:val="baseline"/>
      </w:pPr>
      <w:r>
        <w:t xml:space="preserve">propose d’accorder une attention particulière à la </w:t>
      </w:r>
      <w:r>
        <w:rPr>
          <w:b/>
        </w:rPr>
        <w:t>diplomatie bleue en Afrique subsaharienne</w:t>
      </w:r>
      <w:r>
        <w:t xml:space="preserve">. Des outils proactifs devraient </w:t>
      </w:r>
      <w:r>
        <w:rPr>
          <w:b/>
        </w:rPr>
        <w:t>réduire les flux migratoires</w:t>
      </w:r>
      <w:r>
        <w:t xml:space="preserve"> vers l’Union européenne liés à la crise de l’eau;</w:t>
      </w:r>
    </w:p>
    <w:p w:rsidR="00C14BEF" w:rsidP="00C14BEF" w:rsidRDefault="00C14BEF" w14:paraId="7C51F4CD" w14:textId="77777777">
      <w:pPr>
        <w:widowControl w:val="0"/>
        <w:numPr>
          <w:ilvl w:val="0"/>
          <w:numId w:val="7"/>
        </w:numPr>
        <w:overflowPunct w:val="0"/>
        <w:autoSpaceDE w:val="0"/>
        <w:autoSpaceDN w:val="0"/>
        <w:adjustRightInd w:val="0"/>
        <w:ind w:left="709" w:hanging="425"/>
        <w:textAlignment w:val="baseline"/>
      </w:pPr>
      <w:r>
        <w:t xml:space="preserve">demande l’allocation d’un </w:t>
      </w:r>
      <w:r>
        <w:rPr>
          <w:b/>
        </w:rPr>
        <w:t>financement adéquat</w:t>
      </w:r>
      <w:r>
        <w:t xml:space="preserve"> pour l’amélioration des </w:t>
      </w:r>
      <w:r>
        <w:rPr>
          <w:b/>
        </w:rPr>
        <w:t>installations et infrastructures hydriques</w:t>
      </w:r>
      <w:r>
        <w:t xml:space="preserve"> existantes afin de garantir à l’ensemble de la population mondiale un accès équitable à l’eau potable et à l’assainissement. La stratégie «</w:t>
      </w:r>
      <w:r>
        <w:rPr>
          <w:b/>
        </w:rPr>
        <w:t>Global Gateway</w:t>
      </w:r>
      <w:r>
        <w:t>» constitue un excellent outil à cet égard.</w:t>
      </w:r>
    </w:p>
    <w:p w:rsidRPr="000624A9" w:rsidR="00C14BEF" w:rsidP="00C14BEF" w:rsidRDefault="00C14BEF" w14:paraId="6F295E52" w14:textId="77777777">
      <w:pPr>
        <w:widowControl w:val="0"/>
        <w:ind w:left="709"/>
      </w:pP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6"/>
        <w:gridCol w:w="4986"/>
      </w:tblGrid>
      <w:tr w:rsidRPr="00A6689B" w:rsidR="00C14BEF" w:rsidTr="00177A3F" w14:paraId="07D26134" w14:textId="77777777">
        <w:tc>
          <w:tcPr>
            <w:tcW w:w="1000" w:type="pct"/>
          </w:tcPr>
          <w:p w:rsidRPr="00A6689B" w:rsidR="00C14BEF" w:rsidP="00177A3F" w:rsidRDefault="00C14BEF" w14:paraId="211467C0" w14:textId="77777777">
            <w:pPr>
              <w:spacing w:line="240" w:lineRule="auto"/>
              <w:rPr>
                <w:i/>
              </w:rPr>
            </w:pPr>
            <w:r>
              <w:rPr>
                <w:b/>
                <w:i/>
              </w:rPr>
              <w:t>Contact</w:t>
            </w:r>
          </w:p>
        </w:tc>
        <w:tc>
          <w:tcPr>
            <w:tcW w:w="4000" w:type="pct"/>
          </w:tcPr>
          <w:p w:rsidRPr="00A6689B" w:rsidR="00C14BEF" w:rsidP="00177A3F" w:rsidRDefault="00C14BEF" w14:paraId="26DD033F" w14:textId="77777777">
            <w:pPr>
              <w:spacing w:line="240" w:lineRule="auto"/>
              <w:rPr>
                <w:i/>
              </w:rPr>
            </w:pPr>
            <w:r>
              <w:rPr>
                <w:i/>
              </w:rPr>
              <w:t>Andreas BERGER</w:t>
            </w:r>
          </w:p>
        </w:tc>
      </w:tr>
      <w:tr w:rsidRPr="00A6689B" w:rsidR="00C14BEF" w:rsidTr="00177A3F" w14:paraId="06DA42D1" w14:textId="77777777">
        <w:tc>
          <w:tcPr>
            <w:tcW w:w="1000" w:type="pct"/>
          </w:tcPr>
          <w:p w:rsidRPr="00A6689B" w:rsidR="00C14BEF" w:rsidP="00177A3F" w:rsidRDefault="00C14BEF" w14:paraId="2CE7CF26" w14:textId="77777777">
            <w:pPr>
              <w:spacing w:line="240" w:lineRule="auto"/>
              <w:rPr>
                <w:i/>
              </w:rPr>
            </w:pPr>
            <w:r>
              <w:rPr>
                <w:i/>
              </w:rPr>
              <w:t>Tél.</w:t>
            </w:r>
          </w:p>
        </w:tc>
        <w:tc>
          <w:tcPr>
            <w:tcW w:w="4000" w:type="pct"/>
          </w:tcPr>
          <w:p w:rsidRPr="00A6689B" w:rsidR="00C14BEF" w:rsidP="00177A3F" w:rsidRDefault="00C14BEF" w14:paraId="5402B4AD" w14:textId="77777777">
            <w:pPr>
              <w:spacing w:line="240" w:lineRule="auto"/>
              <w:rPr>
                <w:i/>
              </w:rPr>
            </w:pPr>
            <w:r>
              <w:rPr>
                <w:i/>
              </w:rPr>
              <w:t>+32 25469062</w:t>
            </w:r>
          </w:p>
        </w:tc>
      </w:tr>
      <w:tr w:rsidRPr="00A6689B" w:rsidR="00C14BEF" w:rsidTr="00177A3F" w14:paraId="7ED67266" w14:textId="77777777">
        <w:tc>
          <w:tcPr>
            <w:tcW w:w="1000" w:type="pct"/>
          </w:tcPr>
          <w:p w:rsidRPr="00A6689B" w:rsidR="00C14BEF" w:rsidP="00177A3F" w:rsidRDefault="00C14BEF" w14:paraId="7E4209F7" w14:textId="77777777">
            <w:pPr>
              <w:spacing w:line="240" w:lineRule="auto"/>
              <w:rPr>
                <w:i/>
              </w:rPr>
            </w:pPr>
            <w:r>
              <w:rPr>
                <w:i/>
              </w:rPr>
              <w:t>Courriel</w:t>
            </w:r>
          </w:p>
        </w:tc>
        <w:tc>
          <w:tcPr>
            <w:tcW w:w="4000" w:type="pct"/>
          </w:tcPr>
          <w:p w:rsidRPr="00A6689B" w:rsidR="00C14BEF" w:rsidP="00177A3F" w:rsidRDefault="006F4895" w14:paraId="468531DB" w14:textId="77777777">
            <w:pPr>
              <w:spacing w:line="240" w:lineRule="auto"/>
              <w:rPr>
                <w:i/>
              </w:rPr>
            </w:pPr>
            <w:hyperlink w:history="1" r:id="rId59">
              <w:r w:rsidR="00C14BEF">
                <w:rPr>
                  <w:rStyle w:val="Hyperlink"/>
                  <w:i/>
                </w:rPr>
                <w:t>Andreas.Berger@eesc.europa.eu</w:t>
              </w:r>
            </w:hyperlink>
          </w:p>
        </w:tc>
      </w:tr>
    </w:tbl>
    <w:p w:rsidR="00F93E07" w:rsidP="00775FC4" w:rsidRDefault="00F93E07" w14:paraId="54467A85" w14:textId="0C21175A">
      <w:pPr>
        <w:jc w:val="left"/>
        <w:rPr>
          <w:b/>
          <w:bCs/>
          <w:kern w:val="28"/>
          <w:sz w:val="28"/>
          <w:szCs w:val="28"/>
        </w:rPr>
      </w:pPr>
      <w:r>
        <w:br w:type="page"/>
      </w:r>
    </w:p>
    <w:p w:rsidRPr="00605135" w:rsidR="00E110D0" w:rsidP="00CB19DE" w:rsidRDefault="00E110D0" w14:paraId="268D0B18" w14:textId="576C526A">
      <w:pPr>
        <w:pStyle w:val="Heading1"/>
        <w:keepNext/>
        <w:keepLines/>
        <w:numPr>
          <w:ilvl w:val="0"/>
          <w:numId w:val="6"/>
        </w:numPr>
        <w:tabs>
          <w:tab w:val="clear" w:pos="9063"/>
        </w:tabs>
        <w:spacing w:before="0"/>
        <w:ind w:left="426" w:right="0" w:hanging="426"/>
        <w:rPr>
          <w:b/>
          <w:bCs/>
        </w:rPr>
      </w:pPr>
      <w:bookmarkStart w:name="_Toc146880485" w:id="101"/>
      <w:bookmarkStart w:name="_Toc146880536" w:id="102"/>
      <w:r>
        <w:rPr>
          <w:b/>
        </w:rPr>
        <w:t>TRANSPORTS, ÉNERGIE, INFRASTRUCTURES ET SOCIÉTÉ DE L’INFORMATION</w:t>
      </w:r>
      <w:bookmarkEnd w:id="101"/>
      <w:bookmarkEnd w:id="102"/>
    </w:p>
    <w:p w:rsidR="00E47B9A" w:rsidP="00775FC4" w:rsidRDefault="00E47B9A" w14:paraId="637579BE" w14:textId="2BEFB399">
      <w:pPr>
        <w:keepNext/>
        <w:keepLines/>
      </w:pPr>
    </w:p>
    <w:p w:rsidRPr="00AC7B06" w:rsidR="00E47B9A" w:rsidP="00CF2BFD" w:rsidRDefault="006F4895" w14:paraId="483D05BB" w14:textId="0343C85B">
      <w:pPr>
        <w:widowControl w:val="0"/>
        <w:numPr>
          <w:ilvl w:val="0"/>
          <w:numId w:val="20"/>
        </w:numPr>
        <w:overflowPunct w:val="0"/>
        <w:autoSpaceDE w:val="0"/>
        <w:autoSpaceDN w:val="0"/>
        <w:adjustRightInd w:val="0"/>
        <w:ind w:left="426" w:hanging="426"/>
        <w:textAlignment w:val="baseline"/>
        <w:rPr>
          <w:rStyle w:val="Hyperlink"/>
          <w:sz w:val="20"/>
        </w:rPr>
      </w:pPr>
      <w:hyperlink w:history="1" r:id="rId60">
        <w:r w:rsidR="00E47B9A">
          <w:rPr>
            <w:rStyle w:val="Hyperlink"/>
            <w:b/>
            <w:i/>
            <w:sz w:val="28"/>
          </w:rPr>
          <w:t>Liaison fixe transmanche — Accord international sur les exigences en matière de sécurité et d’interopérabilité</w:t>
        </w:r>
      </w:hyperlink>
    </w:p>
    <w:p w:rsidRPr="00AC7B06" w:rsidR="00E47B9A" w:rsidP="00E47B9A" w:rsidRDefault="00E47B9A" w14:paraId="6811AC20" w14:textId="77777777">
      <w:pPr>
        <w:widowControl w:val="0"/>
        <w:ind w:left="567"/>
        <w:rPr>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AC7B06" w:rsidR="00E47B9A" w:rsidTr="00195CCE" w14:paraId="56A8597B" w14:textId="77777777">
        <w:tc>
          <w:tcPr>
            <w:tcW w:w="1701" w:type="dxa"/>
          </w:tcPr>
          <w:p w:rsidRPr="00AC7B06" w:rsidR="00E47B9A" w:rsidP="00195CCE" w:rsidRDefault="00E47B9A" w14:paraId="5F56F2E5" w14:textId="77777777">
            <w:pPr>
              <w:tabs>
                <w:tab w:val="center" w:pos="284"/>
              </w:tabs>
              <w:ind w:left="596" w:hanging="709"/>
              <w:rPr>
                <w:b/>
              </w:rPr>
            </w:pPr>
            <w:r>
              <w:rPr>
                <w:b/>
              </w:rPr>
              <w:t>Références</w:t>
            </w:r>
          </w:p>
        </w:tc>
        <w:tc>
          <w:tcPr>
            <w:tcW w:w="5387" w:type="dxa"/>
          </w:tcPr>
          <w:p w:rsidRPr="00AC7B06" w:rsidR="00E47B9A" w:rsidP="00195CCE" w:rsidRDefault="00E47B9A" w14:paraId="25B12178" w14:textId="77777777">
            <w:pPr>
              <w:tabs>
                <w:tab w:val="center" w:pos="284"/>
              </w:tabs>
              <w:ind w:left="720" w:hanging="720"/>
              <w:rPr>
                <w:bCs/>
              </w:rPr>
            </w:pPr>
            <w:r>
              <w:t>Avis de catégorie C</w:t>
            </w:r>
          </w:p>
          <w:p w:rsidRPr="00AC7B06" w:rsidR="00E47B9A" w:rsidP="00195CCE" w:rsidRDefault="00E47B9A" w14:paraId="0505A202" w14:textId="3A5DD110">
            <w:pPr>
              <w:tabs>
                <w:tab w:val="center" w:pos="284"/>
              </w:tabs>
              <w:ind w:left="720" w:hanging="720"/>
              <w:rPr>
                <w:bCs/>
              </w:rPr>
            </w:pPr>
            <w:r>
              <w:t>COM(2023) 328 final</w:t>
            </w:r>
          </w:p>
          <w:p w:rsidRPr="00CE400F" w:rsidR="00E47B9A" w:rsidP="00195CCE" w:rsidRDefault="00E47B9A" w14:paraId="4424E66A" w14:textId="1A0F0DF2">
            <w:pPr>
              <w:tabs>
                <w:tab w:val="center" w:pos="284"/>
              </w:tabs>
              <w:ind w:left="720" w:hanging="720"/>
            </w:pPr>
            <w:r>
              <w:t>EESC-2023-03697-00-00-</w:t>
            </w:r>
            <w:r w:rsidR="0001419F">
              <w:t>AC</w:t>
            </w:r>
          </w:p>
        </w:tc>
      </w:tr>
    </w:tbl>
    <w:p w:rsidR="00E47B9A" w:rsidP="00E47B9A" w:rsidRDefault="00E47B9A" w14:paraId="137DAFE2" w14:textId="77777777">
      <w:pPr>
        <w:keepNext/>
        <w:keepLines/>
        <w:tabs>
          <w:tab w:val="center" w:pos="284"/>
        </w:tabs>
        <w:ind w:left="720" w:hanging="720"/>
        <w:rPr>
          <w:b/>
        </w:rPr>
      </w:pPr>
    </w:p>
    <w:p w:rsidRPr="00AC7B06" w:rsidR="00E47B9A" w:rsidP="00E47B9A" w:rsidRDefault="00E47B9A" w14:paraId="57D12FAA" w14:textId="77777777">
      <w:pPr>
        <w:keepNext/>
        <w:keepLines/>
        <w:tabs>
          <w:tab w:val="center" w:pos="284"/>
        </w:tabs>
        <w:ind w:left="720" w:hanging="720"/>
        <w:rPr>
          <w:b/>
        </w:rPr>
      </w:pPr>
      <w:r>
        <w:rPr>
          <w:b/>
        </w:rPr>
        <w:t>Points clés</w:t>
      </w:r>
    </w:p>
    <w:p w:rsidRPr="00AC7B06" w:rsidR="00E47B9A" w:rsidP="00E47B9A" w:rsidRDefault="00E47B9A" w14:paraId="0F1E804D" w14:textId="77777777">
      <w:pPr>
        <w:keepNext/>
        <w:keepLines/>
        <w:tabs>
          <w:tab w:val="center" w:pos="284"/>
        </w:tabs>
        <w:ind w:left="720" w:hanging="720"/>
        <w:rPr>
          <w:b/>
        </w:rPr>
      </w:pPr>
    </w:p>
    <w:p w:rsidRPr="00AC7B06" w:rsidR="00E47B9A" w:rsidP="00F72939" w:rsidRDefault="00E47B9A" w14:paraId="202CC0E6" w14:textId="77777777">
      <w:pPr>
        <w:widowControl w:val="0"/>
        <w:numPr>
          <w:ilvl w:val="0"/>
          <w:numId w:val="20"/>
        </w:numPr>
        <w:overflowPunct w:val="0"/>
        <w:autoSpaceDE w:val="0"/>
        <w:autoSpaceDN w:val="0"/>
        <w:adjustRightInd w:val="0"/>
        <w:textAlignment w:val="baseline"/>
        <w:rPr>
          <w:bCs/>
          <w:iCs/>
        </w:rPr>
      </w:pPr>
      <w:r>
        <w:t>Ayant estimé que le contenu de la proposition est [entièrement] satisfaisant et n’appelle aucun commentaire de sa part, le Comité a décidé de rendre un avis favorable au texte proposé.</w:t>
      </w:r>
    </w:p>
    <w:p w:rsidRPr="00AC7B06" w:rsidR="00E47B9A" w:rsidP="00E47B9A" w:rsidRDefault="00E47B9A" w14:paraId="6FF0F07F" w14:textId="77777777">
      <w:pPr>
        <w:widowControl w:val="0"/>
        <w:ind w:left="720" w:hanging="72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C7B06" w:rsidR="00E47B9A" w:rsidTr="00195CCE" w14:paraId="45DDD16E" w14:textId="77777777">
        <w:tc>
          <w:tcPr>
            <w:tcW w:w="1418" w:type="dxa"/>
          </w:tcPr>
          <w:p w:rsidRPr="00AC7B06" w:rsidR="00E47B9A" w:rsidP="00195CCE" w:rsidRDefault="00E47B9A" w14:paraId="09473A24" w14:textId="77777777">
            <w:pPr>
              <w:ind w:left="720" w:hanging="720"/>
              <w:rPr>
                <w:i/>
              </w:rPr>
            </w:pPr>
            <w:r>
              <w:rPr>
                <w:b/>
                <w:i/>
              </w:rPr>
              <w:t>Contact</w:t>
            </w:r>
          </w:p>
        </w:tc>
        <w:tc>
          <w:tcPr>
            <w:tcW w:w="5670" w:type="dxa"/>
          </w:tcPr>
          <w:p w:rsidRPr="00AC7B06" w:rsidR="00E47B9A" w:rsidP="00195CCE" w:rsidRDefault="00E47B9A" w14:paraId="0C8E3040" w14:textId="77777777">
            <w:pPr>
              <w:ind w:left="720" w:hanging="720"/>
              <w:rPr>
                <w:i/>
              </w:rPr>
            </w:pPr>
            <w:r>
              <w:rPr>
                <w:i/>
              </w:rPr>
              <w:t>Maja RADMAN</w:t>
            </w:r>
          </w:p>
        </w:tc>
      </w:tr>
      <w:tr w:rsidRPr="00AC7B06" w:rsidR="00E47B9A" w:rsidTr="00195CCE" w14:paraId="74041EAB" w14:textId="77777777">
        <w:tc>
          <w:tcPr>
            <w:tcW w:w="1418" w:type="dxa"/>
          </w:tcPr>
          <w:p w:rsidRPr="00AC7B06" w:rsidR="00E47B9A" w:rsidP="00195CCE" w:rsidRDefault="00E47B9A" w14:paraId="69B83C0E" w14:textId="77777777">
            <w:pPr>
              <w:ind w:left="720" w:hanging="720"/>
              <w:rPr>
                <w:i/>
              </w:rPr>
            </w:pPr>
            <w:r>
              <w:rPr>
                <w:i/>
              </w:rPr>
              <w:t>Tél.</w:t>
            </w:r>
          </w:p>
        </w:tc>
        <w:tc>
          <w:tcPr>
            <w:tcW w:w="5670" w:type="dxa"/>
          </w:tcPr>
          <w:p w:rsidRPr="00AC7B06" w:rsidR="00E47B9A" w:rsidP="00195CCE" w:rsidRDefault="00E47B9A" w14:paraId="5BE4CFC8" w14:textId="77777777">
            <w:pPr>
              <w:ind w:left="720" w:hanging="720"/>
              <w:rPr>
                <w:i/>
              </w:rPr>
            </w:pPr>
            <w:r>
              <w:rPr>
                <w:i/>
              </w:rPr>
              <w:t>+32 2 546 9051</w:t>
            </w:r>
          </w:p>
        </w:tc>
      </w:tr>
      <w:tr w:rsidRPr="00A6689B" w:rsidR="00E47B9A" w:rsidTr="00195CCE" w14:paraId="0E6892F4" w14:textId="77777777">
        <w:tc>
          <w:tcPr>
            <w:tcW w:w="1418" w:type="dxa"/>
          </w:tcPr>
          <w:p w:rsidRPr="00AC7B06" w:rsidR="00E47B9A" w:rsidP="00195CCE" w:rsidRDefault="00E47B9A" w14:paraId="5D197F5B" w14:textId="77777777">
            <w:pPr>
              <w:ind w:left="720" w:hanging="720"/>
              <w:rPr>
                <w:i/>
              </w:rPr>
            </w:pPr>
            <w:r>
              <w:rPr>
                <w:i/>
              </w:rPr>
              <w:t>Courriel</w:t>
            </w:r>
          </w:p>
        </w:tc>
        <w:tc>
          <w:tcPr>
            <w:tcW w:w="5670" w:type="dxa"/>
          </w:tcPr>
          <w:p w:rsidRPr="00A6689B" w:rsidR="00E47B9A" w:rsidP="00195CCE" w:rsidRDefault="006F4895" w14:paraId="36379C01" w14:textId="77777777">
            <w:pPr>
              <w:ind w:left="720" w:hanging="720"/>
              <w:rPr>
                <w:i/>
              </w:rPr>
            </w:pPr>
            <w:hyperlink w:history="1" r:id="rId61">
              <w:r w:rsidR="00E47B9A">
                <w:rPr>
                  <w:rStyle w:val="Hyperlink"/>
                  <w:i/>
                </w:rPr>
                <w:t>Maja.Radman@eesc.europa.eu</w:t>
              </w:r>
            </w:hyperlink>
          </w:p>
        </w:tc>
      </w:tr>
    </w:tbl>
    <w:p w:rsidR="00E47B9A" w:rsidP="00775FC4" w:rsidRDefault="00E47B9A" w14:paraId="25C9C954" w14:textId="3F4688C1">
      <w:pPr>
        <w:keepNext/>
        <w:keepLines/>
      </w:pPr>
    </w:p>
    <w:p w:rsidR="00E47B9A" w:rsidP="00775FC4" w:rsidRDefault="00E47B9A" w14:paraId="0FF9336D" w14:textId="46B2ABAA">
      <w:pPr>
        <w:keepNext/>
        <w:keepLines/>
      </w:pPr>
    </w:p>
    <w:p w:rsidRPr="0003586F" w:rsidR="00790D42" w:rsidP="00CF2BFD" w:rsidRDefault="006F4895" w14:paraId="4E9EC9B3" w14:textId="13909975">
      <w:pPr>
        <w:widowControl w:val="0"/>
        <w:numPr>
          <w:ilvl w:val="0"/>
          <w:numId w:val="20"/>
        </w:numPr>
        <w:overflowPunct w:val="0"/>
        <w:autoSpaceDE w:val="0"/>
        <w:autoSpaceDN w:val="0"/>
        <w:adjustRightInd w:val="0"/>
        <w:ind w:left="426" w:hanging="426"/>
        <w:textAlignment w:val="baseline"/>
        <w:rPr>
          <w:sz w:val="20"/>
        </w:rPr>
      </w:pPr>
      <w:hyperlink w:history="1" r:id="rId62">
        <w:r w:rsidR="00790D42">
          <w:rPr>
            <w:rStyle w:val="Hyperlink"/>
            <w:b/>
            <w:i/>
            <w:sz w:val="28"/>
          </w:rPr>
          <w:t>Stratégie Drone 2.0</w:t>
        </w:r>
      </w:hyperlink>
    </w:p>
    <w:p w:rsidRPr="00A6689B" w:rsidR="00790D42" w:rsidP="00790D42" w:rsidRDefault="00790D42" w14:paraId="3CACB277" w14:textId="77777777">
      <w:pPr>
        <w:tabs>
          <w:tab w:val="center" w:pos="284"/>
        </w:tabs>
        <w:ind w:left="266" w:hanging="266"/>
        <w:rPr>
          <w:b/>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02"/>
        <w:gridCol w:w="6961"/>
      </w:tblGrid>
      <w:tr w:rsidRPr="00A6689B" w:rsidR="00790D42" w:rsidTr="00597621" w14:paraId="0CDEA690" w14:textId="77777777">
        <w:tc>
          <w:tcPr>
            <w:tcW w:w="1073" w:type="pct"/>
          </w:tcPr>
          <w:p w:rsidRPr="00A6689B" w:rsidR="00790D42" w:rsidP="00195CCE" w:rsidRDefault="00790D42" w14:paraId="48476249" w14:textId="77777777">
            <w:pPr>
              <w:tabs>
                <w:tab w:val="center" w:pos="284"/>
              </w:tabs>
              <w:ind w:left="266" w:hanging="266"/>
              <w:rPr>
                <w:b/>
              </w:rPr>
            </w:pPr>
            <w:r>
              <w:rPr>
                <w:b/>
              </w:rPr>
              <w:t>Rapporteur</w:t>
            </w:r>
          </w:p>
        </w:tc>
        <w:tc>
          <w:tcPr>
            <w:tcW w:w="3927" w:type="pct"/>
          </w:tcPr>
          <w:p w:rsidRPr="00A6689B" w:rsidR="00790D42" w:rsidP="00195CCE" w:rsidRDefault="00790D42" w14:paraId="7592694D" w14:textId="2DC6CA59">
            <w:pPr>
              <w:tabs>
                <w:tab w:val="center" w:pos="284"/>
              </w:tabs>
              <w:ind w:left="266" w:hanging="266"/>
            </w:pPr>
            <w:r>
              <w:t>Maurizio MENSI</w:t>
            </w:r>
            <w:r w:rsidR="0001419F">
              <w:t xml:space="preserve"> (groupe des organisations de la société civile </w:t>
            </w:r>
            <w:r w:rsidR="0048572F">
              <w:t>—</w:t>
            </w:r>
            <w:r w:rsidR="0001419F">
              <w:t xml:space="preserve"> IT)</w:t>
            </w:r>
          </w:p>
        </w:tc>
      </w:tr>
      <w:tr w:rsidRPr="00A6689B" w:rsidR="00790D42" w:rsidTr="00597621" w14:paraId="6FF561F3" w14:textId="77777777">
        <w:tc>
          <w:tcPr>
            <w:tcW w:w="1073" w:type="pct"/>
          </w:tcPr>
          <w:p w:rsidRPr="00A6689B" w:rsidR="00790D42" w:rsidP="00195CCE" w:rsidRDefault="00790D42" w14:paraId="1230C82A" w14:textId="77777777">
            <w:pPr>
              <w:tabs>
                <w:tab w:val="center" w:pos="284"/>
              </w:tabs>
              <w:ind w:left="266" w:hanging="266"/>
              <w:rPr>
                <w:b/>
              </w:rPr>
            </w:pPr>
            <w:r>
              <w:rPr>
                <w:b/>
              </w:rPr>
              <w:t>Références</w:t>
            </w:r>
          </w:p>
        </w:tc>
        <w:tc>
          <w:tcPr>
            <w:tcW w:w="3927" w:type="pct"/>
          </w:tcPr>
          <w:p w:rsidR="00790D42" w:rsidP="00195CCE" w:rsidRDefault="00790D42" w14:paraId="747BAE00" w14:textId="77777777">
            <w:pPr>
              <w:tabs>
                <w:tab w:val="center" w:pos="284"/>
              </w:tabs>
              <w:ind w:left="266" w:hanging="266"/>
            </w:pPr>
            <w:r>
              <w:t>Avis d’initiative</w:t>
            </w:r>
          </w:p>
          <w:p w:rsidRPr="00A6689B" w:rsidR="00790D42" w:rsidP="00195CCE" w:rsidRDefault="00790D42" w14:paraId="47CF1F6D" w14:textId="7D24AEE1">
            <w:pPr>
              <w:tabs>
                <w:tab w:val="center" w:pos="284"/>
              </w:tabs>
              <w:ind w:left="266" w:hanging="266"/>
            </w:pPr>
            <w:r>
              <w:t>EESC-2023-01646-00-00-A</w:t>
            </w:r>
            <w:r w:rsidR="0001419F">
              <w:t>C</w:t>
            </w:r>
          </w:p>
        </w:tc>
      </w:tr>
    </w:tbl>
    <w:p w:rsidR="00790D42" w:rsidP="00790D42" w:rsidRDefault="00790D42" w14:paraId="33BBA0D0" w14:textId="77777777">
      <w:pPr>
        <w:keepNext/>
        <w:keepLines/>
        <w:tabs>
          <w:tab w:val="center" w:pos="284"/>
        </w:tabs>
        <w:ind w:left="266" w:hanging="266"/>
        <w:rPr>
          <w:b/>
        </w:rPr>
      </w:pPr>
    </w:p>
    <w:p w:rsidRPr="00A6689B" w:rsidR="00790D42" w:rsidP="00790D42" w:rsidRDefault="00790D42" w14:paraId="40151704" w14:textId="77777777">
      <w:pPr>
        <w:keepNext/>
        <w:keepLines/>
        <w:tabs>
          <w:tab w:val="center" w:pos="284"/>
        </w:tabs>
        <w:ind w:left="266" w:hanging="266"/>
        <w:rPr>
          <w:b/>
        </w:rPr>
      </w:pPr>
      <w:r>
        <w:rPr>
          <w:b/>
        </w:rPr>
        <w:t>Points clés</w:t>
      </w:r>
    </w:p>
    <w:p w:rsidRPr="00A6689B" w:rsidR="00790D42" w:rsidP="00790D42" w:rsidRDefault="00790D42" w14:paraId="0420CAED" w14:textId="77777777">
      <w:pPr>
        <w:keepNext/>
        <w:keepLines/>
        <w:tabs>
          <w:tab w:val="center" w:pos="284"/>
        </w:tabs>
        <w:ind w:left="266" w:hanging="266"/>
        <w:rPr>
          <w:b/>
        </w:rPr>
      </w:pPr>
    </w:p>
    <w:p w:rsidRPr="00A6689B" w:rsidR="00790D42" w:rsidP="00790D42" w:rsidRDefault="00790D42" w14:paraId="79158ABC" w14:textId="77777777">
      <w:pPr>
        <w:rPr>
          <w:bCs/>
          <w:iCs/>
        </w:rPr>
      </w:pPr>
      <w:r>
        <w:t>Le CESE:</w:t>
      </w:r>
    </w:p>
    <w:p w:rsidRPr="008E47EA" w:rsidR="00790D42" w:rsidP="00E86C69" w:rsidRDefault="00790D42" w14:paraId="4A7847AE" w14:textId="77777777">
      <w:pPr>
        <w:numPr>
          <w:ilvl w:val="0"/>
          <w:numId w:val="20"/>
        </w:numPr>
        <w:spacing w:before="100" w:beforeAutospacing="1" w:after="100" w:afterAutospacing="1"/>
        <w:ind w:left="568" w:hanging="568"/>
        <w:rPr>
          <w:color w:val="000000"/>
        </w:rPr>
      </w:pPr>
      <w:r>
        <w:rPr>
          <w:color w:val="000000"/>
        </w:rPr>
        <w:t xml:space="preserve">souligne que le développement du marché des drones nécessite </w:t>
      </w:r>
      <w:r>
        <w:rPr>
          <w:b/>
          <w:color w:val="000000"/>
        </w:rPr>
        <w:t>une planification régionale et locale</w:t>
      </w:r>
      <w:r>
        <w:rPr>
          <w:color w:val="000000"/>
        </w:rPr>
        <w:t xml:space="preserve"> intégrant la mobilité en tant que service dans le cadre d’une approche multisectorielle. Aussi s’imposera-t-il d’assurer une coordination avec les </w:t>
      </w:r>
      <w:r>
        <w:rPr>
          <w:b/>
          <w:color w:val="000000"/>
        </w:rPr>
        <w:t>autorités nationales et locales</w:t>
      </w:r>
      <w:r>
        <w:rPr>
          <w:color w:val="000000"/>
        </w:rPr>
        <w:t xml:space="preserve"> compétentes. Le CESE estime que l’intégration des dimensions terrestre, aérienne et maritime pourrait devenir un facteur important de </w:t>
      </w:r>
      <w:r>
        <w:rPr>
          <w:b/>
          <w:color w:val="000000"/>
        </w:rPr>
        <w:t>développement territorial</w:t>
      </w:r>
      <w:r>
        <w:rPr>
          <w:color w:val="000000"/>
        </w:rPr>
        <w:t xml:space="preserve">; </w:t>
      </w:r>
    </w:p>
    <w:p w:rsidRPr="00573D9E" w:rsidR="00790D42" w:rsidP="00E86C69" w:rsidRDefault="00790D42" w14:paraId="0362C1F2" w14:textId="77777777">
      <w:pPr>
        <w:numPr>
          <w:ilvl w:val="0"/>
          <w:numId w:val="20"/>
        </w:numPr>
        <w:spacing w:before="100" w:beforeAutospacing="1" w:after="100" w:afterAutospacing="1"/>
        <w:ind w:left="568" w:hanging="568"/>
        <w:rPr>
          <w:color w:val="000000"/>
        </w:rPr>
      </w:pPr>
      <w:r>
        <w:t xml:space="preserve">juge essentiel d’établir rapidement </w:t>
      </w:r>
      <w:r>
        <w:rPr>
          <w:b/>
        </w:rPr>
        <w:t>une coordination adéquate entre les autorités compétentes</w:t>
      </w:r>
      <w:r>
        <w:t>. Il y aura lieu d’assurer une interaction entre les systèmes réglementaires existants, afin que l’activité des drones soit traitée comme faisant partie intégrante des différents secteurs d’activité. En tenant compte de cette gouvernance à de multiples niveaux, la Commission devrait adopter des lignes directrices pour orienter le développement industriel.</w:t>
      </w:r>
      <w:r>
        <w:rPr>
          <w:color w:val="000000"/>
        </w:rPr>
        <w:t xml:space="preserve"> Les coûts liés à la gestion de l’U-</w:t>
      </w:r>
      <w:proofErr w:type="spellStart"/>
      <w:r>
        <w:rPr>
          <w:color w:val="000000"/>
        </w:rPr>
        <w:t>space</w:t>
      </w:r>
      <w:proofErr w:type="spellEnd"/>
      <w:r>
        <w:rPr>
          <w:color w:val="000000"/>
        </w:rPr>
        <w:t xml:space="preserve"> ne devraient pas être imputés aux usagers actuels de l’espace aérien (compagnies aériennes et exploitants d’aéronefs commerciaux); </w:t>
      </w:r>
    </w:p>
    <w:p w:rsidRPr="00597621" w:rsidR="00597621" w:rsidP="00597621" w:rsidRDefault="00790D42" w14:paraId="24D82C24" w14:textId="77777777">
      <w:pPr>
        <w:numPr>
          <w:ilvl w:val="0"/>
          <w:numId w:val="20"/>
        </w:numPr>
        <w:spacing w:before="100" w:beforeAutospacing="1" w:after="100" w:afterAutospacing="1"/>
        <w:ind w:left="568" w:hanging="568"/>
        <w:rPr>
          <w:color w:val="000000"/>
        </w:rPr>
      </w:pPr>
      <w:r>
        <w:t xml:space="preserve">souligne qu’il est essentiel de garantir un niveau élevé de </w:t>
      </w:r>
      <w:r>
        <w:rPr>
          <w:b/>
        </w:rPr>
        <w:t>sécurité physique et cybernétique</w:t>
      </w:r>
      <w:r>
        <w:t xml:space="preserve"> pour les drones, notamment à des fins de sécurité nationale, afin d’empêcher que la communication des UAS ne fasse l’objet d’actes de piratage et de prévenir ainsi toute utilisation ou prise de contrôle de ceux-ci à des fins malveillantes. Cette mesure contribuerait à préserver l’intégrité et la sécurité de l’espace aérien des zones urbaines;</w:t>
      </w:r>
    </w:p>
    <w:p w:rsidRPr="00597621" w:rsidR="00790D42" w:rsidP="00597621" w:rsidRDefault="00790D42" w14:paraId="4F3A41A6" w14:textId="17BC10AB">
      <w:pPr>
        <w:numPr>
          <w:ilvl w:val="0"/>
          <w:numId w:val="20"/>
        </w:numPr>
        <w:spacing w:before="100" w:beforeAutospacing="1" w:after="100" w:afterAutospacing="1"/>
        <w:ind w:left="568" w:hanging="568"/>
        <w:rPr>
          <w:color w:val="000000"/>
        </w:rPr>
      </w:pPr>
      <w:r>
        <w:t xml:space="preserve">sachant que l’introduction d’une nouvelle mobilité aérienne est très certainement amenée à influencer et modifier de nombreux aspects de notre société, estime que pour en tirer le meilleur parti possible et assurer son </w:t>
      </w:r>
      <w:r w:rsidRPr="00597621">
        <w:rPr>
          <w:b/>
        </w:rPr>
        <w:t>acceptation publique et politique</w:t>
      </w:r>
      <w:r>
        <w:t xml:space="preserve">, l’UE devrait engager un vaste </w:t>
      </w:r>
      <w:r w:rsidRPr="00597621">
        <w:rPr>
          <w:b/>
        </w:rPr>
        <w:t>exercice de renforcement des compétences et de l’acceptation</w:t>
      </w:r>
      <w:r>
        <w:t xml:space="preserve"> associant toutes les parties prenantes, les différents secteurs industriels et les citoyens. </w:t>
      </w: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9"/>
        <w:gridCol w:w="4293"/>
      </w:tblGrid>
      <w:tr w:rsidRPr="00A6689B" w:rsidR="00790D42" w:rsidTr="00195CCE" w14:paraId="27C0CE95" w14:textId="77777777">
        <w:tc>
          <w:tcPr>
            <w:tcW w:w="1556" w:type="pct"/>
          </w:tcPr>
          <w:p w:rsidRPr="00A6689B" w:rsidR="00790D42" w:rsidP="00195CCE" w:rsidRDefault="00790D42" w14:paraId="08F556B3" w14:textId="77777777">
            <w:pPr>
              <w:rPr>
                <w:i/>
              </w:rPr>
            </w:pPr>
            <w:r>
              <w:rPr>
                <w:b/>
                <w:i/>
              </w:rPr>
              <w:t xml:space="preserve">Contact </w:t>
            </w:r>
          </w:p>
        </w:tc>
        <w:tc>
          <w:tcPr>
            <w:tcW w:w="3444" w:type="pct"/>
          </w:tcPr>
          <w:p w:rsidRPr="009203E8" w:rsidR="00790D42" w:rsidP="00195CCE" w:rsidRDefault="00790D42" w14:paraId="470BB8E4" w14:textId="77777777">
            <w:pPr>
              <w:rPr>
                <w:i/>
                <w:iCs/>
              </w:rPr>
            </w:pPr>
            <w:r>
              <w:rPr>
                <w:i/>
              </w:rPr>
              <w:t>Maja RADMAN</w:t>
            </w:r>
          </w:p>
        </w:tc>
      </w:tr>
      <w:tr w:rsidRPr="00A6689B" w:rsidR="00790D42" w:rsidTr="00195CCE" w14:paraId="423D3CD2" w14:textId="77777777">
        <w:tc>
          <w:tcPr>
            <w:tcW w:w="1556" w:type="pct"/>
          </w:tcPr>
          <w:p w:rsidRPr="00A6689B" w:rsidR="00790D42" w:rsidP="00195CCE" w:rsidRDefault="00790D42" w14:paraId="2AC1F61C" w14:textId="77777777">
            <w:pPr>
              <w:rPr>
                <w:i/>
              </w:rPr>
            </w:pPr>
            <w:r>
              <w:rPr>
                <w:i/>
              </w:rPr>
              <w:t>Tél.</w:t>
            </w:r>
          </w:p>
        </w:tc>
        <w:tc>
          <w:tcPr>
            <w:tcW w:w="3444" w:type="pct"/>
          </w:tcPr>
          <w:p w:rsidRPr="00A6689B" w:rsidR="00790D42" w:rsidP="00195CCE" w:rsidRDefault="00790D42" w14:paraId="6E0B4AB0" w14:textId="77777777">
            <w:pPr>
              <w:rPr>
                <w:i/>
              </w:rPr>
            </w:pPr>
            <w:r>
              <w:rPr>
                <w:i/>
              </w:rPr>
              <w:t>+32 2 546 9051</w:t>
            </w:r>
          </w:p>
        </w:tc>
      </w:tr>
      <w:tr w:rsidRPr="00A6689B" w:rsidR="00790D42" w:rsidTr="00195CCE" w14:paraId="468D67E8" w14:textId="77777777">
        <w:tc>
          <w:tcPr>
            <w:tcW w:w="1556" w:type="pct"/>
          </w:tcPr>
          <w:p w:rsidRPr="00A6689B" w:rsidR="00790D42" w:rsidP="00195CCE" w:rsidRDefault="00790D42" w14:paraId="425319EF" w14:textId="77777777">
            <w:pPr>
              <w:rPr>
                <w:i/>
              </w:rPr>
            </w:pPr>
            <w:r>
              <w:rPr>
                <w:i/>
              </w:rPr>
              <w:t xml:space="preserve">Courriel </w:t>
            </w:r>
          </w:p>
        </w:tc>
        <w:tc>
          <w:tcPr>
            <w:tcW w:w="3444" w:type="pct"/>
          </w:tcPr>
          <w:p w:rsidRPr="009203E8" w:rsidR="00790D42" w:rsidP="00195CCE" w:rsidRDefault="006F4895" w14:paraId="0916B0E8" w14:textId="77777777">
            <w:pPr>
              <w:rPr>
                <w:i/>
                <w:iCs/>
              </w:rPr>
            </w:pPr>
            <w:hyperlink w:history="1" r:id="rId63">
              <w:r w:rsidR="00790D42">
                <w:rPr>
                  <w:rStyle w:val="Hyperlink"/>
                  <w:i/>
                </w:rPr>
                <w:t>maja.radman@eesc.europa.eu</w:t>
              </w:r>
            </w:hyperlink>
            <w:r w:rsidR="00790D42">
              <w:rPr>
                <w:i/>
              </w:rPr>
              <w:t xml:space="preserve"> </w:t>
            </w:r>
          </w:p>
        </w:tc>
      </w:tr>
    </w:tbl>
    <w:p w:rsidR="00E47B9A" w:rsidP="00775FC4" w:rsidRDefault="00E47B9A" w14:paraId="4F707CDD" w14:textId="353C73FC">
      <w:pPr>
        <w:keepNext/>
        <w:keepLines/>
      </w:pPr>
    </w:p>
    <w:p w:rsidR="00E47B9A" w:rsidP="00775FC4" w:rsidRDefault="00E47B9A" w14:paraId="33A4E015" w14:textId="6A5D173C">
      <w:pPr>
        <w:keepNext/>
        <w:keepLines/>
      </w:pPr>
    </w:p>
    <w:p w:rsidRPr="0003586F" w:rsidR="00790D42" w:rsidP="00F72939" w:rsidRDefault="006F4895" w14:paraId="76DE9553" w14:textId="64189C17">
      <w:pPr>
        <w:widowControl w:val="0"/>
        <w:numPr>
          <w:ilvl w:val="0"/>
          <w:numId w:val="20"/>
        </w:numPr>
        <w:overflowPunct w:val="0"/>
        <w:autoSpaceDE w:val="0"/>
        <w:autoSpaceDN w:val="0"/>
        <w:adjustRightInd w:val="0"/>
        <w:ind w:left="426" w:hanging="426"/>
        <w:textAlignment w:val="baseline"/>
        <w:rPr>
          <w:sz w:val="20"/>
        </w:rPr>
      </w:pPr>
      <w:hyperlink w:history="1" r:id="rId64">
        <w:r w:rsidR="00790D42">
          <w:rPr>
            <w:rStyle w:val="Hyperlink"/>
            <w:b/>
            <w:i/>
            <w:sz w:val="28"/>
          </w:rPr>
          <w:t>Classe d’émissions de CO</w:t>
        </w:r>
        <w:r w:rsidR="00790D42">
          <w:rPr>
            <w:rStyle w:val="Hyperlink"/>
            <w:b/>
            <w:i/>
            <w:sz w:val="28"/>
            <w:vertAlign w:val="subscript"/>
          </w:rPr>
          <w:t>2</w:t>
        </w:r>
        <w:r w:rsidR="00790D42">
          <w:rPr>
            <w:rStyle w:val="Hyperlink"/>
            <w:b/>
            <w:i/>
            <w:sz w:val="28"/>
          </w:rPr>
          <w:t xml:space="preserve"> des véhicules lourds avec remorques</w:t>
        </w:r>
      </w:hyperlink>
    </w:p>
    <w:p w:rsidRPr="00A6689B" w:rsidR="00790D42" w:rsidP="00790D42" w:rsidRDefault="00790D42" w14:paraId="541375DB" w14:textId="77777777">
      <w:pPr>
        <w:tabs>
          <w:tab w:val="center" w:pos="284"/>
        </w:tabs>
        <w:ind w:left="266" w:hanging="266"/>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A6689B" w:rsidR="00790D42" w:rsidTr="00195CCE" w14:paraId="1BB82FF7" w14:textId="77777777">
        <w:tc>
          <w:tcPr>
            <w:tcW w:w="1701" w:type="dxa"/>
          </w:tcPr>
          <w:p w:rsidRPr="00A6689B" w:rsidR="00790D42" w:rsidP="00195CCE" w:rsidRDefault="00790D42" w14:paraId="099D3132" w14:textId="77777777">
            <w:pPr>
              <w:tabs>
                <w:tab w:val="center" w:pos="284"/>
              </w:tabs>
              <w:ind w:left="266" w:hanging="266"/>
              <w:rPr>
                <w:b/>
              </w:rPr>
            </w:pPr>
            <w:r>
              <w:rPr>
                <w:b/>
              </w:rPr>
              <w:t>Rapporteur</w:t>
            </w:r>
          </w:p>
        </w:tc>
        <w:tc>
          <w:tcPr>
            <w:tcW w:w="5387" w:type="dxa"/>
          </w:tcPr>
          <w:p w:rsidRPr="00A6689B" w:rsidR="00790D42" w:rsidP="00195CCE" w:rsidRDefault="00790D42" w14:paraId="6E750E72" w14:textId="3E808F97">
            <w:pPr>
              <w:tabs>
                <w:tab w:val="center" w:pos="284"/>
              </w:tabs>
              <w:ind w:left="266" w:hanging="266"/>
            </w:pPr>
            <w:r>
              <w:t xml:space="preserve">Bruno CHOIX </w:t>
            </w:r>
            <w:r w:rsidR="0001419F">
              <w:t xml:space="preserve">(groupe des employeurs </w:t>
            </w:r>
            <w:r w:rsidR="0048572F">
              <w:t>—</w:t>
            </w:r>
            <w:r w:rsidR="0001419F">
              <w:t xml:space="preserve"> FR)</w:t>
            </w:r>
          </w:p>
        </w:tc>
      </w:tr>
      <w:tr w:rsidRPr="00A6689B" w:rsidR="00790D42" w:rsidTr="00195CCE" w14:paraId="2E7B4F76" w14:textId="77777777">
        <w:tc>
          <w:tcPr>
            <w:tcW w:w="7088" w:type="dxa"/>
            <w:gridSpan w:val="2"/>
          </w:tcPr>
          <w:p w:rsidRPr="00A6689B" w:rsidR="00790D42" w:rsidP="00195CCE" w:rsidRDefault="00790D42" w14:paraId="0414D6A6" w14:textId="77777777">
            <w:pPr>
              <w:tabs>
                <w:tab w:val="center" w:pos="284"/>
              </w:tabs>
              <w:spacing w:line="160" w:lineRule="exact"/>
              <w:ind w:left="266" w:hanging="266"/>
              <w:rPr>
                <w:lang w:val="en-US"/>
              </w:rPr>
            </w:pPr>
          </w:p>
        </w:tc>
      </w:tr>
      <w:tr w:rsidRPr="00A6689B" w:rsidR="00790D42" w:rsidTr="00195CCE" w14:paraId="406F769E" w14:textId="77777777">
        <w:tc>
          <w:tcPr>
            <w:tcW w:w="1701" w:type="dxa"/>
          </w:tcPr>
          <w:p w:rsidRPr="00A6689B" w:rsidR="00790D42" w:rsidP="00195CCE" w:rsidRDefault="00790D42" w14:paraId="4BA41B56" w14:textId="77777777">
            <w:pPr>
              <w:tabs>
                <w:tab w:val="center" w:pos="284"/>
              </w:tabs>
              <w:ind w:left="266" w:hanging="266"/>
              <w:rPr>
                <w:b/>
              </w:rPr>
            </w:pPr>
            <w:r>
              <w:rPr>
                <w:b/>
              </w:rPr>
              <w:t>Références</w:t>
            </w:r>
          </w:p>
        </w:tc>
        <w:tc>
          <w:tcPr>
            <w:tcW w:w="5387" w:type="dxa"/>
          </w:tcPr>
          <w:p w:rsidR="00790D42" w:rsidP="00195CCE" w:rsidRDefault="00790D42" w14:paraId="71B9984B" w14:textId="77777777">
            <w:pPr>
              <w:tabs>
                <w:tab w:val="center" w:pos="284"/>
              </w:tabs>
              <w:ind w:left="266" w:hanging="266"/>
            </w:pPr>
            <w:r>
              <w:t>COM(2023) 189 final</w:t>
            </w:r>
          </w:p>
          <w:p w:rsidRPr="00A6689B" w:rsidR="00790D42" w:rsidP="00195CCE" w:rsidRDefault="00790D42" w14:paraId="78145E38" w14:textId="7A948234">
            <w:r>
              <w:t>EESC-2023-03043-00-00-AC</w:t>
            </w:r>
          </w:p>
        </w:tc>
      </w:tr>
    </w:tbl>
    <w:p w:rsidRPr="00A6689B" w:rsidR="00790D42" w:rsidP="00790D42" w:rsidRDefault="00790D42" w14:paraId="0F265103" w14:textId="77777777">
      <w:pPr>
        <w:tabs>
          <w:tab w:val="center" w:pos="284"/>
        </w:tabs>
        <w:ind w:left="266" w:hanging="266"/>
      </w:pPr>
    </w:p>
    <w:p w:rsidRPr="00A6689B" w:rsidR="00790D42" w:rsidP="00790D42" w:rsidRDefault="00790D42" w14:paraId="4BFE89C0" w14:textId="77777777">
      <w:pPr>
        <w:keepNext/>
        <w:keepLines/>
        <w:tabs>
          <w:tab w:val="center" w:pos="284"/>
        </w:tabs>
        <w:ind w:left="266" w:hanging="266"/>
        <w:rPr>
          <w:b/>
        </w:rPr>
      </w:pPr>
      <w:r>
        <w:rPr>
          <w:b/>
        </w:rPr>
        <w:t>Points clés</w:t>
      </w:r>
    </w:p>
    <w:p w:rsidRPr="00A6689B" w:rsidR="00790D42" w:rsidP="00790D42" w:rsidRDefault="00790D42" w14:paraId="7EF76449" w14:textId="77777777">
      <w:pPr>
        <w:keepNext/>
        <w:keepLines/>
        <w:tabs>
          <w:tab w:val="center" w:pos="284"/>
        </w:tabs>
        <w:ind w:left="266" w:hanging="266"/>
        <w:rPr>
          <w:b/>
        </w:rPr>
      </w:pPr>
    </w:p>
    <w:p w:rsidRPr="00A6689B" w:rsidR="00790D42" w:rsidP="00790D42" w:rsidRDefault="00790D42" w14:paraId="73CF470B" w14:textId="77777777">
      <w:pPr>
        <w:keepNext/>
        <w:rPr>
          <w:bCs/>
          <w:iCs/>
        </w:rPr>
      </w:pPr>
      <w:r>
        <w:t>Le CESE:</w:t>
      </w:r>
    </w:p>
    <w:p w:rsidRPr="00B70CE6" w:rsidR="00790D42" w:rsidP="00E86C69" w:rsidRDefault="00790D42" w14:paraId="06E1A98F" w14:textId="77777777">
      <w:pPr>
        <w:pStyle w:val="ListParagraph"/>
        <w:keepNext/>
        <w:numPr>
          <w:ilvl w:val="0"/>
          <w:numId w:val="20"/>
        </w:numPr>
        <w:spacing w:after="200" w:line="276" w:lineRule="auto"/>
        <w:rPr>
          <w:bCs/>
          <w:iCs/>
        </w:rPr>
      </w:pPr>
      <w:r>
        <w:t>demande que l’on avance la date d’entrée en vigueur de la modification du calcul des péages en fonction de l’efficacité énergétique des remorques et des semi-remorques et de la prise en compte obligatoire de l’efficacité énergétique des remorques et des semi-remorques pour déterminer la classe de tarification applicable aux ensembles routiers tracteurs-remorques lorsque la différenciation des redevances en fonction des émissions de CO</w:t>
      </w:r>
      <w:r>
        <w:rPr>
          <w:vertAlign w:val="subscript"/>
        </w:rPr>
        <w:t>2</w:t>
      </w:r>
      <w:r>
        <w:t xml:space="preserve"> sera applicable aux véhicules à moteur. La date proposée par la Commission européenne (1</w:t>
      </w:r>
      <w:r>
        <w:rPr>
          <w:vertAlign w:val="superscript"/>
        </w:rPr>
        <w:t>er</w:t>
      </w:r>
      <w:r>
        <w:t> juillet 2030) devrait donc être avancée;</w:t>
      </w:r>
    </w:p>
    <w:p w:rsidRPr="00B70CE6" w:rsidR="00790D42" w:rsidP="00E86C69" w:rsidRDefault="00790D42" w14:paraId="1A32853B" w14:textId="77777777">
      <w:pPr>
        <w:pStyle w:val="ListParagraph"/>
        <w:numPr>
          <w:ilvl w:val="0"/>
          <w:numId w:val="20"/>
        </w:numPr>
        <w:spacing w:after="200" w:line="276" w:lineRule="auto"/>
        <w:rPr>
          <w:bCs/>
          <w:iCs/>
        </w:rPr>
      </w:pPr>
      <w:r>
        <w:t>demande que soient évaluées et examinées les conséquences possibles de l’imposition de péages ou de droits d’usage à tous les poids lourds, en particulier pour les petites et moyennes entreprises (PME); par conséquent, recommande aux États membres de prévoir des exemptions ciblées de ces redevances;</w:t>
      </w:r>
    </w:p>
    <w:p w:rsidRPr="00772148" w:rsidR="00790D42" w:rsidP="00E86C69" w:rsidRDefault="00790D42" w14:paraId="1F2DD757" w14:textId="77777777">
      <w:pPr>
        <w:pStyle w:val="ListParagraph"/>
        <w:numPr>
          <w:ilvl w:val="0"/>
          <w:numId w:val="20"/>
        </w:numPr>
        <w:spacing w:after="200" w:line="276" w:lineRule="auto"/>
        <w:rPr>
          <w:bCs/>
          <w:iCs/>
        </w:rPr>
      </w:pPr>
      <w:r>
        <w:t>attire l’attention sur la nécessité de réduire les émissions de CO</w:t>
      </w:r>
      <w:r>
        <w:rPr>
          <w:vertAlign w:val="subscript"/>
        </w:rPr>
        <w:t>2</w:t>
      </w:r>
      <w:r>
        <w:t xml:space="preserve"> par tous les moyens possibles. Par exemple, il est possible de réduire les émissions de CO</w:t>
      </w:r>
      <w:r>
        <w:rPr>
          <w:vertAlign w:val="subscript"/>
        </w:rPr>
        <w:t>2</w:t>
      </w:r>
      <w:r>
        <w:t xml:space="preserve"> des véhicules lourds avec remorque en déplaçant leur trafic vers les réseaux ferroviaires européens, en tant que modes de transport à moindre intensité de carbone, et en introduisant des modes de propulsion alternatifs différenciés selon les types de transport (de la distribution de proximité au transport longue distance). La propulsion électrique peut convenir aux véhicules utilisés pour les trajets courts, et l’hydrogène, le gaz naturel renouvelable (GNR) et le gaz naturel liquéfié (GNL) aux véhicules lourds pour les trajets plus longs.</w:t>
      </w:r>
    </w:p>
    <w:p w:rsidRPr="000624A9" w:rsidR="00790D42" w:rsidP="00790D42" w:rsidRDefault="00790D42" w14:paraId="3CAAF335" w14:textId="77777777">
      <w:pPr>
        <w:widowControl w:val="0"/>
        <w:ind w:left="709"/>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6689B" w:rsidR="00790D42" w:rsidTr="00195CCE" w14:paraId="3D8C456A" w14:textId="77777777">
        <w:tc>
          <w:tcPr>
            <w:tcW w:w="1418" w:type="dxa"/>
          </w:tcPr>
          <w:p w:rsidRPr="00A6689B" w:rsidR="00790D42" w:rsidP="00195CCE" w:rsidRDefault="00790D42" w14:paraId="0541007D" w14:textId="77777777">
            <w:pPr>
              <w:spacing w:line="240" w:lineRule="auto"/>
              <w:rPr>
                <w:i/>
              </w:rPr>
            </w:pPr>
            <w:r>
              <w:rPr>
                <w:b/>
                <w:i/>
              </w:rPr>
              <w:t>Contact</w:t>
            </w:r>
          </w:p>
        </w:tc>
        <w:tc>
          <w:tcPr>
            <w:tcW w:w="5670" w:type="dxa"/>
          </w:tcPr>
          <w:p w:rsidRPr="00A6689B" w:rsidR="00790D42" w:rsidP="00195CCE" w:rsidRDefault="00790D42" w14:paraId="29BC72C9" w14:textId="77777777">
            <w:pPr>
              <w:spacing w:line="240" w:lineRule="auto"/>
              <w:rPr>
                <w:i/>
              </w:rPr>
            </w:pPr>
            <w:r>
              <w:rPr>
                <w:i/>
              </w:rPr>
              <w:t>António RIBEIRO PEREIRA</w:t>
            </w:r>
          </w:p>
        </w:tc>
      </w:tr>
      <w:tr w:rsidRPr="00A6689B" w:rsidR="00790D42" w:rsidTr="00195CCE" w14:paraId="7253EA35" w14:textId="77777777">
        <w:tc>
          <w:tcPr>
            <w:tcW w:w="1418" w:type="dxa"/>
          </w:tcPr>
          <w:p w:rsidRPr="00A6689B" w:rsidR="00790D42" w:rsidP="00195CCE" w:rsidRDefault="00790D42" w14:paraId="494FB66B" w14:textId="77777777">
            <w:pPr>
              <w:spacing w:line="240" w:lineRule="auto"/>
              <w:rPr>
                <w:i/>
              </w:rPr>
            </w:pPr>
            <w:r>
              <w:rPr>
                <w:i/>
              </w:rPr>
              <w:t>Tél.</w:t>
            </w:r>
          </w:p>
        </w:tc>
        <w:tc>
          <w:tcPr>
            <w:tcW w:w="5670" w:type="dxa"/>
          </w:tcPr>
          <w:p w:rsidRPr="00A6689B" w:rsidR="00790D42" w:rsidP="00195CCE" w:rsidRDefault="00790D42" w14:paraId="12160895" w14:textId="77777777">
            <w:pPr>
              <w:spacing w:line="240" w:lineRule="auto"/>
              <w:rPr>
                <w:i/>
              </w:rPr>
            </w:pPr>
            <w:r>
              <w:rPr>
                <w:i/>
              </w:rPr>
              <w:t>+32 2 546 9363</w:t>
            </w:r>
          </w:p>
        </w:tc>
      </w:tr>
      <w:tr w:rsidRPr="00A6689B" w:rsidR="00790D42" w:rsidTr="00195CCE" w14:paraId="785232C4" w14:textId="77777777">
        <w:tc>
          <w:tcPr>
            <w:tcW w:w="1418" w:type="dxa"/>
          </w:tcPr>
          <w:p w:rsidRPr="00A6689B" w:rsidR="00790D42" w:rsidP="00195CCE" w:rsidRDefault="00790D42" w14:paraId="184CE84B" w14:textId="77777777">
            <w:pPr>
              <w:spacing w:line="240" w:lineRule="auto"/>
              <w:rPr>
                <w:i/>
              </w:rPr>
            </w:pPr>
            <w:r>
              <w:rPr>
                <w:i/>
              </w:rPr>
              <w:t>Courriel</w:t>
            </w:r>
          </w:p>
        </w:tc>
        <w:tc>
          <w:tcPr>
            <w:tcW w:w="5670" w:type="dxa"/>
          </w:tcPr>
          <w:p w:rsidRPr="006B6B86" w:rsidR="00790D42" w:rsidP="00195CCE" w:rsidRDefault="006F4895" w14:paraId="59785498" w14:textId="77777777">
            <w:pPr>
              <w:spacing w:line="240" w:lineRule="auto"/>
              <w:rPr>
                <w:i/>
                <w:iCs/>
              </w:rPr>
            </w:pPr>
            <w:hyperlink w:history="1" r:id="rId65">
              <w:r w:rsidR="00790D42">
                <w:rPr>
                  <w:rStyle w:val="Hyperlink"/>
                  <w:i/>
                </w:rPr>
                <w:t>Antonio.RibeiroPereira@eesc.europa.eu</w:t>
              </w:r>
            </w:hyperlink>
          </w:p>
        </w:tc>
      </w:tr>
    </w:tbl>
    <w:p w:rsidR="00E47B9A" w:rsidP="00775FC4" w:rsidRDefault="00E47B9A" w14:paraId="10513F4D" w14:textId="6B2EA580">
      <w:pPr>
        <w:keepNext/>
        <w:keepLines/>
      </w:pPr>
    </w:p>
    <w:p w:rsidR="00E47B9A" w:rsidP="00775FC4" w:rsidRDefault="00E47B9A" w14:paraId="6B6A7625" w14:textId="10AA0FD0">
      <w:pPr>
        <w:keepNext/>
        <w:keepLines/>
      </w:pPr>
    </w:p>
    <w:p w:rsidRPr="0003586F" w:rsidR="00790D42" w:rsidP="00597621" w:rsidRDefault="006F4895" w14:paraId="3816C386" w14:textId="0185FCB2">
      <w:pPr>
        <w:widowControl w:val="0"/>
        <w:numPr>
          <w:ilvl w:val="0"/>
          <w:numId w:val="20"/>
        </w:numPr>
        <w:overflowPunct w:val="0"/>
        <w:autoSpaceDE w:val="0"/>
        <w:autoSpaceDN w:val="0"/>
        <w:adjustRightInd w:val="0"/>
        <w:ind w:left="426" w:hanging="426"/>
        <w:textAlignment w:val="baseline"/>
        <w:rPr>
          <w:sz w:val="20"/>
        </w:rPr>
      </w:pPr>
      <w:hyperlink w:history="1" r:id="rId66">
        <w:r w:rsidR="00790D42">
          <w:rPr>
            <w:rStyle w:val="Hyperlink"/>
            <w:b/>
            <w:i/>
            <w:sz w:val="28"/>
          </w:rPr>
          <w:t>Révision de la directive relative à la pollution causée par les navires</w:t>
        </w:r>
      </w:hyperlink>
    </w:p>
    <w:p w:rsidRPr="00A6689B" w:rsidR="00790D42" w:rsidP="00790D42" w:rsidRDefault="00790D42" w14:paraId="5C57CCC9" w14:textId="77777777">
      <w:pPr>
        <w:tabs>
          <w:tab w:val="center" w:pos="284"/>
        </w:tabs>
        <w:ind w:left="266" w:hanging="266"/>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A6689B" w:rsidR="00790D42" w:rsidTr="00195CCE" w14:paraId="7EBD62DD" w14:textId="77777777">
        <w:tc>
          <w:tcPr>
            <w:tcW w:w="1701" w:type="dxa"/>
          </w:tcPr>
          <w:p w:rsidRPr="00A6689B" w:rsidR="00790D42" w:rsidP="00195CCE" w:rsidRDefault="00790D42" w14:paraId="2F582472" w14:textId="77777777">
            <w:pPr>
              <w:tabs>
                <w:tab w:val="center" w:pos="284"/>
              </w:tabs>
              <w:ind w:left="266" w:hanging="266"/>
              <w:rPr>
                <w:b/>
              </w:rPr>
            </w:pPr>
            <w:r>
              <w:rPr>
                <w:b/>
              </w:rPr>
              <w:t>Rapporteur</w:t>
            </w:r>
          </w:p>
        </w:tc>
        <w:tc>
          <w:tcPr>
            <w:tcW w:w="5387" w:type="dxa"/>
          </w:tcPr>
          <w:p w:rsidRPr="00A6689B" w:rsidR="00790D42" w:rsidP="00195CCE" w:rsidRDefault="00790D42" w14:paraId="637AF2B1" w14:textId="69C3CAA9">
            <w:pPr>
              <w:tabs>
                <w:tab w:val="center" w:pos="284"/>
              </w:tabs>
              <w:ind w:left="266" w:hanging="266"/>
            </w:pPr>
            <w:r>
              <w:t xml:space="preserve">Constantine CATSAMBIS </w:t>
            </w:r>
            <w:r w:rsidR="00F31810">
              <w:t xml:space="preserve">(groupe des employeurs </w:t>
            </w:r>
            <w:r w:rsidR="0048572F">
              <w:t>—</w:t>
            </w:r>
            <w:r w:rsidR="00F31810">
              <w:t xml:space="preserve"> EL)</w:t>
            </w:r>
          </w:p>
        </w:tc>
      </w:tr>
      <w:tr w:rsidRPr="00A6689B" w:rsidR="00790D42" w:rsidTr="00195CCE" w14:paraId="43D0D70F" w14:textId="77777777">
        <w:tc>
          <w:tcPr>
            <w:tcW w:w="7088" w:type="dxa"/>
            <w:gridSpan w:val="2"/>
          </w:tcPr>
          <w:p w:rsidRPr="00A6689B" w:rsidR="00790D42" w:rsidP="00195CCE" w:rsidRDefault="00790D42" w14:paraId="4286AE13" w14:textId="77777777">
            <w:pPr>
              <w:tabs>
                <w:tab w:val="center" w:pos="284"/>
              </w:tabs>
              <w:spacing w:line="160" w:lineRule="exact"/>
              <w:ind w:left="266" w:hanging="266"/>
              <w:rPr>
                <w:lang w:val="en-US"/>
              </w:rPr>
            </w:pPr>
          </w:p>
        </w:tc>
      </w:tr>
      <w:tr w:rsidRPr="00A6689B" w:rsidR="00790D42" w:rsidTr="00195CCE" w14:paraId="418D46FC" w14:textId="77777777">
        <w:tc>
          <w:tcPr>
            <w:tcW w:w="1701" w:type="dxa"/>
            <w:vMerge w:val="restart"/>
          </w:tcPr>
          <w:p w:rsidRPr="00A6689B" w:rsidR="00790D42" w:rsidP="00195CCE" w:rsidRDefault="00790D42" w14:paraId="3DD73137" w14:textId="77777777">
            <w:pPr>
              <w:tabs>
                <w:tab w:val="center" w:pos="284"/>
              </w:tabs>
              <w:ind w:left="266" w:hanging="266"/>
              <w:rPr>
                <w:b/>
              </w:rPr>
            </w:pPr>
            <w:r>
              <w:rPr>
                <w:b/>
              </w:rPr>
              <w:t>Références</w:t>
            </w:r>
          </w:p>
        </w:tc>
        <w:tc>
          <w:tcPr>
            <w:tcW w:w="5387" w:type="dxa"/>
          </w:tcPr>
          <w:p w:rsidR="00790D42" w:rsidP="00195CCE" w:rsidRDefault="00790D42" w14:paraId="46EB8F04" w14:textId="77777777">
            <w:pPr>
              <w:tabs>
                <w:tab w:val="center" w:pos="284"/>
              </w:tabs>
              <w:ind w:left="266" w:hanging="266"/>
            </w:pPr>
            <w:r>
              <w:t>COM(2023) 273 final</w:t>
            </w:r>
          </w:p>
          <w:p w:rsidRPr="00A6689B" w:rsidR="00BB7A8D" w:rsidP="00195CCE" w:rsidRDefault="00BB7A8D" w14:paraId="360038BC" w14:textId="50F4A013">
            <w:pPr>
              <w:tabs>
                <w:tab w:val="center" w:pos="284"/>
              </w:tabs>
              <w:ind w:left="266" w:hanging="266"/>
            </w:pPr>
            <w:r w:rsidRPr="00BB7A8D">
              <w:t>EESC-2023-02154-00-00-AC</w:t>
            </w:r>
          </w:p>
        </w:tc>
      </w:tr>
      <w:tr w:rsidRPr="00A6689B" w:rsidR="00790D42" w:rsidTr="00195CCE" w14:paraId="4F379BA1" w14:textId="77777777">
        <w:tc>
          <w:tcPr>
            <w:tcW w:w="1701" w:type="dxa"/>
            <w:vMerge/>
          </w:tcPr>
          <w:p w:rsidRPr="00A6689B" w:rsidR="00790D42" w:rsidP="00195CCE" w:rsidRDefault="00790D42" w14:paraId="63E8FE59" w14:textId="77777777">
            <w:pPr>
              <w:tabs>
                <w:tab w:val="center" w:pos="284"/>
              </w:tabs>
              <w:ind w:left="266" w:hanging="266"/>
              <w:rPr>
                <w:b/>
                <w:lang w:val="en-US"/>
              </w:rPr>
            </w:pPr>
          </w:p>
        </w:tc>
        <w:tc>
          <w:tcPr>
            <w:tcW w:w="5387" w:type="dxa"/>
          </w:tcPr>
          <w:p w:rsidRPr="00A6689B" w:rsidR="00790D42" w:rsidP="00195CCE" w:rsidRDefault="00790D42" w14:paraId="7C727D23" w14:textId="77777777">
            <w:pPr>
              <w:tabs>
                <w:tab w:val="center" w:pos="284"/>
              </w:tabs>
              <w:ind w:left="266" w:hanging="266"/>
              <w:rPr>
                <w:lang w:val="en-US"/>
              </w:rPr>
            </w:pPr>
          </w:p>
        </w:tc>
      </w:tr>
    </w:tbl>
    <w:p w:rsidRPr="00A6689B" w:rsidR="00790D42" w:rsidP="00790D42" w:rsidRDefault="00790D42" w14:paraId="235A4954" w14:textId="77777777">
      <w:pPr>
        <w:tabs>
          <w:tab w:val="center" w:pos="284"/>
        </w:tabs>
        <w:ind w:left="266" w:hanging="266"/>
      </w:pPr>
    </w:p>
    <w:p w:rsidRPr="00A6689B" w:rsidR="00790D42" w:rsidP="00790D42" w:rsidRDefault="00790D42" w14:paraId="59BBED30" w14:textId="77777777">
      <w:pPr>
        <w:keepNext/>
        <w:keepLines/>
        <w:tabs>
          <w:tab w:val="center" w:pos="284"/>
        </w:tabs>
        <w:ind w:left="266" w:hanging="266"/>
        <w:rPr>
          <w:b/>
        </w:rPr>
      </w:pPr>
      <w:r>
        <w:rPr>
          <w:b/>
        </w:rPr>
        <w:t>Points clés</w:t>
      </w:r>
    </w:p>
    <w:p w:rsidRPr="00A6689B" w:rsidR="00790D42" w:rsidP="00790D42" w:rsidRDefault="00790D42" w14:paraId="198723D4" w14:textId="77777777">
      <w:pPr>
        <w:keepNext/>
        <w:keepLines/>
        <w:tabs>
          <w:tab w:val="center" w:pos="284"/>
        </w:tabs>
        <w:ind w:left="266" w:hanging="266"/>
        <w:rPr>
          <w:b/>
        </w:rPr>
      </w:pPr>
    </w:p>
    <w:p w:rsidRPr="00A6689B" w:rsidR="00790D42" w:rsidP="00790D42" w:rsidRDefault="00790D42" w14:paraId="70764A3D" w14:textId="77777777">
      <w:pPr>
        <w:keepNext/>
        <w:rPr>
          <w:bCs/>
          <w:iCs/>
        </w:rPr>
      </w:pPr>
      <w:r>
        <w:t>Le CESE:</w:t>
      </w:r>
    </w:p>
    <w:p w:rsidRPr="0046422F" w:rsidR="00790D42" w:rsidP="00E86C69" w:rsidRDefault="00790D42" w14:paraId="10E387D9" w14:textId="77777777">
      <w:pPr>
        <w:keepNext/>
        <w:widowControl w:val="0"/>
        <w:numPr>
          <w:ilvl w:val="0"/>
          <w:numId w:val="20"/>
        </w:numPr>
        <w:overflowPunct w:val="0"/>
        <w:autoSpaceDE w:val="0"/>
        <w:autoSpaceDN w:val="0"/>
        <w:adjustRightInd w:val="0"/>
        <w:textAlignment w:val="baseline"/>
      </w:pPr>
      <w:r>
        <w:t>accueille favorablement la proposition et reconnaît les efforts déployés par la Commission européenne pour renforcer la protection de l’environnement, notamment en faisant de la préservation des mers une priorité majeure et en introduisant des sanctions en cas d’infractions de pollution dans les mers européennes;</w:t>
      </w:r>
    </w:p>
    <w:p w:rsidRPr="0046422F" w:rsidR="00790D42" w:rsidP="00E86C69" w:rsidRDefault="00790D42" w14:paraId="03DF5153" w14:textId="77777777">
      <w:pPr>
        <w:widowControl w:val="0"/>
        <w:numPr>
          <w:ilvl w:val="0"/>
          <w:numId w:val="20"/>
        </w:numPr>
        <w:overflowPunct w:val="0"/>
        <w:autoSpaceDE w:val="0"/>
        <w:autoSpaceDN w:val="0"/>
        <w:adjustRightInd w:val="0"/>
        <w:textAlignment w:val="baseline"/>
      </w:pPr>
      <w:r>
        <w:t>reconnaît qu’il est important de disposer de sanctions dissuasives et proportionnées dans l’ensemble de l’UE pour les infractions en matière de pollution causée par les navires. Définir des exigences minimales de ce type comme point de référence et responsabiliser les pollueurs en appliquant le principe du «pollueur-payeur» pourrait être bénéfique et avoir un puissant effet dissuasif au sein de l’UE;</w:t>
      </w:r>
    </w:p>
    <w:p w:rsidRPr="00EE75BE" w:rsidR="00790D42" w:rsidP="00E86C69" w:rsidRDefault="00790D42" w14:paraId="293F8730" w14:textId="77777777">
      <w:pPr>
        <w:widowControl w:val="0"/>
        <w:numPr>
          <w:ilvl w:val="0"/>
          <w:numId w:val="20"/>
        </w:numPr>
        <w:overflowPunct w:val="0"/>
        <w:autoSpaceDE w:val="0"/>
        <w:autoSpaceDN w:val="0"/>
        <w:adjustRightInd w:val="0"/>
        <w:textAlignment w:val="baseline"/>
        <w:rPr>
          <w:rFonts w:asciiTheme="minorHAnsi" w:hAnsiTheme="minorHAnsi"/>
        </w:rPr>
      </w:pPr>
      <w:r>
        <w:t>souligne qu’une surveillance, un contrôle, une identification et une répression efficaces des infractions de pollution nécessiteront à la fois une main-d’œuvre qualifiée et des avancées technologiques, y compris en matière de technologie des drones et d’imagerie satellitaire. Il est nécessaire de disposer de professionnels dûment formés et qualifiés, d’assurer la reconversion et le perfectionnement professionnels ainsi que la formation complémentaire du personnel et des équipages dans le secteur du transport maritime, et de prévoir des inspections obligatoires en cas d’incidents de pollution marine, en tenant dûment compte à tout moment de la protection de la santé et de la sécurité au travail à bord du navire et parmi le personnel des autorités compétentes, y compris celui des ports.</w:t>
      </w:r>
    </w:p>
    <w:p w:rsidRPr="000624A9" w:rsidR="00790D42" w:rsidP="00790D42" w:rsidRDefault="00790D42" w14:paraId="05321276" w14:textId="77777777">
      <w:pPr>
        <w:widowControl w:val="0"/>
        <w:ind w:left="709"/>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6689B" w:rsidR="00790D42" w:rsidTr="00195CCE" w14:paraId="19E028CC" w14:textId="77777777">
        <w:tc>
          <w:tcPr>
            <w:tcW w:w="1418" w:type="dxa"/>
          </w:tcPr>
          <w:p w:rsidRPr="00A6689B" w:rsidR="00790D42" w:rsidP="00195CCE" w:rsidRDefault="00790D42" w14:paraId="6CFADA0F" w14:textId="77777777">
            <w:pPr>
              <w:spacing w:line="240" w:lineRule="auto"/>
              <w:rPr>
                <w:i/>
              </w:rPr>
            </w:pPr>
            <w:r>
              <w:rPr>
                <w:b/>
                <w:i/>
              </w:rPr>
              <w:t>Contact</w:t>
            </w:r>
          </w:p>
        </w:tc>
        <w:tc>
          <w:tcPr>
            <w:tcW w:w="5670" w:type="dxa"/>
          </w:tcPr>
          <w:p w:rsidRPr="00A6689B" w:rsidR="00790D42" w:rsidP="00195CCE" w:rsidRDefault="00790D42" w14:paraId="6E8C5D32" w14:textId="77777777">
            <w:pPr>
              <w:spacing w:line="240" w:lineRule="auto"/>
              <w:rPr>
                <w:i/>
              </w:rPr>
            </w:pPr>
            <w:proofErr w:type="spellStart"/>
            <w:r>
              <w:rPr>
                <w:i/>
              </w:rPr>
              <w:t>Giorgia</w:t>
            </w:r>
            <w:proofErr w:type="spellEnd"/>
            <w:r>
              <w:rPr>
                <w:i/>
              </w:rPr>
              <w:t> Andrea BORDIGNON</w:t>
            </w:r>
          </w:p>
        </w:tc>
      </w:tr>
      <w:tr w:rsidRPr="00A6689B" w:rsidR="00790D42" w:rsidTr="00195CCE" w14:paraId="7670A798" w14:textId="77777777">
        <w:tc>
          <w:tcPr>
            <w:tcW w:w="1418" w:type="dxa"/>
          </w:tcPr>
          <w:p w:rsidRPr="00A6689B" w:rsidR="00790D42" w:rsidP="00195CCE" w:rsidRDefault="00790D42" w14:paraId="4789E7A9" w14:textId="77777777">
            <w:pPr>
              <w:spacing w:line="240" w:lineRule="auto"/>
              <w:rPr>
                <w:i/>
              </w:rPr>
            </w:pPr>
            <w:r>
              <w:rPr>
                <w:i/>
              </w:rPr>
              <w:t>Tél.</w:t>
            </w:r>
          </w:p>
        </w:tc>
        <w:tc>
          <w:tcPr>
            <w:tcW w:w="5670" w:type="dxa"/>
          </w:tcPr>
          <w:p w:rsidRPr="00A6689B" w:rsidR="00790D42" w:rsidP="00195CCE" w:rsidRDefault="00790D42" w14:paraId="10891829" w14:textId="77777777">
            <w:pPr>
              <w:spacing w:line="240" w:lineRule="auto"/>
              <w:rPr>
                <w:i/>
              </w:rPr>
            </w:pPr>
            <w:r>
              <w:rPr>
                <w:i/>
              </w:rPr>
              <w:t>+32 2 546 8535</w:t>
            </w:r>
          </w:p>
        </w:tc>
      </w:tr>
      <w:tr w:rsidRPr="00A6689B" w:rsidR="00790D42" w:rsidTr="00195CCE" w14:paraId="07E06451" w14:textId="77777777">
        <w:tc>
          <w:tcPr>
            <w:tcW w:w="1418" w:type="dxa"/>
          </w:tcPr>
          <w:p w:rsidRPr="00A6689B" w:rsidR="00790D42" w:rsidP="00195CCE" w:rsidRDefault="00790D42" w14:paraId="5ADA7617" w14:textId="77777777">
            <w:pPr>
              <w:spacing w:line="240" w:lineRule="auto"/>
              <w:rPr>
                <w:i/>
              </w:rPr>
            </w:pPr>
            <w:r>
              <w:rPr>
                <w:i/>
              </w:rPr>
              <w:t>Courriel</w:t>
            </w:r>
          </w:p>
        </w:tc>
        <w:tc>
          <w:tcPr>
            <w:tcW w:w="5670" w:type="dxa"/>
          </w:tcPr>
          <w:p w:rsidRPr="00A6689B" w:rsidR="00790D42" w:rsidP="00195CCE" w:rsidRDefault="006F4895" w14:paraId="09F14493" w14:textId="77777777">
            <w:pPr>
              <w:spacing w:line="240" w:lineRule="auto"/>
              <w:rPr>
                <w:i/>
              </w:rPr>
            </w:pPr>
            <w:hyperlink w:history="1" r:id="rId67">
              <w:r w:rsidR="00790D42">
                <w:rPr>
                  <w:rStyle w:val="Hyperlink"/>
                  <w:i/>
                </w:rPr>
                <w:t>GiorgiaAndrea.Bordignon@eesc.europa.eu</w:t>
              </w:r>
            </w:hyperlink>
            <w:r w:rsidR="00790D42">
              <w:rPr>
                <w:i/>
              </w:rPr>
              <w:t xml:space="preserve"> </w:t>
            </w:r>
          </w:p>
        </w:tc>
      </w:tr>
    </w:tbl>
    <w:p w:rsidRPr="0003586F" w:rsidR="00790D42" w:rsidP="00597621" w:rsidRDefault="006F4895" w14:paraId="714FE207" w14:textId="6F919D76">
      <w:pPr>
        <w:keepNext/>
        <w:widowControl w:val="0"/>
        <w:numPr>
          <w:ilvl w:val="0"/>
          <w:numId w:val="20"/>
        </w:numPr>
        <w:overflowPunct w:val="0"/>
        <w:autoSpaceDE w:val="0"/>
        <w:autoSpaceDN w:val="0"/>
        <w:adjustRightInd w:val="0"/>
        <w:ind w:left="426" w:hanging="426"/>
        <w:textAlignment w:val="baseline"/>
        <w:rPr>
          <w:sz w:val="20"/>
        </w:rPr>
      </w:pPr>
      <w:hyperlink w:history="1" r:id="rId68">
        <w:r w:rsidR="00790D42">
          <w:rPr>
            <w:rStyle w:val="Hyperlink"/>
            <w:b/>
            <w:i/>
            <w:sz w:val="28"/>
          </w:rPr>
          <w:t>Agence européenne pour la sécurité maritime</w:t>
        </w:r>
      </w:hyperlink>
    </w:p>
    <w:p w:rsidRPr="00A6689B" w:rsidR="00790D42" w:rsidP="00597621" w:rsidRDefault="00790D42" w14:paraId="209F2420" w14:textId="77777777">
      <w:pPr>
        <w:keepNext/>
        <w:tabs>
          <w:tab w:val="center" w:pos="284"/>
        </w:tabs>
        <w:ind w:left="266" w:hanging="266"/>
        <w:rPr>
          <w:b/>
        </w:rPr>
      </w:pPr>
    </w:p>
    <w:tbl>
      <w:tblPr>
        <w:tblStyle w:val="TableGrid"/>
        <w:tblW w:w="3438"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9"/>
        <w:gridCol w:w="4155"/>
      </w:tblGrid>
      <w:tr w:rsidRPr="00A6689B" w:rsidR="00790D42" w:rsidTr="00195CCE" w14:paraId="3F8C3E3C" w14:textId="77777777">
        <w:tc>
          <w:tcPr>
            <w:tcW w:w="1591" w:type="pct"/>
          </w:tcPr>
          <w:p w:rsidRPr="00A6689B" w:rsidR="00790D42" w:rsidP="00597621" w:rsidRDefault="00790D42" w14:paraId="1439A397" w14:textId="77777777">
            <w:pPr>
              <w:keepNext/>
              <w:tabs>
                <w:tab w:val="center" w:pos="284"/>
              </w:tabs>
              <w:ind w:left="266" w:hanging="266"/>
              <w:rPr>
                <w:b/>
              </w:rPr>
            </w:pPr>
            <w:proofErr w:type="spellStart"/>
            <w:r>
              <w:rPr>
                <w:b/>
              </w:rPr>
              <w:t>Rapporteure</w:t>
            </w:r>
            <w:proofErr w:type="spellEnd"/>
          </w:p>
        </w:tc>
        <w:tc>
          <w:tcPr>
            <w:tcW w:w="3409" w:type="pct"/>
          </w:tcPr>
          <w:p w:rsidRPr="00A6689B" w:rsidR="00790D42" w:rsidP="00597621" w:rsidRDefault="00790D42" w14:paraId="024581AB" w14:textId="722423F2">
            <w:pPr>
              <w:keepNext/>
              <w:tabs>
                <w:tab w:val="center" w:pos="284"/>
              </w:tabs>
              <w:ind w:left="266" w:hanging="266"/>
            </w:pPr>
            <w:proofErr w:type="spellStart"/>
            <w:r>
              <w:t>Kaia</w:t>
            </w:r>
            <w:proofErr w:type="spellEnd"/>
            <w:r>
              <w:t> VASK</w:t>
            </w:r>
            <w:r w:rsidR="00BB7A8D">
              <w:t xml:space="preserve"> (groupe des employeurs </w:t>
            </w:r>
            <w:r w:rsidR="0048572F">
              <w:t>—</w:t>
            </w:r>
            <w:r w:rsidR="00BB7A8D">
              <w:t xml:space="preserve"> EE)</w:t>
            </w:r>
          </w:p>
        </w:tc>
      </w:tr>
      <w:tr w:rsidRPr="00A6689B" w:rsidR="00790D42" w:rsidTr="00195CCE" w14:paraId="5FFE091B" w14:textId="77777777">
        <w:tc>
          <w:tcPr>
            <w:tcW w:w="5000" w:type="pct"/>
            <w:gridSpan w:val="2"/>
          </w:tcPr>
          <w:p w:rsidRPr="00A6689B" w:rsidR="00790D42" w:rsidP="00597621" w:rsidRDefault="00790D42" w14:paraId="023C57B9" w14:textId="77777777">
            <w:pPr>
              <w:keepNext/>
              <w:tabs>
                <w:tab w:val="center" w:pos="284"/>
              </w:tabs>
              <w:spacing w:line="160" w:lineRule="exact"/>
              <w:ind w:left="266" w:hanging="266"/>
              <w:rPr>
                <w:lang w:val="en-US"/>
              </w:rPr>
            </w:pPr>
          </w:p>
        </w:tc>
      </w:tr>
      <w:tr w:rsidRPr="00A6689B" w:rsidR="00790D42" w:rsidTr="00195CCE" w14:paraId="2590F604" w14:textId="77777777">
        <w:tc>
          <w:tcPr>
            <w:tcW w:w="1591" w:type="pct"/>
            <w:vMerge w:val="restart"/>
          </w:tcPr>
          <w:p w:rsidRPr="00A6689B" w:rsidR="00790D42" w:rsidP="00597621" w:rsidRDefault="00790D42" w14:paraId="2FB033CB" w14:textId="77777777">
            <w:pPr>
              <w:keepNext/>
              <w:tabs>
                <w:tab w:val="center" w:pos="284"/>
              </w:tabs>
              <w:ind w:left="266" w:hanging="266"/>
              <w:rPr>
                <w:b/>
              </w:rPr>
            </w:pPr>
            <w:r>
              <w:rPr>
                <w:b/>
              </w:rPr>
              <w:t>Références</w:t>
            </w:r>
          </w:p>
        </w:tc>
        <w:tc>
          <w:tcPr>
            <w:tcW w:w="3409" w:type="pct"/>
          </w:tcPr>
          <w:p w:rsidR="00790D42" w:rsidP="00597621" w:rsidRDefault="00790D42" w14:paraId="15BFBB34" w14:textId="6E2054E3">
            <w:pPr>
              <w:keepNext/>
              <w:tabs>
                <w:tab w:val="center" w:pos="284"/>
              </w:tabs>
              <w:ind w:left="266" w:hanging="266"/>
            </w:pPr>
            <w:r>
              <w:t>COM(2023) 269 final</w:t>
            </w:r>
          </w:p>
          <w:p w:rsidRPr="00A6689B" w:rsidR="00790D42" w:rsidP="00597621" w:rsidRDefault="00790D42" w14:paraId="777D862A" w14:textId="11DDE9CA">
            <w:pPr>
              <w:keepNext/>
              <w:tabs>
                <w:tab w:val="center" w:pos="284"/>
              </w:tabs>
              <w:ind w:left="266" w:hanging="266"/>
            </w:pPr>
            <w:r>
              <w:t>EESC-2023-02847-00-00-A</w:t>
            </w:r>
            <w:r w:rsidR="00BB7A8D">
              <w:t>C</w:t>
            </w:r>
          </w:p>
        </w:tc>
      </w:tr>
      <w:tr w:rsidRPr="00A6689B" w:rsidR="00790D42" w:rsidTr="00195CCE" w14:paraId="4FB84B78" w14:textId="77777777">
        <w:tc>
          <w:tcPr>
            <w:tcW w:w="1591" w:type="pct"/>
            <w:vMerge/>
          </w:tcPr>
          <w:p w:rsidRPr="00A6689B" w:rsidR="00790D42" w:rsidP="00597621" w:rsidRDefault="00790D42" w14:paraId="453ABB90" w14:textId="77777777">
            <w:pPr>
              <w:keepNext/>
              <w:tabs>
                <w:tab w:val="center" w:pos="284"/>
              </w:tabs>
              <w:ind w:left="266" w:hanging="266"/>
              <w:rPr>
                <w:b/>
                <w:lang w:val="en-US"/>
              </w:rPr>
            </w:pPr>
          </w:p>
        </w:tc>
        <w:tc>
          <w:tcPr>
            <w:tcW w:w="3409" w:type="pct"/>
          </w:tcPr>
          <w:p w:rsidRPr="00A6689B" w:rsidR="00790D42" w:rsidP="00597621" w:rsidRDefault="00790D42" w14:paraId="793A616B" w14:textId="77777777">
            <w:pPr>
              <w:keepNext/>
              <w:tabs>
                <w:tab w:val="center" w:pos="284"/>
              </w:tabs>
              <w:ind w:left="266" w:hanging="266"/>
              <w:rPr>
                <w:lang w:val="en-US"/>
              </w:rPr>
            </w:pPr>
          </w:p>
        </w:tc>
      </w:tr>
    </w:tbl>
    <w:p w:rsidRPr="00A6689B" w:rsidR="00790D42" w:rsidP="00597621" w:rsidRDefault="00790D42" w14:paraId="6C340F56" w14:textId="77777777">
      <w:pPr>
        <w:keepNext/>
        <w:tabs>
          <w:tab w:val="center" w:pos="284"/>
        </w:tabs>
        <w:ind w:left="266" w:hanging="266"/>
      </w:pPr>
    </w:p>
    <w:p w:rsidRPr="00A6689B" w:rsidR="00790D42" w:rsidP="00597621" w:rsidRDefault="00790D42" w14:paraId="243D40CB" w14:textId="77777777">
      <w:pPr>
        <w:keepNext/>
        <w:keepLines/>
        <w:tabs>
          <w:tab w:val="center" w:pos="284"/>
        </w:tabs>
        <w:ind w:left="266" w:hanging="266"/>
        <w:rPr>
          <w:b/>
        </w:rPr>
      </w:pPr>
      <w:r>
        <w:rPr>
          <w:b/>
        </w:rPr>
        <w:t>Points clés</w:t>
      </w:r>
    </w:p>
    <w:p w:rsidRPr="00A6689B" w:rsidR="00790D42" w:rsidP="00597621" w:rsidRDefault="00790D42" w14:paraId="5CEB6A9C" w14:textId="77777777">
      <w:pPr>
        <w:keepNext/>
        <w:keepLines/>
        <w:tabs>
          <w:tab w:val="center" w:pos="284"/>
        </w:tabs>
        <w:ind w:left="266" w:hanging="266"/>
        <w:rPr>
          <w:b/>
        </w:rPr>
      </w:pPr>
    </w:p>
    <w:p w:rsidRPr="00A6689B" w:rsidR="00790D42" w:rsidP="00597621" w:rsidRDefault="00790D42" w14:paraId="4E65CBB9" w14:textId="77777777">
      <w:pPr>
        <w:keepNext/>
        <w:rPr>
          <w:bCs/>
          <w:iCs/>
        </w:rPr>
      </w:pPr>
      <w:r>
        <w:t>Le CESE:</w:t>
      </w:r>
    </w:p>
    <w:p w:rsidRPr="00A6689B" w:rsidR="00790D42" w:rsidP="00597621" w:rsidRDefault="00790D42" w14:paraId="26753E89" w14:textId="77777777">
      <w:pPr>
        <w:keepNext/>
        <w:widowControl w:val="0"/>
        <w:numPr>
          <w:ilvl w:val="0"/>
          <w:numId w:val="20"/>
        </w:numPr>
        <w:overflowPunct w:val="0"/>
        <w:autoSpaceDE w:val="0"/>
        <w:autoSpaceDN w:val="0"/>
        <w:adjustRightInd w:val="0"/>
        <w:ind w:left="709" w:hanging="425"/>
        <w:textAlignment w:val="baseline"/>
        <w:rPr>
          <w:bCs/>
          <w:iCs/>
        </w:rPr>
      </w:pPr>
      <w:r>
        <w:t>salue la proposition d’étendre les activités de l’Agence européenne pour la sécurité maritime (AESM); il émet cependant de sérieux doutes quant au fait que l’Agence dispose des ressources financières et humaines nécessaires pour mener correctement à bien ces activités supplémentaires. L’accroissement des ressources de l’AESM qui est proposé se révèle insuffisant étant donné la mesure de l’augmentation proposée des tâches de l’Agence et l’ampleur des ambitions de l’UE en matière de politique maritime;</w:t>
      </w:r>
    </w:p>
    <w:p w:rsidRPr="00A6689B" w:rsidR="00790D42" w:rsidP="00E86C69" w:rsidRDefault="00790D42" w14:paraId="7AECDB51" w14:textId="77777777">
      <w:pPr>
        <w:widowControl w:val="0"/>
        <w:numPr>
          <w:ilvl w:val="0"/>
          <w:numId w:val="20"/>
        </w:numPr>
        <w:overflowPunct w:val="0"/>
        <w:autoSpaceDE w:val="0"/>
        <w:autoSpaceDN w:val="0"/>
        <w:adjustRightInd w:val="0"/>
        <w:ind w:left="709" w:hanging="425"/>
        <w:textAlignment w:val="baseline"/>
        <w:rPr>
          <w:bCs/>
          <w:iCs/>
        </w:rPr>
      </w:pPr>
      <w:r>
        <w:t>est d’avis que l’Agence pourrait jouer un rôle important en soutenant la formation des inspecteurs chargés du contrôle par l’État du port et des fonctionnaires des administrations de l’État du pavillon afin de mener des inspections ciblées en ce qui concerne la mise en œuvre des droits des gens de mer et les conditions de travail et de vie à bord des navires;</w:t>
      </w:r>
    </w:p>
    <w:p w:rsidRPr="00A6689B" w:rsidR="00790D42" w:rsidP="00E86C69" w:rsidRDefault="00790D42" w14:paraId="6BA6B28D" w14:textId="77777777">
      <w:pPr>
        <w:widowControl w:val="0"/>
        <w:numPr>
          <w:ilvl w:val="0"/>
          <w:numId w:val="20"/>
        </w:numPr>
        <w:overflowPunct w:val="0"/>
        <w:autoSpaceDE w:val="0"/>
        <w:autoSpaceDN w:val="0"/>
        <w:adjustRightInd w:val="0"/>
        <w:ind w:left="709" w:hanging="425"/>
        <w:textAlignment w:val="baseline"/>
        <w:rPr>
          <w:bCs/>
          <w:iCs/>
        </w:rPr>
      </w:pPr>
      <w:r>
        <w:t>souhaiterait une participation et une contribution plus actives et plus substantielles des partenaires sociaux, ce qui améliorera les relations de l’AESM avec les parties prenantes externes et accroîtra la visibilité et la transparence de ses activités.</w:t>
      </w:r>
    </w:p>
    <w:p w:rsidRPr="00943FBA" w:rsidR="00790D42" w:rsidP="00790D42" w:rsidRDefault="00790D42" w14:paraId="751CBC70" w14:textId="77777777">
      <w:pPr>
        <w:widowControl w:val="0"/>
        <w:ind w:left="709"/>
      </w:pP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39"/>
        <w:gridCol w:w="4293"/>
      </w:tblGrid>
      <w:tr w:rsidRPr="00A6689B" w:rsidR="00790D42" w:rsidTr="00195CCE" w14:paraId="72B9B5FA" w14:textId="77777777">
        <w:tc>
          <w:tcPr>
            <w:tcW w:w="1556" w:type="pct"/>
          </w:tcPr>
          <w:p w:rsidRPr="00A6689B" w:rsidR="00790D42" w:rsidP="00195CCE" w:rsidRDefault="00790D42" w14:paraId="4BF2E445" w14:textId="77777777">
            <w:pPr>
              <w:spacing w:line="240" w:lineRule="auto"/>
              <w:rPr>
                <w:i/>
              </w:rPr>
            </w:pPr>
            <w:r>
              <w:rPr>
                <w:b/>
                <w:i/>
              </w:rPr>
              <w:t>Contact</w:t>
            </w:r>
          </w:p>
        </w:tc>
        <w:tc>
          <w:tcPr>
            <w:tcW w:w="3444" w:type="pct"/>
          </w:tcPr>
          <w:p w:rsidRPr="00A6689B" w:rsidR="00790D42" w:rsidP="00195CCE" w:rsidRDefault="00790D42" w14:paraId="402BFDF0" w14:textId="77777777">
            <w:pPr>
              <w:spacing w:line="240" w:lineRule="auto"/>
              <w:rPr>
                <w:i/>
              </w:rPr>
            </w:pPr>
            <w:proofErr w:type="spellStart"/>
            <w:r>
              <w:rPr>
                <w:i/>
              </w:rPr>
              <w:t>Giorgia</w:t>
            </w:r>
            <w:proofErr w:type="spellEnd"/>
            <w:r>
              <w:rPr>
                <w:i/>
              </w:rPr>
              <w:t> BORDIGNON</w:t>
            </w:r>
          </w:p>
        </w:tc>
      </w:tr>
      <w:tr w:rsidRPr="00A6689B" w:rsidR="00790D42" w:rsidTr="00195CCE" w14:paraId="22CF6ACA" w14:textId="77777777">
        <w:tc>
          <w:tcPr>
            <w:tcW w:w="1556" w:type="pct"/>
          </w:tcPr>
          <w:p w:rsidRPr="00A6689B" w:rsidR="00790D42" w:rsidP="00195CCE" w:rsidRDefault="00790D42" w14:paraId="59873732" w14:textId="77777777">
            <w:pPr>
              <w:spacing w:line="240" w:lineRule="auto"/>
              <w:rPr>
                <w:i/>
              </w:rPr>
            </w:pPr>
            <w:r>
              <w:rPr>
                <w:i/>
              </w:rPr>
              <w:t>Tél.</w:t>
            </w:r>
          </w:p>
        </w:tc>
        <w:tc>
          <w:tcPr>
            <w:tcW w:w="3444" w:type="pct"/>
          </w:tcPr>
          <w:p w:rsidRPr="00A6689B" w:rsidR="00790D42" w:rsidP="00195CCE" w:rsidRDefault="00790D42" w14:paraId="335D7146" w14:textId="77777777">
            <w:pPr>
              <w:spacing w:line="240" w:lineRule="auto"/>
              <w:rPr>
                <w:i/>
              </w:rPr>
            </w:pPr>
            <w:r>
              <w:rPr>
                <w:i/>
              </w:rPr>
              <w:t>+32 25468535</w:t>
            </w:r>
          </w:p>
        </w:tc>
      </w:tr>
      <w:tr w:rsidRPr="00A6689B" w:rsidR="00790D42" w:rsidTr="00195CCE" w14:paraId="0A5E5A98" w14:textId="77777777">
        <w:tc>
          <w:tcPr>
            <w:tcW w:w="1556" w:type="pct"/>
          </w:tcPr>
          <w:p w:rsidRPr="00A6689B" w:rsidR="00790D42" w:rsidP="00195CCE" w:rsidRDefault="00790D42" w14:paraId="0A40917E" w14:textId="77777777">
            <w:pPr>
              <w:spacing w:line="240" w:lineRule="auto"/>
              <w:rPr>
                <w:i/>
              </w:rPr>
            </w:pPr>
            <w:r>
              <w:rPr>
                <w:i/>
              </w:rPr>
              <w:t>Courriel</w:t>
            </w:r>
          </w:p>
        </w:tc>
        <w:tc>
          <w:tcPr>
            <w:tcW w:w="3444" w:type="pct"/>
          </w:tcPr>
          <w:p w:rsidRPr="00A6689B" w:rsidR="00790D42" w:rsidP="00195CCE" w:rsidRDefault="006F4895" w14:paraId="6A1A3489" w14:textId="77777777">
            <w:pPr>
              <w:spacing w:line="240" w:lineRule="auto"/>
              <w:rPr>
                <w:i/>
              </w:rPr>
            </w:pPr>
            <w:hyperlink w:history="1" r:id="rId69">
              <w:r w:rsidR="00790D42">
                <w:rPr>
                  <w:rStyle w:val="Hyperlink"/>
                  <w:i/>
                </w:rPr>
                <w:t>Giorgiaandrea.Bordignon@eesc.europa.eu</w:t>
              </w:r>
            </w:hyperlink>
          </w:p>
        </w:tc>
      </w:tr>
    </w:tbl>
    <w:p w:rsidR="00790D42" w:rsidP="00775FC4" w:rsidRDefault="00790D42" w14:paraId="7C61BAD1" w14:textId="4C48D238">
      <w:pPr>
        <w:keepNext/>
        <w:keepLines/>
      </w:pPr>
    </w:p>
    <w:p w:rsidR="00790D42" w:rsidP="00775FC4" w:rsidRDefault="00790D42" w14:paraId="20B59692" w14:textId="715E2BEA">
      <w:pPr>
        <w:keepNext/>
        <w:keepLines/>
      </w:pPr>
    </w:p>
    <w:p w:rsidRPr="00C4593D" w:rsidR="00790D42" w:rsidP="00597621" w:rsidRDefault="00790D42" w14:paraId="2EAE3306" w14:textId="56EABBE3">
      <w:pPr>
        <w:widowControl w:val="0"/>
        <w:numPr>
          <w:ilvl w:val="0"/>
          <w:numId w:val="20"/>
        </w:numPr>
        <w:overflowPunct w:val="0"/>
        <w:autoSpaceDE w:val="0"/>
        <w:autoSpaceDN w:val="0"/>
        <w:adjustRightInd w:val="0"/>
        <w:ind w:left="426" w:hanging="426"/>
        <w:textAlignment w:val="baseline"/>
        <w:rPr>
          <w:rStyle w:val="Hyperlink"/>
          <w:sz w:val="20"/>
        </w:rPr>
      </w:pPr>
      <w:r>
        <w:rPr>
          <w:b/>
          <w:i/>
          <w:sz w:val="28"/>
        </w:rPr>
        <w:fldChar w:fldCharType="begin"/>
      </w:r>
      <w:r>
        <w:rPr>
          <w:b/>
          <w:i/>
          <w:sz w:val="28"/>
        </w:rPr>
        <w:instrText xml:space="preserve"> HYPERLINK "https://www.eesc.europa.eu/fr/our-work/opinions-information-reports/opinions/revision-de-la-directive-relative-aux-enquetes-sur-les-accidents-maritimes" </w:instrText>
      </w:r>
      <w:r>
        <w:rPr>
          <w:b/>
          <w:i/>
          <w:sz w:val="28"/>
        </w:rPr>
        <w:fldChar w:fldCharType="separate"/>
      </w:r>
      <w:r>
        <w:rPr>
          <w:rStyle w:val="Hyperlink"/>
          <w:b/>
          <w:i/>
          <w:sz w:val="28"/>
        </w:rPr>
        <w:t>Révision de la directive relative aux enquêtes sur les accidents dans le secteur des transports maritimes</w:t>
      </w:r>
    </w:p>
    <w:p w:rsidRPr="00A6689B" w:rsidR="00790D42" w:rsidP="00790D42" w:rsidRDefault="00790D42" w14:paraId="6BE830EA" w14:textId="77777777">
      <w:pPr>
        <w:tabs>
          <w:tab w:val="center" w:pos="284"/>
        </w:tabs>
        <w:ind w:left="266" w:hanging="266"/>
        <w:rPr>
          <w:b/>
        </w:rPr>
      </w:pPr>
      <w:r>
        <w:rPr>
          <w:b/>
          <w:i/>
          <w:sz w:val="28"/>
        </w:rPr>
        <w:fldChar w:fldCharType="end"/>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A6689B" w:rsidR="00790D42" w:rsidTr="00195CCE" w14:paraId="6163FAC0" w14:textId="77777777">
        <w:tc>
          <w:tcPr>
            <w:tcW w:w="1701" w:type="dxa"/>
          </w:tcPr>
          <w:p w:rsidRPr="00A6689B" w:rsidR="00790D42" w:rsidP="00195CCE" w:rsidRDefault="00790D42" w14:paraId="45A962A4" w14:textId="77777777">
            <w:pPr>
              <w:tabs>
                <w:tab w:val="center" w:pos="284"/>
              </w:tabs>
              <w:ind w:left="266" w:hanging="266"/>
              <w:rPr>
                <w:b/>
              </w:rPr>
            </w:pPr>
            <w:r>
              <w:rPr>
                <w:b/>
              </w:rPr>
              <w:t>Rapporteur</w:t>
            </w:r>
          </w:p>
        </w:tc>
        <w:tc>
          <w:tcPr>
            <w:tcW w:w="5387" w:type="dxa"/>
          </w:tcPr>
          <w:p w:rsidRPr="00A6689B" w:rsidR="00790D42" w:rsidP="00195CCE" w:rsidRDefault="00790D42" w14:paraId="0E39FB22" w14:textId="332ED7B3">
            <w:pPr>
              <w:tabs>
                <w:tab w:val="center" w:pos="284"/>
              </w:tabs>
              <w:ind w:left="266" w:hanging="266"/>
            </w:pPr>
            <w:r>
              <w:t>Sam HÄGGLUND (</w:t>
            </w:r>
            <w:r w:rsidR="00BB7A8D">
              <w:t xml:space="preserve">groupe des employeurs </w:t>
            </w:r>
            <w:r w:rsidR="0048572F">
              <w:t>—</w:t>
            </w:r>
            <w:r w:rsidR="00BB7A8D">
              <w:t xml:space="preserve"> </w:t>
            </w:r>
            <w:r>
              <w:t>SE)</w:t>
            </w:r>
          </w:p>
        </w:tc>
      </w:tr>
      <w:tr w:rsidRPr="00A6689B" w:rsidR="00790D42" w:rsidTr="00195CCE" w14:paraId="7768976F" w14:textId="77777777">
        <w:tc>
          <w:tcPr>
            <w:tcW w:w="7088" w:type="dxa"/>
            <w:gridSpan w:val="2"/>
          </w:tcPr>
          <w:p w:rsidRPr="00A6689B" w:rsidR="00790D42" w:rsidP="00195CCE" w:rsidRDefault="00790D42" w14:paraId="539788D1" w14:textId="77777777">
            <w:pPr>
              <w:tabs>
                <w:tab w:val="center" w:pos="284"/>
              </w:tabs>
              <w:spacing w:line="160" w:lineRule="exact"/>
              <w:ind w:left="266" w:hanging="266"/>
              <w:rPr>
                <w:lang w:val="en-US"/>
              </w:rPr>
            </w:pPr>
          </w:p>
        </w:tc>
      </w:tr>
      <w:tr w:rsidRPr="00A6689B" w:rsidR="00790D42" w:rsidTr="00195CCE" w14:paraId="1DB887C4" w14:textId="77777777">
        <w:tc>
          <w:tcPr>
            <w:tcW w:w="1701" w:type="dxa"/>
          </w:tcPr>
          <w:p w:rsidRPr="00A6689B" w:rsidR="00790D42" w:rsidP="00195CCE" w:rsidRDefault="00790D42" w14:paraId="0286718B" w14:textId="77777777">
            <w:pPr>
              <w:tabs>
                <w:tab w:val="center" w:pos="284"/>
              </w:tabs>
              <w:ind w:left="266" w:hanging="266"/>
              <w:rPr>
                <w:b/>
              </w:rPr>
            </w:pPr>
            <w:r>
              <w:rPr>
                <w:b/>
              </w:rPr>
              <w:t>Références</w:t>
            </w:r>
          </w:p>
        </w:tc>
        <w:tc>
          <w:tcPr>
            <w:tcW w:w="5387" w:type="dxa"/>
          </w:tcPr>
          <w:p w:rsidR="00790D42" w:rsidP="00195CCE" w:rsidRDefault="00790D42" w14:paraId="7ABE8A7B" w14:textId="0F6D943A">
            <w:pPr>
              <w:tabs>
                <w:tab w:val="center" w:pos="284"/>
              </w:tabs>
              <w:ind w:left="266" w:hanging="266"/>
            </w:pPr>
            <w:r>
              <w:t>COM(2023) 270 final</w:t>
            </w:r>
          </w:p>
          <w:p w:rsidRPr="00A6689B" w:rsidR="00790D42" w:rsidP="00195CCE" w:rsidRDefault="00790D42" w14:paraId="7AD3783C" w14:textId="15A185ED">
            <w:pPr>
              <w:tabs>
                <w:tab w:val="center" w:pos="284"/>
              </w:tabs>
              <w:ind w:left="266" w:hanging="266"/>
            </w:pPr>
            <w:r>
              <w:t>EESC-2023-02982-00-00-A</w:t>
            </w:r>
            <w:r w:rsidR="00BB7A8D">
              <w:t>C</w:t>
            </w:r>
          </w:p>
        </w:tc>
      </w:tr>
    </w:tbl>
    <w:p w:rsidRPr="00A6689B" w:rsidR="00790D42" w:rsidP="00790D42" w:rsidRDefault="00790D42" w14:paraId="4B3D2851" w14:textId="77777777">
      <w:pPr>
        <w:tabs>
          <w:tab w:val="center" w:pos="284"/>
        </w:tabs>
        <w:ind w:left="266" w:hanging="266"/>
      </w:pPr>
    </w:p>
    <w:p w:rsidRPr="00A6689B" w:rsidR="00790D42" w:rsidP="00790D42" w:rsidRDefault="00790D42" w14:paraId="04409B86" w14:textId="77777777">
      <w:pPr>
        <w:keepNext/>
        <w:keepLines/>
        <w:tabs>
          <w:tab w:val="center" w:pos="284"/>
        </w:tabs>
        <w:ind w:left="266" w:hanging="266"/>
        <w:rPr>
          <w:b/>
        </w:rPr>
      </w:pPr>
      <w:r>
        <w:rPr>
          <w:b/>
        </w:rPr>
        <w:t>Points clés</w:t>
      </w:r>
    </w:p>
    <w:p w:rsidRPr="00A6689B" w:rsidR="00790D42" w:rsidP="00790D42" w:rsidRDefault="00790D42" w14:paraId="3D9B0CF7" w14:textId="77777777">
      <w:pPr>
        <w:keepNext/>
        <w:keepLines/>
        <w:tabs>
          <w:tab w:val="center" w:pos="284"/>
        </w:tabs>
        <w:ind w:left="266" w:hanging="266"/>
        <w:rPr>
          <w:b/>
        </w:rPr>
      </w:pPr>
    </w:p>
    <w:p w:rsidRPr="00A6689B" w:rsidR="00790D42" w:rsidP="00790D42" w:rsidRDefault="00790D42" w14:paraId="004D3CCC" w14:textId="77777777">
      <w:pPr>
        <w:keepNext/>
        <w:rPr>
          <w:bCs/>
          <w:iCs/>
        </w:rPr>
      </w:pPr>
      <w:r>
        <w:t>Le CESE:</w:t>
      </w:r>
    </w:p>
    <w:p w:rsidRPr="005563E2" w:rsidR="00790D42" w:rsidP="00426D38" w:rsidRDefault="00790D42" w14:paraId="69B953CE" w14:textId="77777777">
      <w:pPr>
        <w:widowControl w:val="0"/>
        <w:numPr>
          <w:ilvl w:val="0"/>
          <w:numId w:val="16"/>
        </w:numPr>
        <w:overflowPunct w:val="0"/>
        <w:autoSpaceDE w:val="0"/>
        <w:autoSpaceDN w:val="0"/>
        <w:adjustRightInd w:val="0"/>
        <w:textAlignment w:val="baseline"/>
        <w:rPr>
          <w:bCs/>
          <w:iCs/>
        </w:rPr>
      </w:pPr>
      <w:r>
        <w:t>soutient l’objectif consistant à clarifier le texte juridique relatif aux organismes d’enquête sur les accidents des États membres afin de renforcer leur capacité à améliorer leur fonctionnement et à établir des rapports en temps utile. En particulier, compte tenu des nouveaux défis qui se posent en matière de sécurité maritime, il convient de renforcer la coopération et l’assistance mutuelle entre États membres de l’UE en matière d’enquêtes de sécurité;</w:t>
      </w:r>
    </w:p>
    <w:p w:rsidRPr="005563E2" w:rsidR="00790D42" w:rsidP="00426D38" w:rsidRDefault="00790D42" w14:paraId="05D0F290" w14:textId="77777777">
      <w:pPr>
        <w:widowControl w:val="0"/>
        <w:numPr>
          <w:ilvl w:val="0"/>
          <w:numId w:val="16"/>
        </w:numPr>
        <w:overflowPunct w:val="0"/>
        <w:autoSpaceDE w:val="0"/>
        <w:autoSpaceDN w:val="0"/>
        <w:adjustRightInd w:val="0"/>
        <w:textAlignment w:val="baseline"/>
        <w:rPr>
          <w:bCs/>
          <w:iCs/>
        </w:rPr>
      </w:pPr>
      <w:r>
        <w:t>souligne le rôle crucial que joue l’Agence européenne pour la sécurité maritime (AESM) dans la formation des autorités compétentes des États membres en ce qui concerne les nouvelles technologies, les sources d’énergie utilisées pour la propulsion, les manœuvres, l’exploitation et les questions de durabilité;</w:t>
      </w:r>
    </w:p>
    <w:p w:rsidRPr="005563E2" w:rsidR="00790D42" w:rsidP="00426D38" w:rsidRDefault="00790D42" w14:paraId="3BF620EE" w14:textId="77777777">
      <w:pPr>
        <w:widowControl w:val="0"/>
        <w:numPr>
          <w:ilvl w:val="0"/>
          <w:numId w:val="16"/>
        </w:numPr>
        <w:overflowPunct w:val="0"/>
        <w:autoSpaceDE w:val="0"/>
        <w:autoSpaceDN w:val="0"/>
        <w:adjustRightInd w:val="0"/>
        <w:textAlignment w:val="baseline"/>
        <w:rPr>
          <w:bCs/>
          <w:iCs/>
        </w:rPr>
      </w:pPr>
      <w:r>
        <w:t>se félicite que la proposition de directive à l’examen comporte une référence au traitement équitable des gens de mer en cas d’accident de mer afin d’éviter toute criminalisation injustifiée de la profession. Les gens de mer sont des professionnels estimés, et il importe de souligner qu’ils jouent un rôle essentiel pour assurer une gestion et une mise en œuvre des opérations en toute sécurité. À cet égard, il convient de renforcer, en collaboration avec l’industrie et les partenaires sociaux, la diffusion des rapports d’accidents auprès d’un large public et la mise en œuvre rapide des recommandations qu’ils comportent.</w:t>
      </w:r>
    </w:p>
    <w:p w:rsidRPr="000624A9" w:rsidR="00790D42" w:rsidP="00790D42" w:rsidRDefault="00790D42" w14:paraId="6C5A2127" w14:textId="77777777">
      <w:pPr>
        <w:widowControl w:val="0"/>
        <w:ind w:left="709"/>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6689B" w:rsidR="00790D42" w:rsidTr="00195CCE" w14:paraId="5D3DF096" w14:textId="77777777">
        <w:tc>
          <w:tcPr>
            <w:tcW w:w="1418" w:type="dxa"/>
          </w:tcPr>
          <w:p w:rsidRPr="00A6689B" w:rsidR="00790D42" w:rsidP="00195CCE" w:rsidRDefault="00790D42" w14:paraId="58B6B513" w14:textId="77777777">
            <w:pPr>
              <w:spacing w:line="240" w:lineRule="auto"/>
              <w:rPr>
                <w:i/>
              </w:rPr>
            </w:pPr>
            <w:r>
              <w:rPr>
                <w:b/>
                <w:i/>
              </w:rPr>
              <w:t>Contact</w:t>
            </w:r>
          </w:p>
        </w:tc>
        <w:tc>
          <w:tcPr>
            <w:tcW w:w="5670" w:type="dxa"/>
          </w:tcPr>
          <w:p w:rsidRPr="00A6689B" w:rsidR="00790D42" w:rsidP="00195CCE" w:rsidRDefault="00790D42" w14:paraId="744D86EC" w14:textId="77777777">
            <w:pPr>
              <w:spacing w:line="240" w:lineRule="auto"/>
              <w:rPr>
                <w:i/>
              </w:rPr>
            </w:pPr>
            <w:r>
              <w:rPr>
                <w:i/>
              </w:rPr>
              <w:t>António RIBEIRO PEREIRA</w:t>
            </w:r>
          </w:p>
        </w:tc>
      </w:tr>
      <w:tr w:rsidRPr="00A6689B" w:rsidR="00790D42" w:rsidTr="00195CCE" w14:paraId="6145710F" w14:textId="77777777">
        <w:tc>
          <w:tcPr>
            <w:tcW w:w="1418" w:type="dxa"/>
          </w:tcPr>
          <w:p w:rsidRPr="00A6689B" w:rsidR="00790D42" w:rsidP="00195CCE" w:rsidRDefault="00790D42" w14:paraId="2C439737" w14:textId="77777777">
            <w:pPr>
              <w:spacing w:line="240" w:lineRule="auto"/>
              <w:rPr>
                <w:i/>
              </w:rPr>
            </w:pPr>
            <w:r>
              <w:rPr>
                <w:i/>
              </w:rPr>
              <w:t>Tél.</w:t>
            </w:r>
          </w:p>
        </w:tc>
        <w:tc>
          <w:tcPr>
            <w:tcW w:w="5670" w:type="dxa"/>
          </w:tcPr>
          <w:p w:rsidRPr="00A6689B" w:rsidR="00790D42" w:rsidP="00195CCE" w:rsidRDefault="00790D42" w14:paraId="380CE1F6" w14:textId="77777777">
            <w:pPr>
              <w:spacing w:line="240" w:lineRule="auto"/>
              <w:rPr>
                <w:i/>
              </w:rPr>
            </w:pPr>
            <w:r>
              <w:rPr>
                <w:i/>
              </w:rPr>
              <w:t>+ 32 25469363</w:t>
            </w:r>
          </w:p>
        </w:tc>
      </w:tr>
      <w:tr w:rsidRPr="00A6689B" w:rsidR="00790D42" w:rsidTr="00195CCE" w14:paraId="387BC01F" w14:textId="77777777">
        <w:tc>
          <w:tcPr>
            <w:tcW w:w="1418" w:type="dxa"/>
          </w:tcPr>
          <w:p w:rsidRPr="00A6689B" w:rsidR="00790D42" w:rsidP="00195CCE" w:rsidRDefault="00790D42" w14:paraId="400F2C5C" w14:textId="77777777">
            <w:pPr>
              <w:spacing w:line="240" w:lineRule="auto"/>
              <w:rPr>
                <w:i/>
              </w:rPr>
            </w:pPr>
            <w:r>
              <w:rPr>
                <w:i/>
              </w:rPr>
              <w:t>Courriel</w:t>
            </w:r>
          </w:p>
        </w:tc>
        <w:tc>
          <w:tcPr>
            <w:tcW w:w="5670" w:type="dxa"/>
          </w:tcPr>
          <w:p w:rsidRPr="00A6689B" w:rsidR="00790D42" w:rsidP="00195CCE" w:rsidRDefault="006F4895" w14:paraId="21258C15" w14:textId="77777777">
            <w:pPr>
              <w:spacing w:line="240" w:lineRule="auto"/>
              <w:rPr>
                <w:i/>
              </w:rPr>
            </w:pPr>
            <w:hyperlink w:history="1" r:id="rId70">
              <w:r w:rsidR="00790D42">
                <w:rPr>
                  <w:rStyle w:val="Hyperlink"/>
                  <w:i/>
                </w:rPr>
                <w:t>Antonio.RibeiroPereira@eesc.europa.eu</w:t>
              </w:r>
            </w:hyperlink>
            <w:r w:rsidR="00790D42">
              <w:rPr>
                <w:i/>
              </w:rPr>
              <w:t xml:space="preserve"> </w:t>
            </w:r>
          </w:p>
        </w:tc>
      </w:tr>
    </w:tbl>
    <w:p w:rsidR="00790D42" w:rsidP="00775FC4" w:rsidRDefault="00790D42" w14:paraId="44C797C9" w14:textId="698B6FD0">
      <w:pPr>
        <w:keepNext/>
        <w:keepLines/>
      </w:pPr>
    </w:p>
    <w:p w:rsidR="00790D42" w:rsidP="00775FC4" w:rsidRDefault="00790D42" w14:paraId="5C7C8301" w14:textId="2FBAA4C4">
      <w:pPr>
        <w:keepNext/>
        <w:keepLines/>
      </w:pPr>
    </w:p>
    <w:p w:rsidRPr="002A3A46" w:rsidR="00790D42" w:rsidP="00597621" w:rsidRDefault="006F4895" w14:paraId="68AD458C" w14:textId="5D118F74">
      <w:pPr>
        <w:widowControl w:val="0"/>
        <w:numPr>
          <w:ilvl w:val="0"/>
          <w:numId w:val="20"/>
        </w:numPr>
        <w:overflowPunct w:val="0"/>
        <w:autoSpaceDE w:val="0"/>
        <w:autoSpaceDN w:val="0"/>
        <w:adjustRightInd w:val="0"/>
        <w:ind w:left="426" w:hanging="426"/>
        <w:textAlignment w:val="baseline"/>
        <w:rPr>
          <w:rStyle w:val="Hyperlink"/>
          <w:b/>
        </w:rPr>
      </w:pPr>
      <w:hyperlink w:history="1" r:id="rId71">
        <w:r w:rsidRPr="002A3A46" w:rsidR="00790D42">
          <w:rPr>
            <w:rStyle w:val="Hyperlink"/>
            <w:b/>
            <w:i/>
            <w:sz w:val="28"/>
          </w:rPr>
          <w:t>Révision de la directive relative au contrôle par l’État du port</w:t>
        </w:r>
      </w:hyperlink>
    </w:p>
    <w:p w:rsidRPr="002A3A46" w:rsidR="00790D42" w:rsidP="00790D42" w:rsidRDefault="00790D42" w14:paraId="5A520A0A" w14:textId="77777777">
      <w:pPr>
        <w:widowControl w:val="0"/>
        <w:ind w:left="266"/>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054"/>
      </w:tblGrid>
      <w:tr w:rsidRPr="002A3A46" w:rsidR="00790D42" w:rsidTr="00AA261A" w14:paraId="0B578271" w14:textId="77777777">
        <w:tc>
          <w:tcPr>
            <w:tcW w:w="1701" w:type="dxa"/>
          </w:tcPr>
          <w:p w:rsidRPr="002A3A46" w:rsidR="00790D42" w:rsidP="00195CCE" w:rsidRDefault="00790D42" w14:paraId="1857F6FB" w14:textId="77777777">
            <w:pPr>
              <w:tabs>
                <w:tab w:val="center" w:pos="284"/>
              </w:tabs>
              <w:ind w:left="266" w:hanging="266"/>
              <w:rPr>
                <w:b/>
              </w:rPr>
            </w:pPr>
            <w:r w:rsidRPr="002A3A46">
              <w:rPr>
                <w:b/>
              </w:rPr>
              <w:t>Rapporteur</w:t>
            </w:r>
          </w:p>
        </w:tc>
        <w:tc>
          <w:tcPr>
            <w:tcW w:w="7054" w:type="dxa"/>
          </w:tcPr>
          <w:p w:rsidRPr="002A3A46" w:rsidR="00790D42" w:rsidP="00195CCE" w:rsidRDefault="00790D42" w14:paraId="01AAAA64" w14:textId="0A81973D">
            <w:pPr>
              <w:tabs>
                <w:tab w:val="center" w:pos="284"/>
              </w:tabs>
              <w:ind w:left="266" w:hanging="266"/>
            </w:pPr>
            <w:proofErr w:type="spellStart"/>
            <w:r w:rsidRPr="002A3A46">
              <w:t>Panagiotis</w:t>
            </w:r>
            <w:proofErr w:type="spellEnd"/>
            <w:r w:rsidRPr="002A3A46">
              <w:t> GKOFAS (</w:t>
            </w:r>
            <w:r w:rsidR="00AA261A">
              <w:t xml:space="preserve">groupe des organisations de la société civile </w:t>
            </w:r>
            <w:r w:rsidR="0048572F">
              <w:t>—</w:t>
            </w:r>
            <w:r w:rsidR="00AA261A">
              <w:t xml:space="preserve"> </w:t>
            </w:r>
            <w:r w:rsidRPr="002A3A46">
              <w:t>EL)</w:t>
            </w:r>
          </w:p>
        </w:tc>
      </w:tr>
      <w:tr w:rsidRPr="002A3A46" w:rsidR="00790D42" w:rsidTr="00AA261A" w14:paraId="5C43E856" w14:textId="77777777">
        <w:tc>
          <w:tcPr>
            <w:tcW w:w="8755" w:type="dxa"/>
            <w:gridSpan w:val="2"/>
          </w:tcPr>
          <w:p w:rsidRPr="002A3A46" w:rsidR="00790D42" w:rsidP="00195CCE" w:rsidRDefault="00790D42" w14:paraId="3733E0CD" w14:textId="77777777">
            <w:pPr>
              <w:tabs>
                <w:tab w:val="center" w:pos="284"/>
              </w:tabs>
              <w:spacing w:line="160" w:lineRule="exact"/>
              <w:ind w:left="266" w:hanging="266"/>
            </w:pPr>
          </w:p>
        </w:tc>
      </w:tr>
      <w:tr w:rsidRPr="002A3A46" w:rsidR="00790D42" w:rsidTr="00AA261A" w14:paraId="78AAB502" w14:textId="77777777">
        <w:tc>
          <w:tcPr>
            <w:tcW w:w="1701" w:type="dxa"/>
          </w:tcPr>
          <w:p w:rsidRPr="002A3A46" w:rsidR="00790D42" w:rsidP="00195CCE" w:rsidRDefault="00790D42" w14:paraId="34350DEC" w14:textId="77777777">
            <w:pPr>
              <w:tabs>
                <w:tab w:val="center" w:pos="284"/>
              </w:tabs>
              <w:ind w:left="266" w:hanging="266"/>
              <w:rPr>
                <w:b/>
              </w:rPr>
            </w:pPr>
            <w:r w:rsidRPr="002A3A46">
              <w:rPr>
                <w:b/>
              </w:rPr>
              <w:t>Références</w:t>
            </w:r>
          </w:p>
        </w:tc>
        <w:tc>
          <w:tcPr>
            <w:tcW w:w="7054" w:type="dxa"/>
          </w:tcPr>
          <w:p w:rsidRPr="002A3A46" w:rsidR="00790D42" w:rsidP="00195CCE" w:rsidRDefault="00790D42" w14:paraId="7263F90A" w14:textId="423FCAA1">
            <w:pPr>
              <w:tabs>
                <w:tab w:val="center" w:pos="284"/>
              </w:tabs>
              <w:ind w:left="266" w:hanging="266"/>
            </w:pPr>
            <w:r w:rsidRPr="002A3A46">
              <w:t>COM(2023) 271 final</w:t>
            </w:r>
          </w:p>
          <w:p w:rsidRPr="002A3A46" w:rsidR="00790D42" w:rsidP="00195CCE" w:rsidRDefault="00790D42" w14:paraId="0055DA77" w14:textId="4EFF7E64">
            <w:pPr>
              <w:tabs>
                <w:tab w:val="center" w:pos="284"/>
              </w:tabs>
              <w:ind w:left="266" w:hanging="266"/>
            </w:pPr>
            <w:r w:rsidRPr="002A3A46">
              <w:t>EESC-2023-02988-00-00-A</w:t>
            </w:r>
            <w:r w:rsidR="00AA261A">
              <w:t>C</w:t>
            </w:r>
          </w:p>
        </w:tc>
      </w:tr>
    </w:tbl>
    <w:p w:rsidRPr="002A3A46" w:rsidR="00790D42" w:rsidP="00790D42" w:rsidRDefault="00790D42" w14:paraId="47EF0D41" w14:textId="77777777">
      <w:pPr>
        <w:tabs>
          <w:tab w:val="center" w:pos="284"/>
        </w:tabs>
        <w:ind w:left="266" w:hanging="266"/>
      </w:pPr>
    </w:p>
    <w:p w:rsidRPr="002A3A46" w:rsidR="00790D42" w:rsidP="00790D42" w:rsidRDefault="00790D42" w14:paraId="38DC64AF" w14:textId="77777777">
      <w:pPr>
        <w:keepNext/>
        <w:keepLines/>
        <w:tabs>
          <w:tab w:val="center" w:pos="284"/>
        </w:tabs>
        <w:ind w:left="266" w:hanging="266"/>
        <w:rPr>
          <w:b/>
        </w:rPr>
      </w:pPr>
      <w:r w:rsidRPr="002A3A46">
        <w:rPr>
          <w:b/>
        </w:rPr>
        <w:t>Points clés</w:t>
      </w:r>
    </w:p>
    <w:p w:rsidRPr="002A3A46" w:rsidR="00790D42" w:rsidP="00790D42" w:rsidRDefault="00790D42" w14:paraId="7A0F60E4" w14:textId="77777777">
      <w:pPr>
        <w:keepNext/>
        <w:keepLines/>
        <w:tabs>
          <w:tab w:val="center" w:pos="284"/>
        </w:tabs>
        <w:ind w:left="266" w:hanging="266"/>
        <w:rPr>
          <w:b/>
        </w:rPr>
      </w:pPr>
    </w:p>
    <w:p w:rsidRPr="002A3A46" w:rsidR="00790D42" w:rsidP="00790D42" w:rsidRDefault="00790D42" w14:paraId="3B050A6E" w14:textId="77777777">
      <w:pPr>
        <w:rPr>
          <w:bCs/>
          <w:iCs/>
        </w:rPr>
      </w:pPr>
      <w:r w:rsidRPr="002A3A46">
        <w:t>Le CESE:</w:t>
      </w:r>
    </w:p>
    <w:p w:rsidRPr="002A3A46" w:rsidR="00790D42" w:rsidP="00426D38" w:rsidRDefault="00790D42" w14:paraId="56B6AEE6" w14:textId="77777777">
      <w:pPr>
        <w:widowControl w:val="0"/>
        <w:numPr>
          <w:ilvl w:val="0"/>
          <w:numId w:val="17"/>
        </w:numPr>
        <w:overflowPunct w:val="0"/>
        <w:autoSpaceDE w:val="0"/>
        <w:autoSpaceDN w:val="0"/>
        <w:adjustRightInd w:val="0"/>
        <w:ind w:left="284" w:hanging="284"/>
        <w:textAlignment w:val="baseline"/>
        <w:rPr>
          <w:bCs/>
          <w:iCs/>
        </w:rPr>
      </w:pPr>
      <w:r w:rsidRPr="002A3A46">
        <w:t>fait valoir que les modifications de la directive doivent tenir compte des grandes priorités stratégiques de l’Union relatives au pacte vert, au programme de l’Union et des Nations unies concernant les objectifs de développement durable, aux droits de l’homme et à ceux des travailleurs, ainsi qu’à la cohésion sociale. Ainsi, les passages révisés de la directive doivent apporter des précisions en ce qui concerne les conditions de travail minimales des gens de mer, la conservation des eaux et des poissons, et la protection de l’environnement en général;</w:t>
      </w:r>
    </w:p>
    <w:p w:rsidRPr="002A3A46" w:rsidR="00790D42" w:rsidP="00426D38" w:rsidRDefault="00790D42" w14:paraId="39609B07" w14:textId="77777777">
      <w:pPr>
        <w:widowControl w:val="0"/>
        <w:numPr>
          <w:ilvl w:val="0"/>
          <w:numId w:val="17"/>
        </w:numPr>
        <w:overflowPunct w:val="0"/>
        <w:autoSpaceDE w:val="0"/>
        <w:autoSpaceDN w:val="0"/>
        <w:adjustRightInd w:val="0"/>
        <w:ind w:left="284" w:hanging="284"/>
        <w:textAlignment w:val="baseline"/>
        <w:rPr>
          <w:bCs/>
          <w:iCs/>
        </w:rPr>
      </w:pPr>
      <w:r w:rsidRPr="002A3A46">
        <w:t>souligne que le contrôle par l’État du port impose de renforcer les compétences du personnel et d’augmenter les effectifs. En effet, la nouvelle réglementation, qui se fonde sur les règles de l’Organisation maritime internationale, prévoit des exigences accrues et nécessite d’améliorer les qualifications en matière d’inspection, tant sur le plan technique qu’opérationnel. Il est donc essentiel de financer le perfectionnement et la reconversion des agents chargés du contrôle par l’État du port, grâce à des programmes de formation actualisés. Le CESE se félicite que l’Agence européenne pour la sécurité maritime ait été chargée de concevoir et de proposer des formations aux agences des États membres de l’Union pour leur permettre de mieux répondre à ces exigences;</w:t>
      </w:r>
    </w:p>
    <w:p w:rsidRPr="002A3A46" w:rsidR="00790D42" w:rsidP="00426D38" w:rsidRDefault="00790D42" w14:paraId="4A281D7B" w14:textId="77777777">
      <w:pPr>
        <w:widowControl w:val="0"/>
        <w:numPr>
          <w:ilvl w:val="0"/>
          <w:numId w:val="17"/>
        </w:numPr>
        <w:overflowPunct w:val="0"/>
        <w:autoSpaceDE w:val="0"/>
        <w:autoSpaceDN w:val="0"/>
        <w:adjustRightInd w:val="0"/>
        <w:ind w:left="284" w:hanging="284"/>
        <w:textAlignment w:val="baseline"/>
        <w:rPr>
          <w:bCs/>
          <w:iCs/>
        </w:rPr>
      </w:pPr>
      <w:r w:rsidRPr="002A3A46">
        <w:t>insiste sur la nécessité pour les États membres de prévoir une méthodologie et un processus de certification communs, unifiés et mutuellement agréés en matière de suivi numérique et d’échange d’informations pour tous les types de navires. Le CESE est favorable à l’utilisation de certificats électroniques.</w:t>
      </w:r>
    </w:p>
    <w:p w:rsidRPr="002A3A46" w:rsidR="00790D42" w:rsidP="00790D42" w:rsidRDefault="00790D42" w14:paraId="7FFFCB86" w14:textId="77777777">
      <w:pPr>
        <w:widowControl w:val="0"/>
        <w:ind w:left="709"/>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2A3A46" w:rsidR="00790D42" w:rsidTr="00195CCE" w14:paraId="237BB2BD" w14:textId="77777777">
        <w:tc>
          <w:tcPr>
            <w:tcW w:w="1418" w:type="dxa"/>
          </w:tcPr>
          <w:p w:rsidRPr="002A3A46" w:rsidR="00790D42" w:rsidP="00195CCE" w:rsidRDefault="00790D42" w14:paraId="132FDDB3" w14:textId="77777777">
            <w:pPr>
              <w:spacing w:line="240" w:lineRule="auto"/>
              <w:rPr>
                <w:i/>
              </w:rPr>
            </w:pPr>
            <w:r w:rsidRPr="002A3A46">
              <w:rPr>
                <w:b/>
                <w:i/>
              </w:rPr>
              <w:t>Contact</w:t>
            </w:r>
          </w:p>
        </w:tc>
        <w:tc>
          <w:tcPr>
            <w:tcW w:w="5670" w:type="dxa"/>
          </w:tcPr>
          <w:p w:rsidRPr="002A3A46" w:rsidR="00790D42" w:rsidP="00195CCE" w:rsidRDefault="00790D42" w14:paraId="2E58E5FC" w14:textId="77777777">
            <w:pPr>
              <w:spacing w:line="240" w:lineRule="auto"/>
              <w:rPr>
                <w:i/>
              </w:rPr>
            </w:pPr>
            <w:r w:rsidRPr="002A3A46">
              <w:rPr>
                <w:i/>
              </w:rPr>
              <w:t>António RIBEIRO PEREIRA</w:t>
            </w:r>
          </w:p>
        </w:tc>
      </w:tr>
      <w:tr w:rsidRPr="002A3A46" w:rsidR="00790D42" w:rsidTr="00195CCE" w14:paraId="3F6F00B7" w14:textId="77777777">
        <w:tc>
          <w:tcPr>
            <w:tcW w:w="1418" w:type="dxa"/>
          </w:tcPr>
          <w:p w:rsidRPr="002A3A46" w:rsidR="00790D42" w:rsidP="00195CCE" w:rsidRDefault="00790D42" w14:paraId="5B84CD5B" w14:textId="77777777">
            <w:pPr>
              <w:spacing w:line="240" w:lineRule="auto"/>
              <w:rPr>
                <w:i/>
              </w:rPr>
            </w:pPr>
            <w:r w:rsidRPr="002A3A46">
              <w:rPr>
                <w:i/>
              </w:rPr>
              <w:t>Tél.</w:t>
            </w:r>
          </w:p>
        </w:tc>
        <w:tc>
          <w:tcPr>
            <w:tcW w:w="5670" w:type="dxa"/>
          </w:tcPr>
          <w:p w:rsidRPr="002A3A46" w:rsidR="00790D42" w:rsidP="00195CCE" w:rsidRDefault="00790D42" w14:paraId="10C70DF4" w14:textId="77777777">
            <w:pPr>
              <w:spacing w:line="240" w:lineRule="auto"/>
              <w:rPr>
                <w:i/>
              </w:rPr>
            </w:pPr>
            <w:r w:rsidRPr="002A3A46">
              <w:rPr>
                <w:i/>
              </w:rPr>
              <w:t>+32 2 546 93 63</w:t>
            </w:r>
          </w:p>
        </w:tc>
      </w:tr>
      <w:tr w:rsidRPr="002A3A46" w:rsidR="00790D42" w:rsidTr="00195CCE" w14:paraId="6F20A6EB" w14:textId="77777777">
        <w:tc>
          <w:tcPr>
            <w:tcW w:w="1418" w:type="dxa"/>
          </w:tcPr>
          <w:p w:rsidRPr="002A3A46" w:rsidR="00790D42" w:rsidP="00195CCE" w:rsidRDefault="00790D42" w14:paraId="207B335D" w14:textId="77777777">
            <w:pPr>
              <w:spacing w:line="240" w:lineRule="auto"/>
              <w:rPr>
                <w:i/>
              </w:rPr>
            </w:pPr>
            <w:r w:rsidRPr="002A3A46">
              <w:rPr>
                <w:i/>
              </w:rPr>
              <w:t>Courriel</w:t>
            </w:r>
          </w:p>
        </w:tc>
        <w:tc>
          <w:tcPr>
            <w:tcW w:w="5670" w:type="dxa"/>
          </w:tcPr>
          <w:p w:rsidRPr="002A3A46" w:rsidR="00790D42" w:rsidP="00195CCE" w:rsidRDefault="006F4895" w14:paraId="316E4A2E" w14:textId="77777777">
            <w:pPr>
              <w:spacing w:line="240" w:lineRule="auto"/>
              <w:rPr>
                <w:i/>
              </w:rPr>
            </w:pPr>
            <w:hyperlink w:history="1" r:id="rId72">
              <w:r w:rsidRPr="002A3A46" w:rsidR="00790D42">
                <w:rPr>
                  <w:rStyle w:val="Hyperlink"/>
                  <w:i/>
                </w:rPr>
                <w:t>Antonio.RibeiroPereira@eesc.europa.eu</w:t>
              </w:r>
            </w:hyperlink>
          </w:p>
        </w:tc>
      </w:tr>
    </w:tbl>
    <w:p w:rsidR="00790D42" w:rsidP="00775FC4" w:rsidRDefault="00790D42" w14:paraId="264FC028" w14:textId="44C69D5B">
      <w:pPr>
        <w:keepNext/>
        <w:keepLines/>
      </w:pPr>
    </w:p>
    <w:p w:rsidR="00881AB3" w:rsidP="00775FC4" w:rsidRDefault="00881AB3" w14:paraId="128F89F2" w14:textId="77777777">
      <w:pPr>
        <w:keepNext/>
        <w:keepLines/>
      </w:pPr>
    </w:p>
    <w:p w:rsidRPr="0003586F" w:rsidR="00790D42" w:rsidP="00597621" w:rsidRDefault="006F4895" w14:paraId="7FFE52E8" w14:textId="7FA45248">
      <w:pPr>
        <w:widowControl w:val="0"/>
        <w:numPr>
          <w:ilvl w:val="0"/>
          <w:numId w:val="20"/>
        </w:numPr>
        <w:overflowPunct w:val="0"/>
        <w:autoSpaceDE w:val="0"/>
        <w:autoSpaceDN w:val="0"/>
        <w:adjustRightInd w:val="0"/>
        <w:ind w:left="426" w:hanging="426"/>
        <w:textAlignment w:val="baseline"/>
        <w:rPr>
          <w:sz w:val="20"/>
        </w:rPr>
      </w:pPr>
      <w:hyperlink w:history="1" r:id="rId73">
        <w:r w:rsidR="00790D42">
          <w:rPr>
            <w:rStyle w:val="Hyperlink"/>
            <w:b/>
            <w:i/>
            <w:sz w:val="28"/>
          </w:rPr>
          <w:t>Révision de la directive concernant le respect des obligations des États du pavillon</w:t>
        </w:r>
      </w:hyperlink>
    </w:p>
    <w:p w:rsidRPr="00A6689B" w:rsidR="00790D42" w:rsidP="00790D42" w:rsidRDefault="00790D42" w14:paraId="5ABF90A8" w14:textId="77777777">
      <w:pPr>
        <w:tabs>
          <w:tab w:val="center" w:pos="284"/>
        </w:tabs>
        <w:ind w:left="266" w:hanging="266"/>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A6689B" w:rsidR="00790D42" w:rsidTr="00195CCE" w14:paraId="6314F9E7" w14:textId="77777777">
        <w:tc>
          <w:tcPr>
            <w:tcW w:w="1701" w:type="dxa"/>
          </w:tcPr>
          <w:p w:rsidRPr="00A6689B" w:rsidR="00790D42" w:rsidP="00195CCE" w:rsidRDefault="00790D42" w14:paraId="021D58F9" w14:textId="77777777">
            <w:pPr>
              <w:tabs>
                <w:tab w:val="center" w:pos="284"/>
              </w:tabs>
              <w:ind w:left="266" w:hanging="266"/>
              <w:rPr>
                <w:b/>
              </w:rPr>
            </w:pPr>
            <w:proofErr w:type="spellStart"/>
            <w:r>
              <w:rPr>
                <w:b/>
              </w:rPr>
              <w:t>Rapporteure</w:t>
            </w:r>
            <w:proofErr w:type="spellEnd"/>
            <w:r>
              <w:rPr>
                <w:b/>
              </w:rPr>
              <w:t xml:space="preserve"> </w:t>
            </w:r>
          </w:p>
        </w:tc>
        <w:tc>
          <w:tcPr>
            <w:tcW w:w="5387" w:type="dxa"/>
          </w:tcPr>
          <w:p w:rsidRPr="00A6689B" w:rsidR="00790D42" w:rsidP="00195CCE" w:rsidRDefault="00790D42" w14:paraId="3AEAF710" w14:textId="42FA02C1">
            <w:pPr>
              <w:tabs>
                <w:tab w:val="center" w:pos="284"/>
              </w:tabs>
              <w:ind w:left="266" w:hanging="266"/>
            </w:pPr>
            <w:r>
              <w:t>Tanja BUZEK (</w:t>
            </w:r>
            <w:r w:rsidR="00D20622">
              <w:t xml:space="preserve">groupe des travailleurs </w:t>
            </w:r>
            <w:r w:rsidR="0048572F">
              <w:t>—</w:t>
            </w:r>
            <w:r w:rsidR="00D20622">
              <w:t xml:space="preserve"> </w:t>
            </w:r>
            <w:r>
              <w:t>DE)</w:t>
            </w:r>
          </w:p>
        </w:tc>
      </w:tr>
      <w:tr w:rsidRPr="00A6689B" w:rsidR="00790D42" w:rsidTr="00195CCE" w14:paraId="18A5FA63" w14:textId="77777777">
        <w:tc>
          <w:tcPr>
            <w:tcW w:w="7088" w:type="dxa"/>
            <w:gridSpan w:val="2"/>
          </w:tcPr>
          <w:p w:rsidRPr="00A6689B" w:rsidR="00790D42" w:rsidP="00195CCE" w:rsidRDefault="00790D42" w14:paraId="36C402A3" w14:textId="77777777">
            <w:pPr>
              <w:tabs>
                <w:tab w:val="center" w:pos="284"/>
              </w:tabs>
              <w:spacing w:line="160" w:lineRule="exact"/>
              <w:ind w:left="266" w:hanging="266"/>
              <w:rPr>
                <w:lang w:val="en-US"/>
              </w:rPr>
            </w:pPr>
          </w:p>
        </w:tc>
      </w:tr>
      <w:tr w:rsidRPr="00A6689B" w:rsidR="00790D42" w:rsidTr="00195CCE" w14:paraId="351CED5D" w14:textId="77777777">
        <w:tc>
          <w:tcPr>
            <w:tcW w:w="1701" w:type="dxa"/>
          </w:tcPr>
          <w:p w:rsidRPr="00A6689B" w:rsidR="00790D42" w:rsidP="00195CCE" w:rsidRDefault="00790D42" w14:paraId="32837345" w14:textId="77777777">
            <w:pPr>
              <w:tabs>
                <w:tab w:val="center" w:pos="284"/>
              </w:tabs>
              <w:ind w:left="266" w:hanging="266"/>
              <w:rPr>
                <w:b/>
              </w:rPr>
            </w:pPr>
            <w:r>
              <w:rPr>
                <w:b/>
              </w:rPr>
              <w:t>Références</w:t>
            </w:r>
          </w:p>
        </w:tc>
        <w:tc>
          <w:tcPr>
            <w:tcW w:w="5387" w:type="dxa"/>
          </w:tcPr>
          <w:p w:rsidR="00790D42" w:rsidP="00195CCE" w:rsidRDefault="00790D42" w14:paraId="77E9E698" w14:textId="66F3D388">
            <w:pPr>
              <w:tabs>
                <w:tab w:val="center" w:pos="284"/>
              </w:tabs>
              <w:ind w:left="266" w:hanging="266"/>
            </w:pPr>
            <w:r>
              <w:t>COM(2023) 272 final</w:t>
            </w:r>
          </w:p>
          <w:p w:rsidRPr="00A6689B" w:rsidR="00790D42" w:rsidP="00195CCE" w:rsidRDefault="00790D42" w14:paraId="63404ED3" w14:textId="79EB5573">
            <w:pPr>
              <w:tabs>
                <w:tab w:val="center" w:pos="284"/>
              </w:tabs>
              <w:ind w:left="266" w:hanging="266"/>
            </w:pPr>
            <w:r>
              <w:t>EESC-2023-029</w:t>
            </w:r>
            <w:r w:rsidR="00FA24EE">
              <w:t>9</w:t>
            </w:r>
            <w:r>
              <w:t>2-00-00-A</w:t>
            </w:r>
            <w:r w:rsidR="00D20622">
              <w:t>C</w:t>
            </w:r>
          </w:p>
        </w:tc>
      </w:tr>
    </w:tbl>
    <w:p w:rsidRPr="00A6689B" w:rsidR="00790D42" w:rsidP="00790D42" w:rsidRDefault="00790D42" w14:paraId="31CAD42A" w14:textId="77777777">
      <w:pPr>
        <w:tabs>
          <w:tab w:val="center" w:pos="284"/>
        </w:tabs>
        <w:ind w:left="266" w:hanging="266"/>
      </w:pPr>
    </w:p>
    <w:p w:rsidRPr="00A6689B" w:rsidR="00790D42" w:rsidP="00790D42" w:rsidRDefault="00790D42" w14:paraId="4D3A1EC2" w14:textId="77777777">
      <w:pPr>
        <w:keepNext/>
        <w:keepLines/>
        <w:tabs>
          <w:tab w:val="center" w:pos="284"/>
        </w:tabs>
        <w:ind w:left="266" w:hanging="266"/>
        <w:rPr>
          <w:b/>
        </w:rPr>
      </w:pPr>
      <w:r>
        <w:rPr>
          <w:b/>
        </w:rPr>
        <w:t>Points clés</w:t>
      </w:r>
    </w:p>
    <w:p w:rsidRPr="00881AB3" w:rsidR="00790D42" w:rsidP="00790D42" w:rsidRDefault="00790D42" w14:paraId="49BAC79A" w14:textId="77777777">
      <w:pPr>
        <w:keepNext/>
        <w:keepLines/>
        <w:tabs>
          <w:tab w:val="center" w:pos="284"/>
        </w:tabs>
        <w:ind w:left="266" w:hanging="266"/>
        <w:rPr>
          <w:b/>
          <w:sz w:val="16"/>
          <w:szCs w:val="16"/>
        </w:rPr>
      </w:pPr>
    </w:p>
    <w:p w:rsidRPr="00A6689B" w:rsidR="00790D42" w:rsidP="00790D42" w:rsidRDefault="00790D42" w14:paraId="1D883198" w14:textId="77777777">
      <w:pPr>
        <w:rPr>
          <w:bCs/>
          <w:iCs/>
        </w:rPr>
      </w:pPr>
      <w:r>
        <w:t>Le CESE:</w:t>
      </w:r>
    </w:p>
    <w:p w:rsidRPr="00CA35DF" w:rsidR="00790D42" w:rsidP="00426D38" w:rsidRDefault="00790D42" w14:paraId="0844D231" w14:textId="77777777">
      <w:pPr>
        <w:widowControl w:val="0"/>
        <w:numPr>
          <w:ilvl w:val="0"/>
          <w:numId w:val="18"/>
        </w:numPr>
        <w:overflowPunct w:val="0"/>
        <w:autoSpaceDE w:val="0"/>
        <w:autoSpaceDN w:val="0"/>
        <w:adjustRightInd w:val="0"/>
        <w:textAlignment w:val="baseline"/>
        <w:rPr>
          <w:bCs/>
          <w:iCs/>
        </w:rPr>
      </w:pPr>
      <w:r>
        <w:t>estime que la révision de la directive relative aux obligations des États du pavillon doit garantir que ces derniers mettent pleinement en œuvre les droits des gens de mer à bord de leurs navires. Les véritables enjeux résident dans un contrôle rigoureux par l’État du pavillon et par l’État du port des prescriptions de la convention du travail maritime, 2006 (MLC 2006), qui va de pair avec une assistance technique et une formation dispensées par l’Agence européenne pour la sécurité maritime (AESM), l’Organisation internationale du travail (OIT), l’université maritime mondiale, le Centre international de formation de l’OIT, l’Institut de droit maritime international, etc.;</w:t>
      </w:r>
    </w:p>
    <w:p w:rsidRPr="00CA35DF" w:rsidR="00790D42" w:rsidP="00426D38" w:rsidRDefault="00790D42" w14:paraId="53404C0F" w14:textId="77777777">
      <w:pPr>
        <w:widowControl w:val="0"/>
        <w:numPr>
          <w:ilvl w:val="0"/>
          <w:numId w:val="18"/>
        </w:numPr>
        <w:overflowPunct w:val="0"/>
        <w:autoSpaceDE w:val="0"/>
        <w:autoSpaceDN w:val="0"/>
        <w:adjustRightInd w:val="0"/>
        <w:textAlignment w:val="baseline"/>
        <w:rPr>
          <w:bCs/>
          <w:iCs/>
        </w:rPr>
      </w:pPr>
      <w:r>
        <w:t>recommande de poursuivre, de renforcer et d’étendre la formation dispensée par l’AESM aux autorités des États du pavillon de l’UE de manière à couvrir plus en détail les aspects liés à la MLC 2006. Le Comité estime que l’Agence pourrait jouer un rôle important en soutenant la formation des fonctionnaires des administrations de l’État du pavillon, ainsi que des inspecteurs des États membres chargés du contrôle par l’État du port, de manière à mener des inspections ciblées à cet égard, ainsi que dans le cadre de son mandat de formation plus large;</w:t>
      </w:r>
    </w:p>
    <w:p w:rsidRPr="00CA35DF" w:rsidR="00790D42" w:rsidP="00426D38" w:rsidRDefault="00790D42" w14:paraId="64B2C65F" w14:textId="77777777">
      <w:pPr>
        <w:widowControl w:val="0"/>
        <w:numPr>
          <w:ilvl w:val="0"/>
          <w:numId w:val="18"/>
        </w:numPr>
        <w:overflowPunct w:val="0"/>
        <w:autoSpaceDE w:val="0"/>
        <w:autoSpaceDN w:val="0"/>
        <w:adjustRightInd w:val="0"/>
        <w:textAlignment w:val="baseline"/>
        <w:rPr>
          <w:bCs/>
          <w:iCs/>
        </w:rPr>
      </w:pPr>
      <w:r>
        <w:t>estime qu’il convient que l’Union européenne joue un rôle de premier plan dans la lutte contre les pavillons de complaisance en atteignant un niveau d’excellence en matière d’exigences et de contrôle de ses navires. La nature intrinsèquement mondiale du secteur fait ressortir l'importance d'une approche neutre du point de vue du pavillon et d'un environnement réglementaire favorable, une condition préalable à la création de conditions de concurrence équitables et à la prévention des pratiques indésirables.</w:t>
      </w:r>
    </w:p>
    <w:p w:rsidRPr="00881AB3" w:rsidR="00881AB3" w:rsidP="00790D42" w:rsidRDefault="00881AB3" w14:paraId="7D7EC89C" w14:textId="77777777">
      <w:pPr>
        <w:widowControl w:val="0"/>
        <w:ind w:left="709"/>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6689B" w:rsidR="00790D42" w:rsidTr="00195CCE" w14:paraId="62AAE63E" w14:textId="77777777">
        <w:tc>
          <w:tcPr>
            <w:tcW w:w="1418" w:type="dxa"/>
          </w:tcPr>
          <w:p w:rsidRPr="00A6689B" w:rsidR="00790D42" w:rsidP="00195CCE" w:rsidRDefault="00790D42" w14:paraId="40E8D50C" w14:textId="77777777">
            <w:pPr>
              <w:spacing w:line="240" w:lineRule="auto"/>
              <w:rPr>
                <w:i/>
              </w:rPr>
            </w:pPr>
            <w:r>
              <w:rPr>
                <w:b/>
                <w:i/>
              </w:rPr>
              <w:t>Contact</w:t>
            </w:r>
          </w:p>
        </w:tc>
        <w:tc>
          <w:tcPr>
            <w:tcW w:w="5670" w:type="dxa"/>
          </w:tcPr>
          <w:p w:rsidRPr="00A6689B" w:rsidR="00790D42" w:rsidP="00195CCE" w:rsidRDefault="00790D42" w14:paraId="3F420447" w14:textId="77777777">
            <w:pPr>
              <w:spacing w:line="240" w:lineRule="auto"/>
              <w:rPr>
                <w:i/>
              </w:rPr>
            </w:pPr>
            <w:r>
              <w:rPr>
                <w:i/>
              </w:rPr>
              <w:t>António RIBEIRO PEREIRA</w:t>
            </w:r>
          </w:p>
        </w:tc>
      </w:tr>
      <w:tr w:rsidRPr="00A6689B" w:rsidR="00790D42" w:rsidTr="00195CCE" w14:paraId="1B80E4F2" w14:textId="77777777">
        <w:tc>
          <w:tcPr>
            <w:tcW w:w="1418" w:type="dxa"/>
          </w:tcPr>
          <w:p w:rsidRPr="00A6689B" w:rsidR="00790D42" w:rsidP="00195CCE" w:rsidRDefault="00790D42" w14:paraId="514FB92E" w14:textId="77777777">
            <w:pPr>
              <w:spacing w:line="240" w:lineRule="auto"/>
              <w:rPr>
                <w:i/>
              </w:rPr>
            </w:pPr>
            <w:r>
              <w:rPr>
                <w:i/>
              </w:rPr>
              <w:t>Tél.</w:t>
            </w:r>
          </w:p>
        </w:tc>
        <w:tc>
          <w:tcPr>
            <w:tcW w:w="5670" w:type="dxa"/>
          </w:tcPr>
          <w:p w:rsidRPr="00A6689B" w:rsidR="00790D42" w:rsidP="00195CCE" w:rsidRDefault="00790D42" w14:paraId="7A7FFFAF" w14:textId="77777777">
            <w:pPr>
              <w:spacing w:line="240" w:lineRule="auto"/>
              <w:rPr>
                <w:i/>
              </w:rPr>
            </w:pPr>
            <w:r>
              <w:rPr>
                <w:i/>
              </w:rPr>
              <w:t>+ 32 2 546 9363</w:t>
            </w:r>
          </w:p>
        </w:tc>
      </w:tr>
      <w:tr w:rsidRPr="00A6689B" w:rsidR="00790D42" w:rsidTr="00195CCE" w14:paraId="3FB02997" w14:textId="77777777">
        <w:tc>
          <w:tcPr>
            <w:tcW w:w="1418" w:type="dxa"/>
          </w:tcPr>
          <w:p w:rsidRPr="00A6689B" w:rsidR="00790D42" w:rsidP="00195CCE" w:rsidRDefault="00790D42" w14:paraId="3ADBE1DE" w14:textId="77777777">
            <w:pPr>
              <w:spacing w:line="240" w:lineRule="auto"/>
              <w:rPr>
                <w:i/>
              </w:rPr>
            </w:pPr>
            <w:r>
              <w:rPr>
                <w:i/>
              </w:rPr>
              <w:t>Courriel</w:t>
            </w:r>
          </w:p>
        </w:tc>
        <w:tc>
          <w:tcPr>
            <w:tcW w:w="5670" w:type="dxa"/>
          </w:tcPr>
          <w:p w:rsidRPr="00A6689B" w:rsidR="00790D42" w:rsidP="00195CCE" w:rsidRDefault="006F4895" w14:paraId="2074E634" w14:textId="77777777">
            <w:pPr>
              <w:spacing w:line="240" w:lineRule="auto"/>
              <w:rPr>
                <w:i/>
              </w:rPr>
            </w:pPr>
            <w:hyperlink w:history="1" r:id="rId74">
              <w:r w:rsidR="00790D42">
                <w:rPr>
                  <w:rStyle w:val="Hyperlink"/>
                  <w:i/>
                </w:rPr>
                <w:t>Antonio.RibeiroPereira@eesc.europa.eu</w:t>
              </w:r>
            </w:hyperlink>
          </w:p>
        </w:tc>
      </w:tr>
    </w:tbl>
    <w:p w:rsidRPr="00881AB3" w:rsidR="00881AB3" w:rsidP="00881AB3" w:rsidRDefault="00881AB3" w14:paraId="38A18212" w14:textId="77777777">
      <w:pPr>
        <w:widowControl w:val="0"/>
        <w:overflowPunct w:val="0"/>
        <w:autoSpaceDE w:val="0"/>
        <w:autoSpaceDN w:val="0"/>
        <w:adjustRightInd w:val="0"/>
        <w:ind w:left="426"/>
        <w:textAlignment w:val="baseline"/>
        <w:rPr>
          <w:sz w:val="20"/>
        </w:rPr>
      </w:pPr>
    </w:p>
    <w:p w:rsidRPr="00881AB3" w:rsidR="00881AB3" w:rsidP="00881AB3" w:rsidRDefault="00881AB3" w14:paraId="6E4FC00F" w14:textId="77777777">
      <w:pPr>
        <w:widowControl w:val="0"/>
        <w:overflowPunct w:val="0"/>
        <w:autoSpaceDE w:val="0"/>
        <w:autoSpaceDN w:val="0"/>
        <w:adjustRightInd w:val="0"/>
        <w:ind w:left="426"/>
        <w:textAlignment w:val="baseline"/>
        <w:rPr>
          <w:sz w:val="20"/>
        </w:rPr>
      </w:pPr>
    </w:p>
    <w:p w:rsidRPr="0003586F" w:rsidR="00790D42" w:rsidP="00597621" w:rsidRDefault="006F4895" w14:paraId="7F60F6F3" w14:textId="2707B8F8">
      <w:pPr>
        <w:widowControl w:val="0"/>
        <w:numPr>
          <w:ilvl w:val="0"/>
          <w:numId w:val="20"/>
        </w:numPr>
        <w:overflowPunct w:val="0"/>
        <w:autoSpaceDE w:val="0"/>
        <w:autoSpaceDN w:val="0"/>
        <w:adjustRightInd w:val="0"/>
        <w:ind w:left="426" w:hanging="426"/>
        <w:textAlignment w:val="baseline"/>
        <w:rPr>
          <w:sz w:val="20"/>
        </w:rPr>
      </w:pPr>
      <w:hyperlink w:history="1" r:id="rId75">
        <w:r w:rsidR="00790D42">
          <w:rPr>
            <w:rStyle w:val="Hyperlink"/>
            <w:b/>
            <w:i/>
            <w:sz w:val="28"/>
          </w:rPr>
          <w:t>Durées minimales des pauses et des temps de repos dans le secteur du transport occasionnel de voyageurs</w:t>
        </w:r>
      </w:hyperlink>
    </w:p>
    <w:p w:rsidRPr="00A6689B" w:rsidR="00790D42" w:rsidP="00790D42" w:rsidRDefault="00790D42" w14:paraId="45EEB260" w14:textId="77777777">
      <w:pPr>
        <w:tabs>
          <w:tab w:val="center" w:pos="284"/>
        </w:tabs>
        <w:ind w:left="266" w:hanging="266"/>
        <w:rPr>
          <w:b/>
        </w:rPr>
      </w:pPr>
    </w:p>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24"/>
        <w:gridCol w:w="6781"/>
      </w:tblGrid>
      <w:tr w:rsidRPr="00A6689B" w:rsidR="00790D42" w:rsidTr="00195CCE" w14:paraId="74E7D255" w14:textId="77777777">
        <w:tc>
          <w:tcPr>
            <w:tcW w:w="2235" w:type="dxa"/>
          </w:tcPr>
          <w:p w:rsidRPr="00A6689B" w:rsidR="00790D42" w:rsidP="00195CCE" w:rsidRDefault="00790D42" w14:paraId="713DEE81" w14:textId="77777777">
            <w:pPr>
              <w:tabs>
                <w:tab w:val="center" w:pos="284"/>
              </w:tabs>
              <w:ind w:left="266" w:hanging="266"/>
              <w:rPr>
                <w:b/>
              </w:rPr>
            </w:pPr>
            <w:r>
              <w:rPr>
                <w:b/>
              </w:rPr>
              <w:t xml:space="preserve">Rapporteur </w:t>
            </w:r>
          </w:p>
        </w:tc>
        <w:tc>
          <w:tcPr>
            <w:tcW w:w="6838" w:type="dxa"/>
          </w:tcPr>
          <w:p w:rsidRPr="00A6689B" w:rsidR="00790D42" w:rsidP="00195CCE" w:rsidRDefault="00790D42" w14:paraId="6FF3BEB3" w14:textId="244A9B90">
            <w:pPr>
              <w:tabs>
                <w:tab w:val="center" w:pos="284"/>
              </w:tabs>
              <w:ind w:left="266" w:hanging="266"/>
            </w:pPr>
            <w:proofErr w:type="spellStart"/>
            <w:r>
              <w:t>Mateusz</w:t>
            </w:r>
            <w:proofErr w:type="spellEnd"/>
            <w:r>
              <w:t xml:space="preserve"> SZYMAŃSKI (groupe des travailleurs — </w:t>
            </w:r>
            <w:r w:rsidR="00D20622">
              <w:t>PL</w:t>
            </w:r>
            <w:r>
              <w:t>)</w:t>
            </w:r>
          </w:p>
        </w:tc>
      </w:tr>
      <w:tr w:rsidRPr="00A6689B" w:rsidR="00790D42" w:rsidTr="00195CCE" w14:paraId="63F87D33" w14:textId="77777777">
        <w:tc>
          <w:tcPr>
            <w:tcW w:w="9073" w:type="dxa"/>
            <w:gridSpan w:val="2"/>
          </w:tcPr>
          <w:p w:rsidRPr="00A6689B" w:rsidR="00790D42" w:rsidP="00195CCE" w:rsidRDefault="00790D42" w14:paraId="7C7D0A13" w14:textId="77777777">
            <w:pPr>
              <w:tabs>
                <w:tab w:val="center" w:pos="284"/>
              </w:tabs>
              <w:spacing w:line="160" w:lineRule="exact"/>
              <w:ind w:left="266" w:hanging="266"/>
              <w:rPr>
                <w:lang w:val="en-US"/>
              </w:rPr>
            </w:pPr>
          </w:p>
        </w:tc>
      </w:tr>
      <w:tr w:rsidRPr="00A6689B" w:rsidR="00790D42" w:rsidTr="00195CCE" w14:paraId="6D7C8B46" w14:textId="77777777">
        <w:tc>
          <w:tcPr>
            <w:tcW w:w="2235" w:type="dxa"/>
            <w:vMerge w:val="restart"/>
          </w:tcPr>
          <w:p w:rsidRPr="00A6689B" w:rsidR="00790D42" w:rsidP="00195CCE" w:rsidRDefault="00790D42" w14:paraId="4EE808EF" w14:textId="77777777">
            <w:pPr>
              <w:tabs>
                <w:tab w:val="center" w:pos="284"/>
              </w:tabs>
              <w:ind w:left="266" w:hanging="266"/>
              <w:rPr>
                <w:b/>
              </w:rPr>
            </w:pPr>
            <w:r>
              <w:rPr>
                <w:b/>
              </w:rPr>
              <w:t>Références</w:t>
            </w:r>
          </w:p>
        </w:tc>
        <w:tc>
          <w:tcPr>
            <w:tcW w:w="6838" w:type="dxa"/>
          </w:tcPr>
          <w:p w:rsidR="00790D42" w:rsidP="00195CCE" w:rsidRDefault="00790D42" w14:paraId="36AB98E2" w14:textId="59736FD7">
            <w:pPr>
              <w:tabs>
                <w:tab w:val="center" w:pos="284"/>
              </w:tabs>
              <w:ind w:left="266" w:hanging="266"/>
            </w:pPr>
            <w:r>
              <w:t>COM(2023) 256 final</w:t>
            </w:r>
          </w:p>
          <w:p w:rsidRPr="00A6689B" w:rsidR="00790D42" w:rsidP="00195CCE" w:rsidRDefault="00790D42" w14:paraId="7014EAB1" w14:textId="4D06B934">
            <w:pPr>
              <w:tabs>
                <w:tab w:val="center" w:pos="284"/>
              </w:tabs>
              <w:ind w:left="266" w:hanging="266"/>
            </w:pPr>
            <w:r>
              <w:t>EESC-2023-02929-00-00-A</w:t>
            </w:r>
            <w:r w:rsidR="00D20622">
              <w:t>C</w:t>
            </w:r>
          </w:p>
        </w:tc>
      </w:tr>
      <w:tr w:rsidRPr="00A6689B" w:rsidR="00790D42" w:rsidTr="00195CCE" w14:paraId="4C9E257E" w14:textId="77777777">
        <w:tc>
          <w:tcPr>
            <w:tcW w:w="2235" w:type="dxa"/>
            <w:vMerge/>
          </w:tcPr>
          <w:p w:rsidRPr="00A6689B" w:rsidR="00790D42" w:rsidP="00195CCE" w:rsidRDefault="00790D42" w14:paraId="5DF7E9C0" w14:textId="77777777">
            <w:pPr>
              <w:tabs>
                <w:tab w:val="center" w:pos="284"/>
              </w:tabs>
              <w:ind w:left="266" w:hanging="266"/>
              <w:rPr>
                <w:b/>
                <w:lang w:val="en-US"/>
              </w:rPr>
            </w:pPr>
          </w:p>
        </w:tc>
        <w:tc>
          <w:tcPr>
            <w:tcW w:w="6838" w:type="dxa"/>
          </w:tcPr>
          <w:p w:rsidRPr="00A6689B" w:rsidR="00790D42" w:rsidP="00195CCE" w:rsidRDefault="00790D42" w14:paraId="0ACF4531" w14:textId="77777777">
            <w:pPr>
              <w:tabs>
                <w:tab w:val="center" w:pos="284"/>
              </w:tabs>
              <w:ind w:left="266" w:hanging="266"/>
              <w:rPr>
                <w:lang w:val="en-US"/>
              </w:rPr>
            </w:pPr>
          </w:p>
        </w:tc>
      </w:tr>
    </w:tbl>
    <w:p w:rsidRPr="00A6689B" w:rsidR="00790D42" w:rsidP="00790D42" w:rsidRDefault="00790D42" w14:paraId="6A11318E" w14:textId="77777777">
      <w:pPr>
        <w:keepNext/>
        <w:keepLines/>
        <w:tabs>
          <w:tab w:val="center" w:pos="284"/>
        </w:tabs>
        <w:ind w:left="266" w:hanging="266"/>
        <w:rPr>
          <w:b/>
        </w:rPr>
      </w:pPr>
      <w:r>
        <w:rPr>
          <w:b/>
        </w:rPr>
        <w:t>Points clés</w:t>
      </w:r>
    </w:p>
    <w:p w:rsidRPr="00A6689B" w:rsidR="00790D42" w:rsidP="00790D42" w:rsidRDefault="00790D42" w14:paraId="30A70C2C" w14:textId="77777777">
      <w:pPr>
        <w:keepNext/>
        <w:keepLines/>
        <w:tabs>
          <w:tab w:val="center" w:pos="284"/>
        </w:tabs>
        <w:ind w:left="266" w:hanging="266"/>
        <w:rPr>
          <w:b/>
        </w:rPr>
      </w:pPr>
    </w:p>
    <w:p w:rsidRPr="00670DCC" w:rsidR="00790D42" w:rsidP="00790D42" w:rsidRDefault="00790D42" w14:paraId="138AC9EE" w14:textId="77777777">
      <w:pPr>
        <w:rPr>
          <w:bCs/>
          <w:iCs/>
        </w:rPr>
      </w:pPr>
      <w:r>
        <w:t>Le CESE:</w:t>
      </w:r>
    </w:p>
    <w:p w:rsidR="00790D42" w:rsidP="00426D38" w:rsidRDefault="00790D42" w14:paraId="70E46C3A" w14:textId="77777777">
      <w:pPr>
        <w:pStyle w:val="ListParagraph"/>
        <w:numPr>
          <w:ilvl w:val="0"/>
          <w:numId w:val="19"/>
        </w:numPr>
        <w:ind w:left="567" w:hanging="283"/>
        <w:rPr>
          <w:szCs w:val="20"/>
        </w:rPr>
      </w:pPr>
      <w:r>
        <w:t>estime qu’il est essentiel de créer des conditions de concurrence équitables pour tous les exploitants du secteur du transport occasionnel de voyageurs, ce qui permettra de garantir une concurrence loyale;</w:t>
      </w:r>
    </w:p>
    <w:p w:rsidR="00790D42" w:rsidP="00426D38" w:rsidRDefault="00790D42" w14:paraId="0618CE2E" w14:textId="77777777">
      <w:pPr>
        <w:pStyle w:val="ListParagraph"/>
        <w:numPr>
          <w:ilvl w:val="0"/>
          <w:numId w:val="19"/>
        </w:numPr>
        <w:ind w:left="567" w:hanging="283"/>
        <w:rPr>
          <w:szCs w:val="20"/>
        </w:rPr>
      </w:pPr>
      <w:r>
        <w:t>souligne que l’ensemble des autorités nationales et européennes compétentes doivent combattent fermement les tentatives de contourner les règles en vigueur en ce qui concerne les conditions de travail des conducteurs, afin d’accroître l’attrait d’un secteur déjà en proie à des pénuries de personnel;</w:t>
      </w:r>
    </w:p>
    <w:p w:rsidRPr="00670DCC" w:rsidR="00790D42" w:rsidP="00426D38" w:rsidRDefault="00790D42" w14:paraId="00AA7DC7" w14:textId="77777777">
      <w:pPr>
        <w:pStyle w:val="ListParagraph"/>
        <w:numPr>
          <w:ilvl w:val="0"/>
          <w:numId w:val="19"/>
        </w:numPr>
        <w:ind w:left="567" w:hanging="283"/>
        <w:rPr>
          <w:szCs w:val="20"/>
        </w:rPr>
      </w:pPr>
      <w:r>
        <w:t>propose que la mise en œuvre et le respect effectifs des règles existantes fassent l’objet d’une attention beaucoup plus soutenue. Un certain nombre de possibilités s’offrent pour atteindre cet objectif, notamment l’utilisation d’outils numériques aux fins d’inspections, qui pourraient être soutenus par des financements de l’Union européenne.</w:t>
      </w:r>
    </w:p>
    <w:p w:rsidRPr="000624A9" w:rsidR="00790D42" w:rsidP="00790D42" w:rsidRDefault="00790D42" w14:paraId="27A7DE36" w14:textId="77777777">
      <w:pPr>
        <w:widowControl w:val="0"/>
        <w:ind w:left="709"/>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6689B" w:rsidR="00790D42" w:rsidTr="00195CCE" w14:paraId="0035CCD4" w14:textId="77777777">
        <w:tc>
          <w:tcPr>
            <w:tcW w:w="1418" w:type="dxa"/>
          </w:tcPr>
          <w:p w:rsidRPr="00A6689B" w:rsidR="00790D42" w:rsidP="00195CCE" w:rsidRDefault="00790D42" w14:paraId="6E0489D1" w14:textId="77777777">
            <w:pPr>
              <w:spacing w:line="240" w:lineRule="auto"/>
              <w:rPr>
                <w:i/>
              </w:rPr>
            </w:pPr>
            <w:r>
              <w:rPr>
                <w:b/>
                <w:i/>
              </w:rPr>
              <w:t>Contact</w:t>
            </w:r>
          </w:p>
        </w:tc>
        <w:tc>
          <w:tcPr>
            <w:tcW w:w="5670" w:type="dxa"/>
          </w:tcPr>
          <w:p w:rsidRPr="00A6689B" w:rsidR="00790D42" w:rsidP="00195CCE" w:rsidRDefault="00790D42" w14:paraId="3F281837" w14:textId="77777777">
            <w:pPr>
              <w:spacing w:line="240" w:lineRule="auto"/>
              <w:rPr>
                <w:i/>
              </w:rPr>
            </w:pPr>
            <w:r>
              <w:rPr>
                <w:i/>
              </w:rPr>
              <w:t>Alessandro RIZZI</w:t>
            </w:r>
          </w:p>
        </w:tc>
      </w:tr>
      <w:tr w:rsidRPr="00A6689B" w:rsidR="00790D42" w:rsidTr="00195CCE" w14:paraId="7FBFE0F9" w14:textId="77777777">
        <w:tc>
          <w:tcPr>
            <w:tcW w:w="1418" w:type="dxa"/>
          </w:tcPr>
          <w:p w:rsidRPr="00A6689B" w:rsidR="00790D42" w:rsidP="00195CCE" w:rsidRDefault="00790D42" w14:paraId="2AFF8223" w14:textId="77777777">
            <w:pPr>
              <w:spacing w:line="240" w:lineRule="auto"/>
              <w:rPr>
                <w:i/>
              </w:rPr>
            </w:pPr>
            <w:r>
              <w:rPr>
                <w:i/>
              </w:rPr>
              <w:t>Tél.</w:t>
            </w:r>
          </w:p>
        </w:tc>
        <w:tc>
          <w:tcPr>
            <w:tcW w:w="5670" w:type="dxa"/>
          </w:tcPr>
          <w:p w:rsidRPr="00A6689B" w:rsidR="00790D42" w:rsidP="00195CCE" w:rsidRDefault="00790D42" w14:paraId="27303722" w14:textId="77777777">
            <w:pPr>
              <w:spacing w:line="240" w:lineRule="auto"/>
              <w:rPr>
                <w:i/>
              </w:rPr>
            </w:pPr>
            <w:r>
              <w:rPr>
                <w:i/>
              </w:rPr>
              <w:t>+32 25468679</w:t>
            </w:r>
          </w:p>
        </w:tc>
      </w:tr>
      <w:tr w:rsidRPr="00A6689B" w:rsidR="00790D42" w:rsidTr="00195CCE" w14:paraId="7809F473" w14:textId="77777777">
        <w:tc>
          <w:tcPr>
            <w:tcW w:w="1418" w:type="dxa"/>
          </w:tcPr>
          <w:p w:rsidRPr="00A6689B" w:rsidR="00790D42" w:rsidP="00195CCE" w:rsidRDefault="00790D42" w14:paraId="7F26B78D" w14:textId="77777777">
            <w:pPr>
              <w:spacing w:line="240" w:lineRule="auto"/>
              <w:rPr>
                <w:i/>
              </w:rPr>
            </w:pPr>
            <w:r>
              <w:rPr>
                <w:i/>
              </w:rPr>
              <w:t>Courriel</w:t>
            </w:r>
          </w:p>
        </w:tc>
        <w:tc>
          <w:tcPr>
            <w:tcW w:w="5670" w:type="dxa"/>
          </w:tcPr>
          <w:p w:rsidRPr="00A03573" w:rsidR="00790D42" w:rsidP="00195CCE" w:rsidRDefault="006F4895" w14:paraId="0B5C893F" w14:textId="77777777">
            <w:pPr>
              <w:spacing w:line="240" w:lineRule="auto"/>
              <w:rPr>
                <w:i/>
                <w:iCs/>
              </w:rPr>
            </w:pPr>
            <w:hyperlink w:history="1" r:id="rId76">
              <w:r w:rsidR="00790D42">
                <w:rPr>
                  <w:rStyle w:val="Hyperlink"/>
                  <w:i/>
                </w:rPr>
                <w:t>Alessandro.Rizzi@eesc.europa.eu</w:t>
              </w:r>
            </w:hyperlink>
          </w:p>
        </w:tc>
      </w:tr>
    </w:tbl>
    <w:bookmarkEnd w:id="0"/>
    <w:p w:rsidRPr="00FB2A49" w:rsidR="00AF0BE2" w:rsidP="00775FC4" w:rsidRDefault="000F6FCF" w14:paraId="2BE103DE" w14:textId="2850AE0C">
      <w:pPr>
        <w:jc w:val="center"/>
        <w:rPr>
          <w:sz w:val="28"/>
          <w:szCs w:val="28"/>
        </w:rPr>
      </w:pPr>
      <w:r>
        <w:t>_____________</w:t>
      </w:r>
    </w:p>
    <w:sectPr w:rsidRPr="00FB2A49" w:rsidR="00AF0BE2" w:rsidSect="00EB3927">
      <w:headerReference w:type="even" r:id="rId77"/>
      <w:headerReference w:type="default" r:id="rId78"/>
      <w:footerReference w:type="even" r:id="rId79"/>
      <w:footerReference w:type="default" r:id="rId80"/>
      <w:headerReference w:type="first" r:id="rId81"/>
      <w:footerReference w:type="first" r:id="rId82"/>
      <w:pgSz w:w="11907" w:h="16839" w:code="9"/>
      <w:pgMar w:top="1418" w:right="1275" w:bottom="147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4579" w14:textId="77777777" w:rsidR="007D0718" w:rsidRDefault="007D0718" w:rsidP="003B0516">
      <w:pPr>
        <w:spacing w:line="240" w:lineRule="auto"/>
      </w:pPr>
      <w:r>
        <w:separator/>
      </w:r>
    </w:p>
  </w:endnote>
  <w:endnote w:type="continuationSeparator" w:id="0">
    <w:p w14:paraId="6D903200" w14:textId="77777777" w:rsidR="007D0718" w:rsidRDefault="007D0718"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8A29" w14:textId="77777777" w:rsidR="00B320F5" w:rsidRDefault="00B32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1E654BC6" w:rsidR="00765C4F" w:rsidRPr="006D1EA4" w:rsidRDefault="00E4258F" w:rsidP="00E4258F">
    <w:pPr>
      <w:pStyle w:val="Footer"/>
    </w:pPr>
    <w:r>
      <w:t xml:space="preserve">EESC-2023-03625-00-00-TCD-TRA (EN) </w:t>
    </w:r>
    <w:r w:rsidR="005A4E72">
      <w:fldChar w:fldCharType="begin"/>
    </w:r>
    <w:r w:rsidR="005A4E72">
      <w:instrText xml:space="preserve"> PAGE  \* Arabic  \* MERGEFORMAT </w:instrText>
    </w:r>
    <w:r w:rsidR="005A4E72">
      <w:fldChar w:fldCharType="separate"/>
    </w:r>
    <w:r w:rsidR="007F1D89">
      <w:t>1</w:t>
    </w:r>
    <w:r w:rsidR="005A4E72">
      <w:fldChar w:fldCharType="end"/>
    </w:r>
    <w:r>
      <w:t>/</w:t>
    </w:r>
    <w:r w:rsidR="006F4895">
      <w:fldChar w:fldCharType="begin"/>
    </w:r>
    <w:r w:rsidR="006F4895">
      <w:instrText xml:space="preserve"> NUMPAGES </w:instrText>
    </w:r>
    <w:r w:rsidR="006F4895">
      <w:fldChar w:fldCharType="separate"/>
    </w:r>
    <w:r w:rsidR="007F1D89">
      <w:t>1</w:t>
    </w:r>
    <w:r w:rsidR="006F489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3E68" w14:textId="77777777" w:rsidR="00B320F5" w:rsidRDefault="00B320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8855" w14:textId="77777777" w:rsidR="00E4258F" w:rsidRPr="006D1EA4" w:rsidRDefault="00E4258F" w:rsidP="00E425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C8A9" w14:textId="02CED39B" w:rsidR="00E4258F" w:rsidRPr="006D1EA4" w:rsidRDefault="00E4258F" w:rsidP="00E4258F">
    <w:pPr>
      <w:pStyle w:val="Footer"/>
    </w:pPr>
    <w:r>
      <w:t xml:space="preserve">EESC-2023-03625-00-00-TCD-TRA (EN) </w:t>
    </w:r>
    <w:r w:rsidR="00B07DA6">
      <w:fldChar w:fldCharType="begin"/>
    </w:r>
    <w:r w:rsidR="00B07DA6">
      <w:instrText xml:space="preserve"> PAGE  \* Arabic  \* MERGEFORMAT </w:instrText>
    </w:r>
    <w:r w:rsidR="00B07DA6">
      <w:fldChar w:fldCharType="separate"/>
    </w:r>
    <w:r w:rsidR="00B07DA6">
      <w:t>22</w:t>
    </w:r>
    <w:r w:rsidR="00B07DA6">
      <w:fldChar w:fldCharType="end"/>
    </w:r>
    <w:r>
      <w:t>/</w:t>
    </w:r>
    <w:r w:rsidR="006F4895">
      <w:fldChar w:fldCharType="begin"/>
    </w:r>
    <w:r w:rsidR="006F4895">
      <w:instrText xml:space="preserve"> NUMPAGES </w:instrText>
    </w:r>
    <w:r w:rsidR="006F4895">
      <w:fldChar w:fldCharType="separate"/>
    </w:r>
    <w:r w:rsidR="00B07DA6">
      <w:t>38</w:t>
    </w:r>
    <w:r w:rsidR="006F489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D43" w14:textId="77777777" w:rsidR="00E4258F" w:rsidRPr="006D1EA4" w:rsidRDefault="00E4258F" w:rsidP="00E4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7B33" w14:textId="77777777" w:rsidR="007D0718" w:rsidRDefault="007D0718" w:rsidP="003B0516">
      <w:pPr>
        <w:spacing w:line="240" w:lineRule="auto"/>
      </w:pPr>
      <w:r>
        <w:separator/>
      </w:r>
    </w:p>
  </w:footnote>
  <w:footnote w:type="continuationSeparator" w:id="0">
    <w:p w14:paraId="0A3A9AF3" w14:textId="77777777" w:rsidR="007D0718" w:rsidRDefault="007D0718" w:rsidP="003B0516">
      <w:pPr>
        <w:spacing w:line="240" w:lineRule="auto"/>
      </w:pPr>
      <w:r>
        <w:continuationSeparator/>
      </w:r>
    </w:p>
  </w:footnote>
  <w:footnote w:id="1">
    <w:p w14:paraId="5F8308E7" w14:textId="77777777" w:rsidR="006D1026" w:rsidRPr="00102974" w:rsidRDefault="006D1026" w:rsidP="006D1026">
      <w:pPr>
        <w:pStyle w:val="FootnoteText"/>
      </w:pPr>
      <w:r>
        <w:rPr>
          <w:rStyle w:val="FootnoteReference"/>
        </w:rPr>
        <w:footnoteRef/>
      </w:r>
      <w:r>
        <w:t xml:space="preserve"> </w:t>
      </w:r>
      <w:r>
        <w:tab/>
      </w:r>
      <w:hyperlink r:id="rId1" w:history="1">
        <w:r>
          <w:rPr>
            <w:rStyle w:val="Hyperlink"/>
          </w:rPr>
          <w:t>Avis exploratoire du CESE</w:t>
        </w:r>
      </w:hyperlink>
      <w:r>
        <w:t>, élaboré à la demande de la présidence espagnole. Non encore publié.</w:t>
      </w:r>
    </w:p>
  </w:footnote>
  <w:footnote w:id="2">
    <w:p w14:paraId="135C56D4" w14:textId="77777777" w:rsidR="00E47B9A" w:rsidRPr="00014455" w:rsidRDefault="00E47B9A" w:rsidP="00E47B9A">
      <w:pPr>
        <w:pStyle w:val="FootnoteText"/>
      </w:pPr>
      <w:r>
        <w:rPr>
          <w:rStyle w:val="FootnoteReference"/>
        </w:rPr>
        <w:footnoteRef/>
      </w:r>
      <w:r>
        <w:tab/>
        <w:t>Les procédures doivent garantir un procès équitable, y compris le droit à un recours effectif (articles 6 et 13 de la CEDH, et articles 42 et 59 de l’accord sur les ADPIC).</w:t>
      </w:r>
    </w:p>
  </w:footnote>
  <w:footnote w:id="3">
    <w:p w14:paraId="1DDDE39E" w14:textId="77777777" w:rsidR="00E47B9A" w:rsidRPr="003375CD" w:rsidRDefault="00E47B9A" w:rsidP="00E47B9A">
      <w:pPr>
        <w:pStyle w:val="FootnoteText"/>
      </w:pPr>
      <w:r>
        <w:rPr>
          <w:rStyle w:val="FootnoteReference"/>
        </w:rPr>
        <w:footnoteRef/>
      </w:r>
      <w:r>
        <w:tab/>
        <w:t xml:space="preserve">Avis du CESE sur la «Promotion de régimes alimentaires sains et durables dans l’Union européenne», </w:t>
      </w:r>
      <w:hyperlink r:id="rId2" w:history="1">
        <w:r>
          <w:rPr>
            <w:rStyle w:val="Hyperlink"/>
          </w:rPr>
          <w:t>JO C 190 du 5.6.2019, p. 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18F0" w14:textId="77777777" w:rsidR="00B320F5" w:rsidRDefault="00B32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9BEA" w14:textId="77777777" w:rsidR="00B320F5" w:rsidRDefault="00B32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DD22" w14:textId="77777777" w:rsidR="00B320F5" w:rsidRDefault="00B320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98DD" w14:textId="77777777" w:rsidR="00E4258F" w:rsidRPr="006D1EA4" w:rsidRDefault="00E4258F" w:rsidP="00E425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0FFF" w14:textId="77777777" w:rsidR="00E4258F" w:rsidRPr="00133C08" w:rsidRDefault="00E4258F" w:rsidP="00E425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BED8" w14:textId="77777777" w:rsidR="00E4258F" w:rsidRPr="006D1EA4" w:rsidRDefault="00E4258F" w:rsidP="00E42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EBEEFDE"/>
    <w:lvl w:ilvl="0">
      <w:numFmt w:val="decimal"/>
      <w:lvlText w:val="*"/>
      <w:lvlJc w:val="left"/>
    </w:lvl>
  </w:abstractNum>
  <w:abstractNum w:abstractNumId="1" w15:restartNumberingAfterBreak="0">
    <w:nsid w:val="04A85BE8"/>
    <w:multiLevelType w:val="hybridMultilevel"/>
    <w:tmpl w:val="23806998"/>
    <w:lvl w:ilvl="0" w:tplc="E0B41C9A">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04E90585"/>
    <w:multiLevelType w:val="hybridMultilevel"/>
    <w:tmpl w:val="0928B2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5914D43"/>
    <w:multiLevelType w:val="hybridMultilevel"/>
    <w:tmpl w:val="50D09DF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016809"/>
    <w:multiLevelType w:val="hybridMultilevel"/>
    <w:tmpl w:val="D4CE74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B52B20"/>
    <w:multiLevelType w:val="hybridMultilevel"/>
    <w:tmpl w:val="2CF89D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AA4647"/>
    <w:multiLevelType w:val="hybridMultilevel"/>
    <w:tmpl w:val="9740DC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D37DD2"/>
    <w:multiLevelType w:val="hybridMultilevel"/>
    <w:tmpl w:val="7DBE5E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F6F194C"/>
    <w:multiLevelType w:val="hybridMultilevel"/>
    <w:tmpl w:val="73E0FB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7B45D08"/>
    <w:multiLevelType w:val="hybridMultilevel"/>
    <w:tmpl w:val="819CD394"/>
    <w:lvl w:ilvl="0" w:tplc="85C8C05E">
      <w:start w:val="1"/>
      <w:numFmt w:val="bullet"/>
      <w:pStyle w:val="Link"/>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B0460E8"/>
    <w:multiLevelType w:val="hybridMultilevel"/>
    <w:tmpl w:val="BE3A5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3D665D"/>
    <w:multiLevelType w:val="hybridMultilevel"/>
    <w:tmpl w:val="A4F263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300744F5"/>
    <w:multiLevelType w:val="hybridMultilevel"/>
    <w:tmpl w:val="0DBC306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400D629B"/>
    <w:multiLevelType w:val="hybridMultilevel"/>
    <w:tmpl w:val="36BE9BB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41AF1A90"/>
    <w:multiLevelType w:val="hybridMultilevel"/>
    <w:tmpl w:val="A7C013AA"/>
    <w:lvl w:ilvl="0" w:tplc="E2A45664">
      <w:start w:val="1"/>
      <w:numFmt w:val="decimal"/>
      <w:lvlText w:val="%1."/>
      <w:lvlJc w:val="left"/>
      <w:pPr>
        <w:ind w:left="720" w:hanging="360"/>
      </w:pPr>
      <w:rPr>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F6C20FF"/>
    <w:multiLevelType w:val="hybridMultilevel"/>
    <w:tmpl w:val="30DA90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3ED6370"/>
    <w:multiLevelType w:val="hybridMultilevel"/>
    <w:tmpl w:val="92CAC52E"/>
    <w:lvl w:ilvl="0" w:tplc="29121A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812594"/>
    <w:multiLevelType w:val="hybridMultilevel"/>
    <w:tmpl w:val="C658C2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3D359E"/>
    <w:multiLevelType w:val="hybridMultilevel"/>
    <w:tmpl w:val="6794FD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5326CF0"/>
    <w:multiLevelType w:val="hybridMultilevel"/>
    <w:tmpl w:val="FCA25B9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97F736D"/>
    <w:multiLevelType w:val="hybridMultilevel"/>
    <w:tmpl w:val="F07077D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2476983"/>
    <w:multiLevelType w:val="hybridMultilevel"/>
    <w:tmpl w:val="25BAB09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792F4E58"/>
    <w:multiLevelType w:val="hybridMultilevel"/>
    <w:tmpl w:val="089A3574"/>
    <w:lvl w:ilvl="0" w:tplc="09182730">
      <w:start w:val="1"/>
      <w:numFmt w:val="bullet"/>
      <w:lvlText w:val=""/>
      <w:lvlJc w:val="left"/>
      <w:pPr>
        <w:ind w:left="360" w:hanging="360"/>
      </w:pPr>
      <w:rPr>
        <w:rFonts w:ascii="Symbol" w:hAnsi="Symbol" w:hint="default"/>
        <w:color w:val="auto"/>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79DA0492"/>
    <w:multiLevelType w:val="hybridMultilevel"/>
    <w:tmpl w:val="69184040"/>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7D0E47C9"/>
    <w:multiLevelType w:val="hybridMultilevel"/>
    <w:tmpl w:val="F26225D4"/>
    <w:lvl w:ilvl="0" w:tplc="080C0001">
      <w:start w:val="1"/>
      <w:numFmt w:val="bullet"/>
      <w:lvlText w:val=""/>
      <w:lvlJc w:val="left"/>
      <w:pPr>
        <w:ind w:left="720" w:hanging="360"/>
      </w:pPr>
      <w:rPr>
        <w:rFonts w:ascii="Symbol" w:hAnsi="Symbol" w:hint="default"/>
      </w:rPr>
    </w:lvl>
    <w:lvl w:ilvl="1" w:tplc="08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color w:val="auto"/>
          <w:sz w:val="28"/>
          <w:szCs w:val="28"/>
        </w:rPr>
      </w:lvl>
    </w:lvlOverride>
  </w:num>
  <w:num w:numId="3">
    <w:abstractNumId w:val="0"/>
    <w:lvlOverride w:ilvl="0">
      <w:lvl w:ilvl="0">
        <w:start w:val="1"/>
        <w:numFmt w:val="bullet"/>
        <w:lvlText w:val=""/>
        <w:lvlJc w:val="left"/>
        <w:pPr>
          <w:ind w:left="720" w:hanging="360"/>
        </w:pPr>
        <w:rPr>
          <w:rFonts w:ascii="Symbol" w:hAnsi="Symbol" w:hint="default"/>
          <w:color w:val="auto"/>
        </w:rPr>
      </w:lvl>
    </w:lvlOverride>
  </w:num>
  <w:num w:numId="4">
    <w:abstractNumId w:val="1"/>
  </w:num>
  <w:num w:numId="5">
    <w:abstractNumId w:val="16"/>
  </w:num>
  <w:num w:numId="6">
    <w:abstractNumId w:val="14"/>
  </w:num>
  <w:num w:numId="7">
    <w:abstractNumId w:val="0"/>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8">
    <w:abstractNumId w:val="20"/>
  </w:num>
  <w:num w:numId="9">
    <w:abstractNumId w:val="7"/>
  </w:num>
  <w:num w:numId="10">
    <w:abstractNumId w:val="4"/>
  </w:num>
  <w:num w:numId="11">
    <w:abstractNumId w:val="2"/>
  </w:num>
  <w:num w:numId="12">
    <w:abstractNumId w:val="19"/>
  </w:num>
  <w:num w:numId="13">
    <w:abstractNumId w:val="10"/>
  </w:num>
  <w:num w:numId="14">
    <w:abstractNumId w:val="24"/>
  </w:num>
  <w:num w:numId="15">
    <w:abstractNumId w:val="8"/>
  </w:num>
  <w:num w:numId="16">
    <w:abstractNumId w:val="18"/>
  </w:num>
  <w:num w:numId="17">
    <w:abstractNumId w:val="6"/>
  </w:num>
  <w:num w:numId="18">
    <w:abstractNumId w:val="15"/>
  </w:num>
  <w:num w:numId="19">
    <w:abstractNumId w:val="23"/>
  </w:num>
  <w:num w:numId="20">
    <w:abstractNumId w:val="22"/>
  </w:num>
  <w:num w:numId="21">
    <w:abstractNumId w:val="21"/>
  </w:num>
  <w:num w:numId="22">
    <w:abstractNumId w:val="12"/>
  </w:num>
  <w:num w:numId="23">
    <w:abstractNumId w:val="5"/>
  </w:num>
  <w:num w:numId="24">
    <w:abstractNumId w:val="11"/>
  </w:num>
  <w:num w:numId="25">
    <w:abstractNumId w:val="3"/>
  </w:num>
  <w:num w:numId="26">
    <w:abstractNumId w:val="17"/>
  </w:num>
  <w:num w:numId="2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activeWritingStyle w:appName="MSWord" w:lang="fr-LU"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C0"/>
    <w:rsid w:val="000011FC"/>
    <w:rsid w:val="00001786"/>
    <w:rsid w:val="00001A64"/>
    <w:rsid w:val="00002061"/>
    <w:rsid w:val="00002240"/>
    <w:rsid w:val="00002A4B"/>
    <w:rsid w:val="00007729"/>
    <w:rsid w:val="00011582"/>
    <w:rsid w:val="00011846"/>
    <w:rsid w:val="00012071"/>
    <w:rsid w:val="00013CEE"/>
    <w:rsid w:val="00014132"/>
    <w:rsid w:val="0001419F"/>
    <w:rsid w:val="000142E0"/>
    <w:rsid w:val="00014C93"/>
    <w:rsid w:val="00015E18"/>
    <w:rsid w:val="00016015"/>
    <w:rsid w:val="00017B56"/>
    <w:rsid w:val="0002109C"/>
    <w:rsid w:val="000232FA"/>
    <w:rsid w:val="00023B5F"/>
    <w:rsid w:val="00023DE9"/>
    <w:rsid w:val="000243E7"/>
    <w:rsid w:val="0002450A"/>
    <w:rsid w:val="00024601"/>
    <w:rsid w:val="000247C5"/>
    <w:rsid w:val="00024D79"/>
    <w:rsid w:val="000257FE"/>
    <w:rsid w:val="00025CE3"/>
    <w:rsid w:val="0002700A"/>
    <w:rsid w:val="00027072"/>
    <w:rsid w:val="000273E5"/>
    <w:rsid w:val="00027441"/>
    <w:rsid w:val="0003047E"/>
    <w:rsid w:val="00030AA7"/>
    <w:rsid w:val="00031589"/>
    <w:rsid w:val="00031F57"/>
    <w:rsid w:val="00032038"/>
    <w:rsid w:val="0003271A"/>
    <w:rsid w:val="00032BAA"/>
    <w:rsid w:val="00032C0F"/>
    <w:rsid w:val="00033456"/>
    <w:rsid w:val="000336F2"/>
    <w:rsid w:val="000349A2"/>
    <w:rsid w:val="00034E35"/>
    <w:rsid w:val="00035924"/>
    <w:rsid w:val="000359CB"/>
    <w:rsid w:val="00036505"/>
    <w:rsid w:val="00037A85"/>
    <w:rsid w:val="000402AE"/>
    <w:rsid w:val="00040FE1"/>
    <w:rsid w:val="00041C4A"/>
    <w:rsid w:val="0004205F"/>
    <w:rsid w:val="000421E0"/>
    <w:rsid w:val="00043287"/>
    <w:rsid w:val="00043A3F"/>
    <w:rsid w:val="00046621"/>
    <w:rsid w:val="00046E56"/>
    <w:rsid w:val="00047887"/>
    <w:rsid w:val="00050002"/>
    <w:rsid w:val="000507DF"/>
    <w:rsid w:val="0005110E"/>
    <w:rsid w:val="0005170F"/>
    <w:rsid w:val="00052BF1"/>
    <w:rsid w:val="0005495B"/>
    <w:rsid w:val="00055A19"/>
    <w:rsid w:val="00055CA5"/>
    <w:rsid w:val="00055D63"/>
    <w:rsid w:val="00056079"/>
    <w:rsid w:val="00056B3E"/>
    <w:rsid w:val="00057592"/>
    <w:rsid w:val="00057A51"/>
    <w:rsid w:val="00060F9E"/>
    <w:rsid w:val="000636B3"/>
    <w:rsid w:val="00063DFF"/>
    <w:rsid w:val="00063F30"/>
    <w:rsid w:val="0006421B"/>
    <w:rsid w:val="00064442"/>
    <w:rsid w:val="00064EDE"/>
    <w:rsid w:val="000662D1"/>
    <w:rsid w:val="00066DC7"/>
    <w:rsid w:val="000676C4"/>
    <w:rsid w:val="0007015C"/>
    <w:rsid w:val="00070AAE"/>
    <w:rsid w:val="00070FEE"/>
    <w:rsid w:val="0007146F"/>
    <w:rsid w:val="00071568"/>
    <w:rsid w:val="00071B33"/>
    <w:rsid w:val="00071F4C"/>
    <w:rsid w:val="00072D9B"/>
    <w:rsid w:val="00073491"/>
    <w:rsid w:val="000736D0"/>
    <w:rsid w:val="0007419A"/>
    <w:rsid w:val="00075ECB"/>
    <w:rsid w:val="000764E8"/>
    <w:rsid w:val="00076BA9"/>
    <w:rsid w:val="00077FF5"/>
    <w:rsid w:val="000830F4"/>
    <w:rsid w:val="00083845"/>
    <w:rsid w:val="00085082"/>
    <w:rsid w:val="00086B53"/>
    <w:rsid w:val="000911BF"/>
    <w:rsid w:val="000917D8"/>
    <w:rsid w:val="00092425"/>
    <w:rsid w:val="00093800"/>
    <w:rsid w:val="00093F23"/>
    <w:rsid w:val="00094B6B"/>
    <w:rsid w:val="000951A1"/>
    <w:rsid w:val="000956DB"/>
    <w:rsid w:val="00096786"/>
    <w:rsid w:val="00096CDE"/>
    <w:rsid w:val="00097704"/>
    <w:rsid w:val="0009784F"/>
    <w:rsid w:val="000A007B"/>
    <w:rsid w:val="000A03BD"/>
    <w:rsid w:val="000A0B04"/>
    <w:rsid w:val="000A1218"/>
    <w:rsid w:val="000A1931"/>
    <w:rsid w:val="000A3603"/>
    <w:rsid w:val="000A558D"/>
    <w:rsid w:val="000A74DC"/>
    <w:rsid w:val="000A7BA8"/>
    <w:rsid w:val="000A7EC1"/>
    <w:rsid w:val="000B01F7"/>
    <w:rsid w:val="000B0B9A"/>
    <w:rsid w:val="000B19C4"/>
    <w:rsid w:val="000B1AE6"/>
    <w:rsid w:val="000B25D7"/>
    <w:rsid w:val="000B37D6"/>
    <w:rsid w:val="000B5831"/>
    <w:rsid w:val="000B652D"/>
    <w:rsid w:val="000B6A0A"/>
    <w:rsid w:val="000B79E2"/>
    <w:rsid w:val="000B7D8A"/>
    <w:rsid w:val="000C06CE"/>
    <w:rsid w:val="000C0708"/>
    <w:rsid w:val="000C18CA"/>
    <w:rsid w:val="000C26EC"/>
    <w:rsid w:val="000C2F19"/>
    <w:rsid w:val="000C3942"/>
    <w:rsid w:val="000C3E40"/>
    <w:rsid w:val="000C3E7C"/>
    <w:rsid w:val="000C43E2"/>
    <w:rsid w:val="000C5E9B"/>
    <w:rsid w:val="000C6D0B"/>
    <w:rsid w:val="000C73A6"/>
    <w:rsid w:val="000D0187"/>
    <w:rsid w:val="000D0A74"/>
    <w:rsid w:val="000D10ED"/>
    <w:rsid w:val="000D14C9"/>
    <w:rsid w:val="000D2F8F"/>
    <w:rsid w:val="000D40D0"/>
    <w:rsid w:val="000D65AC"/>
    <w:rsid w:val="000D7181"/>
    <w:rsid w:val="000D72F5"/>
    <w:rsid w:val="000D754F"/>
    <w:rsid w:val="000D7878"/>
    <w:rsid w:val="000E1079"/>
    <w:rsid w:val="000E14F2"/>
    <w:rsid w:val="000E3485"/>
    <w:rsid w:val="000E37FD"/>
    <w:rsid w:val="000E447F"/>
    <w:rsid w:val="000E5197"/>
    <w:rsid w:val="000E56EA"/>
    <w:rsid w:val="000E5FFD"/>
    <w:rsid w:val="000E6108"/>
    <w:rsid w:val="000E75F1"/>
    <w:rsid w:val="000F2598"/>
    <w:rsid w:val="000F2BDB"/>
    <w:rsid w:val="000F2E5A"/>
    <w:rsid w:val="000F442A"/>
    <w:rsid w:val="000F4825"/>
    <w:rsid w:val="000F53B7"/>
    <w:rsid w:val="000F6440"/>
    <w:rsid w:val="000F679A"/>
    <w:rsid w:val="000F6FCF"/>
    <w:rsid w:val="001000A8"/>
    <w:rsid w:val="001016BE"/>
    <w:rsid w:val="00101D87"/>
    <w:rsid w:val="00104302"/>
    <w:rsid w:val="00104B7A"/>
    <w:rsid w:val="0010535A"/>
    <w:rsid w:val="00105758"/>
    <w:rsid w:val="00105EF9"/>
    <w:rsid w:val="00106358"/>
    <w:rsid w:val="00110085"/>
    <w:rsid w:val="001106FB"/>
    <w:rsid w:val="00111187"/>
    <w:rsid w:val="00111BD8"/>
    <w:rsid w:val="00113B00"/>
    <w:rsid w:val="001140AE"/>
    <w:rsid w:val="00115CD7"/>
    <w:rsid w:val="00115FCA"/>
    <w:rsid w:val="001167A1"/>
    <w:rsid w:val="00116A1C"/>
    <w:rsid w:val="001179DB"/>
    <w:rsid w:val="00117AA8"/>
    <w:rsid w:val="00120215"/>
    <w:rsid w:val="00120BA5"/>
    <w:rsid w:val="00121BCE"/>
    <w:rsid w:val="00123FF3"/>
    <w:rsid w:val="00124D7C"/>
    <w:rsid w:val="00124D9E"/>
    <w:rsid w:val="0012548F"/>
    <w:rsid w:val="001264CB"/>
    <w:rsid w:val="00126BB5"/>
    <w:rsid w:val="00126D3E"/>
    <w:rsid w:val="001271C3"/>
    <w:rsid w:val="0013052F"/>
    <w:rsid w:val="00132B56"/>
    <w:rsid w:val="001332A2"/>
    <w:rsid w:val="00133C08"/>
    <w:rsid w:val="001348CC"/>
    <w:rsid w:val="00135610"/>
    <w:rsid w:val="00135769"/>
    <w:rsid w:val="00137BCC"/>
    <w:rsid w:val="001400C7"/>
    <w:rsid w:val="001435E4"/>
    <w:rsid w:val="001445A7"/>
    <w:rsid w:val="001455A1"/>
    <w:rsid w:val="0014589C"/>
    <w:rsid w:val="00150AD8"/>
    <w:rsid w:val="001513FD"/>
    <w:rsid w:val="00151EDB"/>
    <w:rsid w:val="00153032"/>
    <w:rsid w:val="00153F0C"/>
    <w:rsid w:val="001543FE"/>
    <w:rsid w:val="00154EC7"/>
    <w:rsid w:val="00155B53"/>
    <w:rsid w:val="001563F6"/>
    <w:rsid w:val="00157F0F"/>
    <w:rsid w:val="00163106"/>
    <w:rsid w:val="00164813"/>
    <w:rsid w:val="0016534C"/>
    <w:rsid w:val="00165EA2"/>
    <w:rsid w:val="00172541"/>
    <w:rsid w:val="0017287C"/>
    <w:rsid w:val="00173E94"/>
    <w:rsid w:val="001744F9"/>
    <w:rsid w:val="00174763"/>
    <w:rsid w:val="001756D1"/>
    <w:rsid w:val="00175EC3"/>
    <w:rsid w:val="001760E9"/>
    <w:rsid w:val="00180F59"/>
    <w:rsid w:val="0018231C"/>
    <w:rsid w:val="00182F92"/>
    <w:rsid w:val="0018432F"/>
    <w:rsid w:val="00184D19"/>
    <w:rsid w:val="001861B4"/>
    <w:rsid w:val="001865D3"/>
    <w:rsid w:val="00187F8B"/>
    <w:rsid w:val="00191584"/>
    <w:rsid w:val="00191597"/>
    <w:rsid w:val="00192492"/>
    <w:rsid w:val="00192BCD"/>
    <w:rsid w:val="00193D92"/>
    <w:rsid w:val="00194870"/>
    <w:rsid w:val="001951FD"/>
    <w:rsid w:val="00195380"/>
    <w:rsid w:val="00195CCE"/>
    <w:rsid w:val="001965D5"/>
    <w:rsid w:val="0019674A"/>
    <w:rsid w:val="0019715D"/>
    <w:rsid w:val="001A0AD4"/>
    <w:rsid w:val="001A1CC5"/>
    <w:rsid w:val="001A2273"/>
    <w:rsid w:val="001A2632"/>
    <w:rsid w:val="001A2ED2"/>
    <w:rsid w:val="001A7476"/>
    <w:rsid w:val="001B10DA"/>
    <w:rsid w:val="001B146A"/>
    <w:rsid w:val="001B643B"/>
    <w:rsid w:val="001B6460"/>
    <w:rsid w:val="001C087D"/>
    <w:rsid w:val="001C1786"/>
    <w:rsid w:val="001C226F"/>
    <w:rsid w:val="001C3412"/>
    <w:rsid w:val="001C4219"/>
    <w:rsid w:val="001C4A5D"/>
    <w:rsid w:val="001C4EDC"/>
    <w:rsid w:val="001C4EFA"/>
    <w:rsid w:val="001C5776"/>
    <w:rsid w:val="001C5D5C"/>
    <w:rsid w:val="001C64EB"/>
    <w:rsid w:val="001C6DC3"/>
    <w:rsid w:val="001C72AB"/>
    <w:rsid w:val="001C74A3"/>
    <w:rsid w:val="001C7B41"/>
    <w:rsid w:val="001D1F54"/>
    <w:rsid w:val="001D2636"/>
    <w:rsid w:val="001D31CF"/>
    <w:rsid w:val="001D357A"/>
    <w:rsid w:val="001D6FFF"/>
    <w:rsid w:val="001D770D"/>
    <w:rsid w:val="001E0F0C"/>
    <w:rsid w:val="001E1489"/>
    <w:rsid w:val="001E1833"/>
    <w:rsid w:val="001E2286"/>
    <w:rsid w:val="001E347B"/>
    <w:rsid w:val="001E3DFE"/>
    <w:rsid w:val="001E418F"/>
    <w:rsid w:val="001E6413"/>
    <w:rsid w:val="001E6F69"/>
    <w:rsid w:val="001E715B"/>
    <w:rsid w:val="001E71D7"/>
    <w:rsid w:val="001F0687"/>
    <w:rsid w:val="001F1433"/>
    <w:rsid w:val="001F1862"/>
    <w:rsid w:val="001F3E4F"/>
    <w:rsid w:val="001F56CE"/>
    <w:rsid w:val="001F5A42"/>
    <w:rsid w:val="001F6FD5"/>
    <w:rsid w:val="001F773D"/>
    <w:rsid w:val="00200222"/>
    <w:rsid w:val="0020062C"/>
    <w:rsid w:val="0020064C"/>
    <w:rsid w:val="00200BE9"/>
    <w:rsid w:val="0020199E"/>
    <w:rsid w:val="00201A37"/>
    <w:rsid w:val="002037FC"/>
    <w:rsid w:val="00203B0B"/>
    <w:rsid w:val="00203BF4"/>
    <w:rsid w:val="002040E7"/>
    <w:rsid w:val="002043D7"/>
    <w:rsid w:val="002048F7"/>
    <w:rsid w:val="002049FA"/>
    <w:rsid w:val="00205D0D"/>
    <w:rsid w:val="00206D17"/>
    <w:rsid w:val="00207B3C"/>
    <w:rsid w:val="00210F85"/>
    <w:rsid w:val="002119AD"/>
    <w:rsid w:val="00215520"/>
    <w:rsid w:val="0021590B"/>
    <w:rsid w:val="00215FAB"/>
    <w:rsid w:val="002205F3"/>
    <w:rsid w:val="00221313"/>
    <w:rsid w:val="002213A3"/>
    <w:rsid w:val="00223179"/>
    <w:rsid w:val="00224583"/>
    <w:rsid w:val="002247DC"/>
    <w:rsid w:val="00224E52"/>
    <w:rsid w:val="00224F73"/>
    <w:rsid w:val="0022582C"/>
    <w:rsid w:val="00225BCA"/>
    <w:rsid w:val="00225C52"/>
    <w:rsid w:val="002264B1"/>
    <w:rsid w:val="002268A5"/>
    <w:rsid w:val="00226A74"/>
    <w:rsid w:val="00226DC1"/>
    <w:rsid w:val="0022774F"/>
    <w:rsid w:val="00227E12"/>
    <w:rsid w:val="00231571"/>
    <w:rsid w:val="00232374"/>
    <w:rsid w:val="002326F4"/>
    <w:rsid w:val="00232868"/>
    <w:rsid w:val="002328D2"/>
    <w:rsid w:val="0023415A"/>
    <w:rsid w:val="00235B94"/>
    <w:rsid w:val="00237481"/>
    <w:rsid w:val="00240C09"/>
    <w:rsid w:val="00240D4D"/>
    <w:rsid w:val="002419CA"/>
    <w:rsid w:val="00242666"/>
    <w:rsid w:val="00243BC0"/>
    <w:rsid w:val="00245136"/>
    <w:rsid w:val="00245A60"/>
    <w:rsid w:val="00245CD4"/>
    <w:rsid w:val="00246F51"/>
    <w:rsid w:val="002479AC"/>
    <w:rsid w:val="00247E02"/>
    <w:rsid w:val="00251418"/>
    <w:rsid w:val="002525C2"/>
    <w:rsid w:val="002527F0"/>
    <w:rsid w:val="00252D9C"/>
    <w:rsid w:val="00252DA5"/>
    <w:rsid w:val="00254776"/>
    <w:rsid w:val="00255669"/>
    <w:rsid w:val="0025617D"/>
    <w:rsid w:val="00256BEC"/>
    <w:rsid w:val="00256F0A"/>
    <w:rsid w:val="002571FC"/>
    <w:rsid w:val="00260907"/>
    <w:rsid w:val="00261903"/>
    <w:rsid w:val="00261FDB"/>
    <w:rsid w:val="002634CF"/>
    <w:rsid w:val="002635C7"/>
    <w:rsid w:val="00267ABD"/>
    <w:rsid w:val="002706AD"/>
    <w:rsid w:val="00270828"/>
    <w:rsid w:val="00270AEC"/>
    <w:rsid w:val="002725D3"/>
    <w:rsid w:val="002736DF"/>
    <w:rsid w:val="002737D4"/>
    <w:rsid w:val="00274160"/>
    <w:rsid w:val="00274DCF"/>
    <w:rsid w:val="00275718"/>
    <w:rsid w:val="00275A32"/>
    <w:rsid w:val="002761B2"/>
    <w:rsid w:val="0027698E"/>
    <w:rsid w:val="00276CC9"/>
    <w:rsid w:val="002776B9"/>
    <w:rsid w:val="00277FEC"/>
    <w:rsid w:val="0028000C"/>
    <w:rsid w:val="00280603"/>
    <w:rsid w:val="00280A90"/>
    <w:rsid w:val="0028403D"/>
    <w:rsid w:val="002852F7"/>
    <w:rsid w:val="002859C4"/>
    <w:rsid w:val="002879B4"/>
    <w:rsid w:val="00287B4A"/>
    <w:rsid w:val="002908E2"/>
    <w:rsid w:val="00291154"/>
    <w:rsid w:val="0029132C"/>
    <w:rsid w:val="00292D44"/>
    <w:rsid w:val="00293765"/>
    <w:rsid w:val="0029379B"/>
    <w:rsid w:val="00293E9C"/>
    <w:rsid w:val="0029442A"/>
    <w:rsid w:val="00295B97"/>
    <w:rsid w:val="002962DA"/>
    <w:rsid w:val="0029725F"/>
    <w:rsid w:val="002A1827"/>
    <w:rsid w:val="002A2F38"/>
    <w:rsid w:val="002A3076"/>
    <w:rsid w:val="002A417C"/>
    <w:rsid w:val="002A417D"/>
    <w:rsid w:val="002A48B1"/>
    <w:rsid w:val="002A48BC"/>
    <w:rsid w:val="002A6192"/>
    <w:rsid w:val="002A696A"/>
    <w:rsid w:val="002A7009"/>
    <w:rsid w:val="002B0317"/>
    <w:rsid w:val="002B09A7"/>
    <w:rsid w:val="002B15F3"/>
    <w:rsid w:val="002B1961"/>
    <w:rsid w:val="002B2BA3"/>
    <w:rsid w:val="002B4E93"/>
    <w:rsid w:val="002B5031"/>
    <w:rsid w:val="002B6D6C"/>
    <w:rsid w:val="002B75A5"/>
    <w:rsid w:val="002B7981"/>
    <w:rsid w:val="002B7C5C"/>
    <w:rsid w:val="002B7F3A"/>
    <w:rsid w:val="002C016E"/>
    <w:rsid w:val="002C08B8"/>
    <w:rsid w:val="002C0E2F"/>
    <w:rsid w:val="002C2466"/>
    <w:rsid w:val="002C24B9"/>
    <w:rsid w:val="002C2B80"/>
    <w:rsid w:val="002C4B6E"/>
    <w:rsid w:val="002C5F52"/>
    <w:rsid w:val="002C704D"/>
    <w:rsid w:val="002D03B9"/>
    <w:rsid w:val="002D1175"/>
    <w:rsid w:val="002D3D63"/>
    <w:rsid w:val="002D3FFF"/>
    <w:rsid w:val="002D4382"/>
    <w:rsid w:val="002D4C38"/>
    <w:rsid w:val="002D4C63"/>
    <w:rsid w:val="002D4D5D"/>
    <w:rsid w:val="002D5A51"/>
    <w:rsid w:val="002D6C8A"/>
    <w:rsid w:val="002E01B5"/>
    <w:rsid w:val="002E211F"/>
    <w:rsid w:val="002E29B4"/>
    <w:rsid w:val="002E44D6"/>
    <w:rsid w:val="002E459D"/>
    <w:rsid w:val="002E5473"/>
    <w:rsid w:val="002E615C"/>
    <w:rsid w:val="002E62B0"/>
    <w:rsid w:val="002E7F30"/>
    <w:rsid w:val="002F0853"/>
    <w:rsid w:val="002F0F3E"/>
    <w:rsid w:val="002F32E6"/>
    <w:rsid w:val="002F4AF0"/>
    <w:rsid w:val="002F5750"/>
    <w:rsid w:val="002F57AC"/>
    <w:rsid w:val="002F5819"/>
    <w:rsid w:val="002F5EE1"/>
    <w:rsid w:val="002F63EB"/>
    <w:rsid w:val="002F6997"/>
    <w:rsid w:val="002F6FA0"/>
    <w:rsid w:val="00300ABA"/>
    <w:rsid w:val="0030158A"/>
    <w:rsid w:val="00302E45"/>
    <w:rsid w:val="003036D0"/>
    <w:rsid w:val="00304E20"/>
    <w:rsid w:val="00305834"/>
    <w:rsid w:val="00306A12"/>
    <w:rsid w:val="00311562"/>
    <w:rsid w:val="003123CB"/>
    <w:rsid w:val="003131BA"/>
    <w:rsid w:val="00313D86"/>
    <w:rsid w:val="003165A9"/>
    <w:rsid w:val="0031681F"/>
    <w:rsid w:val="00321539"/>
    <w:rsid w:val="0032154F"/>
    <w:rsid w:val="0032266E"/>
    <w:rsid w:val="003227CC"/>
    <w:rsid w:val="0032340F"/>
    <w:rsid w:val="0032356C"/>
    <w:rsid w:val="00323A05"/>
    <w:rsid w:val="00325509"/>
    <w:rsid w:val="00325F6C"/>
    <w:rsid w:val="003262D8"/>
    <w:rsid w:val="00326919"/>
    <w:rsid w:val="00326F5F"/>
    <w:rsid w:val="00327162"/>
    <w:rsid w:val="0033099B"/>
    <w:rsid w:val="00330A97"/>
    <w:rsid w:val="00331ACB"/>
    <w:rsid w:val="00331C12"/>
    <w:rsid w:val="00331F0C"/>
    <w:rsid w:val="00331F6F"/>
    <w:rsid w:val="00333F1A"/>
    <w:rsid w:val="00334052"/>
    <w:rsid w:val="00336A36"/>
    <w:rsid w:val="00337140"/>
    <w:rsid w:val="00337D94"/>
    <w:rsid w:val="00340D07"/>
    <w:rsid w:val="00340F46"/>
    <w:rsid w:val="003429F9"/>
    <w:rsid w:val="00342F72"/>
    <w:rsid w:val="00343E1E"/>
    <w:rsid w:val="003447C3"/>
    <w:rsid w:val="00344B13"/>
    <w:rsid w:val="00344BCF"/>
    <w:rsid w:val="00344D4D"/>
    <w:rsid w:val="003465B5"/>
    <w:rsid w:val="00346B57"/>
    <w:rsid w:val="00347F9A"/>
    <w:rsid w:val="003505DD"/>
    <w:rsid w:val="00350A12"/>
    <w:rsid w:val="00350F5C"/>
    <w:rsid w:val="003512EC"/>
    <w:rsid w:val="0035145B"/>
    <w:rsid w:val="00351F56"/>
    <w:rsid w:val="003527B4"/>
    <w:rsid w:val="003529C2"/>
    <w:rsid w:val="00353184"/>
    <w:rsid w:val="00353D37"/>
    <w:rsid w:val="00354714"/>
    <w:rsid w:val="00356BAD"/>
    <w:rsid w:val="00356CCD"/>
    <w:rsid w:val="003604AE"/>
    <w:rsid w:val="00360C81"/>
    <w:rsid w:val="00361E48"/>
    <w:rsid w:val="00361F46"/>
    <w:rsid w:val="00363F5C"/>
    <w:rsid w:val="003641AD"/>
    <w:rsid w:val="0036641A"/>
    <w:rsid w:val="00370548"/>
    <w:rsid w:val="00370CCB"/>
    <w:rsid w:val="003746E1"/>
    <w:rsid w:val="003748B6"/>
    <w:rsid w:val="00374BB8"/>
    <w:rsid w:val="003754CD"/>
    <w:rsid w:val="00375F51"/>
    <w:rsid w:val="003761C7"/>
    <w:rsid w:val="00376574"/>
    <w:rsid w:val="00376B0A"/>
    <w:rsid w:val="003770B5"/>
    <w:rsid w:val="0037718B"/>
    <w:rsid w:val="00381901"/>
    <w:rsid w:val="003819C7"/>
    <w:rsid w:val="00381EF4"/>
    <w:rsid w:val="00386954"/>
    <w:rsid w:val="003873CF"/>
    <w:rsid w:val="00390587"/>
    <w:rsid w:val="00391B98"/>
    <w:rsid w:val="0039201C"/>
    <w:rsid w:val="00394949"/>
    <w:rsid w:val="00395070"/>
    <w:rsid w:val="003953F0"/>
    <w:rsid w:val="00395762"/>
    <w:rsid w:val="00396061"/>
    <w:rsid w:val="003965BB"/>
    <w:rsid w:val="00396707"/>
    <w:rsid w:val="00396CC5"/>
    <w:rsid w:val="003A0DB7"/>
    <w:rsid w:val="003A2251"/>
    <w:rsid w:val="003A37C0"/>
    <w:rsid w:val="003A3C4C"/>
    <w:rsid w:val="003A7071"/>
    <w:rsid w:val="003B01EE"/>
    <w:rsid w:val="003B0516"/>
    <w:rsid w:val="003B2007"/>
    <w:rsid w:val="003B301F"/>
    <w:rsid w:val="003B3C5F"/>
    <w:rsid w:val="003B3D68"/>
    <w:rsid w:val="003B6100"/>
    <w:rsid w:val="003B62FD"/>
    <w:rsid w:val="003B6760"/>
    <w:rsid w:val="003B6EB5"/>
    <w:rsid w:val="003C07C5"/>
    <w:rsid w:val="003C0E5B"/>
    <w:rsid w:val="003C0FF2"/>
    <w:rsid w:val="003C179C"/>
    <w:rsid w:val="003C2647"/>
    <w:rsid w:val="003C2F64"/>
    <w:rsid w:val="003C3F66"/>
    <w:rsid w:val="003C4172"/>
    <w:rsid w:val="003C4D5B"/>
    <w:rsid w:val="003C5614"/>
    <w:rsid w:val="003C5C25"/>
    <w:rsid w:val="003C5D97"/>
    <w:rsid w:val="003C7843"/>
    <w:rsid w:val="003D33F7"/>
    <w:rsid w:val="003D4576"/>
    <w:rsid w:val="003D4F68"/>
    <w:rsid w:val="003D5339"/>
    <w:rsid w:val="003D55E1"/>
    <w:rsid w:val="003D5625"/>
    <w:rsid w:val="003D57BD"/>
    <w:rsid w:val="003D5CC0"/>
    <w:rsid w:val="003D76E2"/>
    <w:rsid w:val="003D7B91"/>
    <w:rsid w:val="003E15E3"/>
    <w:rsid w:val="003E2373"/>
    <w:rsid w:val="003E262D"/>
    <w:rsid w:val="003E2757"/>
    <w:rsid w:val="003E5137"/>
    <w:rsid w:val="003E5470"/>
    <w:rsid w:val="003E60EC"/>
    <w:rsid w:val="003E674F"/>
    <w:rsid w:val="003E692C"/>
    <w:rsid w:val="003F0013"/>
    <w:rsid w:val="003F0159"/>
    <w:rsid w:val="003F0594"/>
    <w:rsid w:val="003F07E1"/>
    <w:rsid w:val="003F0FDD"/>
    <w:rsid w:val="003F17D6"/>
    <w:rsid w:val="003F240C"/>
    <w:rsid w:val="003F25CD"/>
    <w:rsid w:val="003F2D36"/>
    <w:rsid w:val="003F437F"/>
    <w:rsid w:val="003F510A"/>
    <w:rsid w:val="003F549A"/>
    <w:rsid w:val="003F6382"/>
    <w:rsid w:val="003F78A9"/>
    <w:rsid w:val="0040019C"/>
    <w:rsid w:val="00400A1F"/>
    <w:rsid w:val="004028F0"/>
    <w:rsid w:val="00402A19"/>
    <w:rsid w:val="00403406"/>
    <w:rsid w:val="004047A6"/>
    <w:rsid w:val="004047B1"/>
    <w:rsid w:val="00405802"/>
    <w:rsid w:val="00405A32"/>
    <w:rsid w:val="00405FD9"/>
    <w:rsid w:val="0040654F"/>
    <w:rsid w:val="004068A5"/>
    <w:rsid w:val="00406DDB"/>
    <w:rsid w:val="00407760"/>
    <w:rsid w:val="004109E7"/>
    <w:rsid w:val="00411F4F"/>
    <w:rsid w:val="00412C56"/>
    <w:rsid w:val="004134ED"/>
    <w:rsid w:val="004136D5"/>
    <w:rsid w:val="00413EA0"/>
    <w:rsid w:val="004146D0"/>
    <w:rsid w:val="0041498C"/>
    <w:rsid w:val="00415CFC"/>
    <w:rsid w:val="00420A3B"/>
    <w:rsid w:val="00420AB5"/>
    <w:rsid w:val="00421CBB"/>
    <w:rsid w:val="004220CA"/>
    <w:rsid w:val="00423D72"/>
    <w:rsid w:val="00424F1B"/>
    <w:rsid w:val="00424FBB"/>
    <w:rsid w:val="00425B4A"/>
    <w:rsid w:val="004268C7"/>
    <w:rsid w:val="00426B8F"/>
    <w:rsid w:val="00426D38"/>
    <w:rsid w:val="00426ECD"/>
    <w:rsid w:val="00427161"/>
    <w:rsid w:val="00427D31"/>
    <w:rsid w:val="004305AF"/>
    <w:rsid w:val="004331B4"/>
    <w:rsid w:val="00433439"/>
    <w:rsid w:val="0043387F"/>
    <w:rsid w:val="00435C78"/>
    <w:rsid w:val="004408E6"/>
    <w:rsid w:val="004412D5"/>
    <w:rsid w:val="004415E2"/>
    <w:rsid w:val="00441A37"/>
    <w:rsid w:val="00441E45"/>
    <w:rsid w:val="004429E2"/>
    <w:rsid w:val="0044393A"/>
    <w:rsid w:val="00443C4F"/>
    <w:rsid w:val="00444114"/>
    <w:rsid w:val="004442D3"/>
    <w:rsid w:val="00447339"/>
    <w:rsid w:val="004477C9"/>
    <w:rsid w:val="00447EE5"/>
    <w:rsid w:val="00450AD7"/>
    <w:rsid w:val="00450E5A"/>
    <w:rsid w:val="004511AE"/>
    <w:rsid w:val="0045193E"/>
    <w:rsid w:val="004529D8"/>
    <w:rsid w:val="004539DA"/>
    <w:rsid w:val="00455312"/>
    <w:rsid w:val="00456E3C"/>
    <w:rsid w:val="00456FC2"/>
    <w:rsid w:val="00461AB2"/>
    <w:rsid w:val="004625BD"/>
    <w:rsid w:val="00462B31"/>
    <w:rsid w:val="00462FB3"/>
    <w:rsid w:val="00463300"/>
    <w:rsid w:val="00463D55"/>
    <w:rsid w:val="004646AF"/>
    <w:rsid w:val="00464E60"/>
    <w:rsid w:val="00465427"/>
    <w:rsid w:val="004655F9"/>
    <w:rsid w:val="004656EF"/>
    <w:rsid w:val="0046592D"/>
    <w:rsid w:val="0046631E"/>
    <w:rsid w:val="00467BE4"/>
    <w:rsid w:val="00470719"/>
    <w:rsid w:val="00472A79"/>
    <w:rsid w:val="00472ACA"/>
    <w:rsid w:val="00472E72"/>
    <w:rsid w:val="004734C7"/>
    <w:rsid w:val="004743D6"/>
    <w:rsid w:val="00474FF0"/>
    <w:rsid w:val="004755C3"/>
    <w:rsid w:val="00475D3E"/>
    <w:rsid w:val="0047677D"/>
    <w:rsid w:val="00477361"/>
    <w:rsid w:val="00477E0A"/>
    <w:rsid w:val="00480DF5"/>
    <w:rsid w:val="00482F34"/>
    <w:rsid w:val="0048572F"/>
    <w:rsid w:val="00485EA6"/>
    <w:rsid w:val="00490086"/>
    <w:rsid w:val="004904F9"/>
    <w:rsid w:val="00491C8D"/>
    <w:rsid w:val="00492ED3"/>
    <w:rsid w:val="0049347F"/>
    <w:rsid w:val="00495110"/>
    <w:rsid w:val="004955DA"/>
    <w:rsid w:val="004971E8"/>
    <w:rsid w:val="004A3CBD"/>
    <w:rsid w:val="004A46D9"/>
    <w:rsid w:val="004A5CD7"/>
    <w:rsid w:val="004A654F"/>
    <w:rsid w:val="004A688A"/>
    <w:rsid w:val="004B2250"/>
    <w:rsid w:val="004B32D3"/>
    <w:rsid w:val="004B344F"/>
    <w:rsid w:val="004B4150"/>
    <w:rsid w:val="004B7248"/>
    <w:rsid w:val="004B72DD"/>
    <w:rsid w:val="004C0C1D"/>
    <w:rsid w:val="004C1E12"/>
    <w:rsid w:val="004C2872"/>
    <w:rsid w:val="004C3902"/>
    <w:rsid w:val="004C40E4"/>
    <w:rsid w:val="004C4101"/>
    <w:rsid w:val="004C583B"/>
    <w:rsid w:val="004C76BE"/>
    <w:rsid w:val="004D0366"/>
    <w:rsid w:val="004D0940"/>
    <w:rsid w:val="004D09EB"/>
    <w:rsid w:val="004D2E64"/>
    <w:rsid w:val="004D3E27"/>
    <w:rsid w:val="004D65FF"/>
    <w:rsid w:val="004D7AC0"/>
    <w:rsid w:val="004D7F08"/>
    <w:rsid w:val="004E0C44"/>
    <w:rsid w:val="004E114D"/>
    <w:rsid w:val="004E1AA1"/>
    <w:rsid w:val="004E3304"/>
    <w:rsid w:val="004E34ED"/>
    <w:rsid w:val="004E41B9"/>
    <w:rsid w:val="004E5A3A"/>
    <w:rsid w:val="004E5DC9"/>
    <w:rsid w:val="004E77E1"/>
    <w:rsid w:val="004F2430"/>
    <w:rsid w:val="004F271C"/>
    <w:rsid w:val="004F32CD"/>
    <w:rsid w:val="004F4CD9"/>
    <w:rsid w:val="004F68A8"/>
    <w:rsid w:val="004F7FE1"/>
    <w:rsid w:val="00500031"/>
    <w:rsid w:val="00501036"/>
    <w:rsid w:val="00502092"/>
    <w:rsid w:val="00502B04"/>
    <w:rsid w:val="00502C82"/>
    <w:rsid w:val="005030F7"/>
    <w:rsid w:val="00503E8A"/>
    <w:rsid w:val="00504D3B"/>
    <w:rsid w:val="0050513B"/>
    <w:rsid w:val="00505C07"/>
    <w:rsid w:val="00507FBD"/>
    <w:rsid w:val="00510903"/>
    <w:rsid w:val="00510F71"/>
    <w:rsid w:val="0051254E"/>
    <w:rsid w:val="005127F5"/>
    <w:rsid w:val="00512A34"/>
    <w:rsid w:val="0051658B"/>
    <w:rsid w:val="00516FB9"/>
    <w:rsid w:val="00520709"/>
    <w:rsid w:val="00520B85"/>
    <w:rsid w:val="005214D2"/>
    <w:rsid w:val="005224FE"/>
    <w:rsid w:val="00523057"/>
    <w:rsid w:val="005232B5"/>
    <w:rsid w:val="005232C6"/>
    <w:rsid w:val="0052394F"/>
    <w:rsid w:val="00523A8E"/>
    <w:rsid w:val="005241A2"/>
    <w:rsid w:val="00524649"/>
    <w:rsid w:val="00524960"/>
    <w:rsid w:val="00525BE4"/>
    <w:rsid w:val="00530644"/>
    <w:rsid w:val="005318CD"/>
    <w:rsid w:val="00531E0B"/>
    <w:rsid w:val="00533AA9"/>
    <w:rsid w:val="00533BF2"/>
    <w:rsid w:val="0053502B"/>
    <w:rsid w:val="005374D2"/>
    <w:rsid w:val="0054010D"/>
    <w:rsid w:val="005414B4"/>
    <w:rsid w:val="00542A74"/>
    <w:rsid w:val="00542C6F"/>
    <w:rsid w:val="005445DD"/>
    <w:rsid w:val="0054574C"/>
    <w:rsid w:val="005463FF"/>
    <w:rsid w:val="00546842"/>
    <w:rsid w:val="00546B94"/>
    <w:rsid w:val="005475DA"/>
    <w:rsid w:val="00550800"/>
    <w:rsid w:val="0055106D"/>
    <w:rsid w:val="00552022"/>
    <w:rsid w:val="005522C8"/>
    <w:rsid w:val="0055236A"/>
    <w:rsid w:val="005531A7"/>
    <w:rsid w:val="00554499"/>
    <w:rsid w:val="00555A39"/>
    <w:rsid w:val="00555C58"/>
    <w:rsid w:val="005563A9"/>
    <w:rsid w:val="00560174"/>
    <w:rsid w:val="00560A05"/>
    <w:rsid w:val="00562757"/>
    <w:rsid w:val="00563B99"/>
    <w:rsid w:val="00563F1B"/>
    <w:rsid w:val="00564493"/>
    <w:rsid w:val="00564924"/>
    <w:rsid w:val="00564B9E"/>
    <w:rsid w:val="0056552C"/>
    <w:rsid w:val="00565C6E"/>
    <w:rsid w:val="00566919"/>
    <w:rsid w:val="00570527"/>
    <w:rsid w:val="00570DDC"/>
    <w:rsid w:val="00571FEB"/>
    <w:rsid w:val="00572679"/>
    <w:rsid w:val="00572735"/>
    <w:rsid w:val="005727A8"/>
    <w:rsid w:val="00574E5A"/>
    <w:rsid w:val="00577672"/>
    <w:rsid w:val="00581360"/>
    <w:rsid w:val="005826D6"/>
    <w:rsid w:val="00582A42"/>
    <w:rsid w:val="00584D91"/>
    <w:rsid w:val="00585857"/>
    <w:rsid w:val="0058593B"/>
    <w:rsid w:val="0058593F"/>
    <w:rsid w:val="00586967"/>
    <w:rsid w:val="00586B4B"/>
    <w:rsid w:val="005874AF"/>
    <w:rsid w:val="00587FA5"/>
    <w:rsid w:val="00590BDD"/>
    <w:rsid w:val="00593F1B"/>
    <w:rsid w:val="00594140"/>
    <w:rsid w:val="005941E3"/>
    <w:rsid w:val="0059541C"/>
    <w:rsid w:val="0059647B"/>
    <w:rsid w:val="005967FB"/>
    <w:rsid w:val="00597621"/>
    <w:rsid w:val="005A1FA3"/>
    <w:rsid w:val="005A297E"/>
    <w:rsid w:val="005A29D5"/>
    <w:rsid w:val="005A3AC1"/>
    <w:rsid w:val="005A3DF8"/>
    <w:rsid w:val="005A3E6D"/>
    <w:rsid w:val="005A4ABB"/>
    <w:rsid w:val="005A4E72"/>
    <w:rsid w:val="005A67F3"/>
    <w:rsid w:val="005A6946"/>
    <w:rsid w:val="005A755F"/>
    <w:rsid w:val="005A7D66"/>
    <w:rsid w:val="005B0E27"/>
    <w:rsid w:val="005B3012"/>
    <w:rsid w:val="005B3E1F"/>
    <w:rsid w:val="005B3E41"/>
    <w:rsid w:val="005B5038"/>
    <w:rsid w:val="005B6007"/>
    <w:rsid w:val="005B7660"/>
    <w:rsid w:val="005C0363"/>
    <w:rsid w:val="005C0454"/>
    <w:rsid w:val="005C078D"/>
    <w:rsid w:val="005C6297"/>
    <w:rsid w:val="005C63F8"/>
    <w:rsid w:val="005C72B5"/>
    <w:rsid w:val="005C7902"/>
    <w:rsid w:val="005C7C47"/>
    <w:rsid w:val="005D326D"/>
    <w:rsid w:val="005D3431"/>
    <w:rsid w:val="005D55F5"/>
    <w:rsid w:val="005D610D"/>
    <w:rsid w:val="005D621C"/>
    <w:rsid w:val="005D6E4D"/>
    <w:rsid w:val="005D76AC"/>
    <w:rsid w:val="005D7939"/>
    <w:rsid w:val="005E23CD"/>
    <w:rsid w:val="005E2C02"/>
    <w:rsid w:val="005E3426"/>
    <w:rsid w:val="005E3EE4"/>
    <w:rsid w:val="005E4970"/>
    <w:rsid w:val="005E547D"/>
    <w:rsid w:val="005E56F3"/>
    <w:rsid w:val="005E682E"/>
    <w:rsid w:val="005E764B"/>
    <w:rsid w:val="005E7FD6"/>
    <w:rsid w:val="005F12E9"/>
    <w:rsid w:val="005F1C0F"/>
    <w:rsid w:val="005F2042"/>
    <w:rsid w:val="005F2736"/>
    <w:rsid w:val="005F2E1D"/>
    <w:rsid w:val="005F4CC1"/>
    <w:rsid w:val="005F4FFC"/>
    <w:rsid w:val="005F5847"/>
    <w:rsid w:val="005F6816"/>
    <w:rsid w:val="005F755E"/>
    <w:rsid w:val="005F78D7"/>
    <w:rsid w:val="005F7E48"/>
    <w:rsid w:val="00600087"/>
    <w:rsid w:val="00600511"/>
    <w:rsid w:val="00600A25"/>
    <w:rsid w:val="00600E0A"/>
    <w:rsid w:val="00601E6B"/>
    <w:rsid w:val="00602107"/>
    <w:rsid w:val="006025C9"/>
    <w:rsid w:val="00604D64"/>
    <w:rsid w:val="00605135"/>
    <w:rsid w:val="0060527D"/>
    <w:rsid w:val="00607759"/>
    <w:rsid w:val="00607A25"/>
    <w:rsid w:val="00607F17"/>
    <w:rsid w:val="006119BD"/>
    <w:rsid w:val="00612458"/>
    <w:rsid w:val="006125A8"/>
    <w:rsid w:val="00613467"/>
    <w:rsid w:val="0061692F"/>
    <w:rsid w:val="00617140"/>
    <w:rsid w:val="0061753E"/>
    <w:rsid w:val="006178CC"/>
    <w:rsid w:val="006203AB"/>
    <w:rsid w:val="006203CD"/>
    <w:rsid w:val="0062050F"/>
    <w:rsid w:val="00621329"/>
    <w:rsid w:val="0062138E"/>
    <w:rsid w:val="00622822"/>
    <w:rsid w:val="00623469"/>
    <w:rsid w:val="00624785"/>
    <w:rsid w:val="00624CAC"/>
    <w:rsid w:val="00625885"/>
    <w:rsid w:val="006262F2"/>
    <w:rsid w:val="006263FF"/>
    <w:rsid w:val="00626B92"/>
    <w:rsid w:val="00627B8F"/>
    <w:rsid w:val="00627D71"/>
    <w:rsid w:val="00630047"/>
    <w:rsid w:val="0063079B"/>
    <w:rsid w:val="00630928"/>
    <w:rsid w:val="00631509"/>
    <w:rsid w:val="00632139"/>
    <w:rsid w:val="0063245C"/>
    <w:rsid w:val="006324DA"/>
    <w:rsid w:val="006334BE"/>
    <w:rsid w:val="00636F0E"/>
    <w:rsid w:val="00637F76"/>
    <w:rsid w:val="00640656"/>
    <w:rsid w:val="00640E92"/>
    <w:rsid w:val="00641262"/>
    <w:rsid w:val="00641B9B"/>
    <w:rsid w:val="006432CF"/>
    <w:rsid w:val="0064343F"/>
    <w:rsid w:val="00643DBB"/>
    <w:rsid w:val="00644C57"/>
    <w:rsid w:val="00645723"/>
    <w:rsid w:val="00647FEA"/>
    <w:rsid w:val="00650972"/>
    <w:rsid w:val="00650DB1"/>
    <w:rsid w:val="0065109B"/>
    <w:rsid w:val="00651653"/>
    <w:rsid w:val="006549AE"/>
    <w:rsid w:val="00654C06"/>
    <w:rsid w:val="00656506"/>
    <w:rsid w:val="006568C6"/>
    <w:rsid w:val="006568C8"/>
    <w:rsid w:val="006604D8"/>
    <w:rsid w:val="00661542"/>
    <w:rsid w:val="00662436"/>
    <w:rsid w:val="00662475"/>
    <w:rsid w:val="00662D95"/>
    <w:rsid w:val="0066408C"/>
    <w:rsid w:val="006669FA"/>
    <w:rsid w:val="00666A72"/>
    <w:rsid w:val="00667E70"/>
    <w:rsid w:val="00670347"/>
    <w:rsid w:val="00670387"/>
    <w:rsid w:val="006722E8"/>
    <w:rsid w:val="0067337A"/>
    <w:rsid w:val="006736F5"/>
    <w:rsid w:val="006749D4"/>
    <w:rsid w:val="00674A47"/>
    <w:rsid w:val="00675177"/>
    <w:rsid w:val="00675C3E"/>
    <w:rsid w:val="00676CBB"/>
    <w:rsid w:val="00677979"/>
    <w:rsid w:val="0068132C"/>
    <w:rsid w:val="00681B23"/>
    <w:rsid w:val="0068241A"/>
    <w:rsid w:val="00682B1D"/>
    <w:rsid w:val="00682BBF"/>
    <w:rsid w:val="0068439A"/>
    <w:rsid w:val="006849A6"/>
    <w:rsid w:val="00685937"/>
    <w:rsid w:val="00685C57"/>
    <w:rsid w:val="00686FAC"/>
    <w:rsid w:val="00687437"/>
    <w:rsid w:val="00687C49"/>
    <w:rsid w:val="0069051C"/>
    <w:rsid w:val="00691253"/>
    <w:rsid w:val="00691356"/>
    <w:rsid w:val="006929F2"/>
    <w:rsid w:val="0069379F"/>
    <w:rsid w:val="00693DE6"/>
    <w:rsid w:val="00695E6A"/>
    <w:rsid w:val="006967AE"/>
    <w:rsid w:val="00697BC4"/>
    <w:rsid w:val="006A08B9"/>
    <w:rsid w:val="006A09C4"/>
    <w:rsid w:val="006A1317"/>
    <w:rsid w:val="006A15F8"/>
    <w:rsid w:val="006A3A88"/>
    <w:rsid w:val="006A42C1"/>
    <w:rsid w:val="006A5171"/>
    <w:rsid w:val="006A5764"/>
    <w:rsid w:val="006A5AA8"/>
    <w:rsid w:val="006A66F5"/>
    <w:rsid w:val="006A6D9B"/>
    <w:rsid w:val="006A6FE4"/>
    <w:rsid w:val="006A7FB4"/>
    <w:rsid w:val="006B050A"/>
    <w:rsid w:val="006B106B"/>
    <w:rsid w:val="006B13C2"/>
    <w:rsid w:val="006B265F"/>
    <w:rsid w:val="006B318C"/>
    <w:rsid w:val="006B58ED"/>
    <w:rsid w:val="006B6D88"/>
    <w:rsid w:val="006C1160"/>
    <w:rsid w:val="006C23B2"/>
    <w:rsid w:val="006C24B2"/>
    <w:rsid w:val="006C25B5"/>
    <w:rsid w:val="006C2EB9"/>
    <w:rsid w:val="006C4311"/>
    <w:rsid w:val="006C4ED2"/>
    <w:rsid w:val="006C61EF"/>
    <w:rsid w:val="006D0A58"/>
    <w:rsid w:val="006D1026"/>
    <w:rsid w:val="006D1EA4"/>
    <w:rsid w:val="006D32E3"/>
    <w:rsid w:val="006D3464"/>
    <w:rsid w:val="006D3C90"/>
    <w:rsid w:val="006D4847"/>
    <w:rsid w:val="006D498C"/>
    <w:rsid w:val="006D6086"/>
    <w:rsid w:val="006D7794"/>
    <w:rsid w:val="006E0BCE"/>
    <w:rsid w:val="006E0E88"/>
    <w:rsid w:val="006E1DD7"/>
    <w:rsid w:val="006E224A"/>
    <w:rsid w:val="006E3078"/>
    <w:rsid w:val="006E3F60"/>
    <w:rsid w:val="006E4430"/>
    <w:rsid w:val="006E489B"/>
    <w:rsid w:val="006E6434"/>
    <w:rsid w:val="006E679C"/>
    <w:rsid w:val="006F04AD"/>
    <w:rsid w:val="006F11B8"/>
    <w:rsid w:val="006F1B2E"/>
    <w:rsid w:val="006F2BFD"/>
    <w:rsid w:val="006F2FC6"/>
    <w:rsid w:val="006F3089"/>
    <w:rsid w:val="006F31A0"/>
    <w:rsid w:val="006F3409"/>
    <w:rsid w:val="006F598E"/>
    <w:rsid w:val="006F62F8"/>
    <w:rsid w:val="006F775D"/>
    <w:rsid w:val="00700030"/>
    <w:rsid w:val="00701076"/>
    <w:rsid w:val="00701CBA"/>
    <w:rsid w:val="00702E62"/>
    <w:rsid w:val="007037CE"/>
    <w:rsid w:val="00703B85"/>
    <w:rsid w:val="00704442"/>
    <w:rsid w:val="00704C1E"/>
    <w:rsid w:val="0070525C"/>
    <w:rsid w:val="00705674"/>
    <w:rsid w:val="00705DFB"/>
    <w:rsid w:val="0070622E"/>
    <w:rsid w:val="0070675C"/>
    <w:rsid w:val="0070677E"/>
    <w:rsid w:val="007105B2"/>
    <w:rsid w:val="007133BE"/>
    <w:rsid w:val="0071398A"/>
    <w:rsid w:val="007150C5"/>
    <w:rsid w:val="00715A60"/>
    <w:rsid w:val="007179BC"/>
    <w:rsid w:val="00720D22"/>
    <w:rsid w:val="00721342"/>
    <w:rsid w:val="00721386"/>
    <w:rsid w:val="00721B7D"/>
    <w:rsid w:val="007220B3"/>
    <w:rsid w:val="00724D6D"/>
    <w:rsid w:val="00727B0D"/>
    <w:rsid w:val="00730A22"/>
    <w:rsid w:val="00730BCC"/>
    <w:rsid w:val="00730F46"/>
    <w:rsid w:val="007313E4"/>
    <w:rsid w:val="007327CD"/>
    <w:rsid w:val="00732CC4"/>
    <w:rsid w:val="00733A55"/>
    <w:rsid w:val="00734181"/>
    <w:rsid w:val="00735256"/>
    <w:rsid w:val="00737766"/>
    <w:rsid w:val="007406C8"/>
    <w:rsid w:val="007425D2"/>
    <w:rsid w:val="0074379C"/>
    <w:rsid w:val="00743FAB"/>
    <w:rsid w:val="00744C0A"/>
    <w:rsid w:val="00745EAA"/>
    <w:rsid w:val="00746B35"/>
    <w:rsid w:val="007473E6"/>
    <w:rsid w:val="00750BF7"/>
    <w:rsid w:val="0075182B"/>
    <w:rsid w:val="00751D4A"/>
    <w:rsid w:val="007521F2"/>
    <w:rsid w:val="0075250B"/>
    <w:rsid w:val="00753F2A"/>
    <w:rsid w:val="00754DC5"/>
    <w:rsid w:val="00754E93"/>
    <w:rsid w:val="0075541F"/>
    <w:rsid w:val="00756490"/>
    <w:rsid w:val="00756AF7"/>
    <w:rsid w:val="00756F3D"/>
    <w:rsid w:val="0075779D"/>
    <w:rsid w:val="00760B02"/>
    <w:rsid w:val="00760C0A"/>
    <w:rsid w:val="0076429F"/>
    <w:rsid w:val="00765480"/>
    <w:rsid w:val="00765C4F"/>
    <w:rsid w:val="00766372"/>
    <w:rsid w:val="00766B65"/>
    <w:rsid w:val="0076753A"/>
    <w:rsid w:val="007678FE"/>
    <w:rsid w:val="00770B2E"/>
    <w:rsid w:val="00771110"/>
    <w:rsid w:val="007717CB"/>
    <w:rsid w:val="00772F61"/>
    <w:rsid w:val="00775FC4"/>
    <w:rsid w:val="00775FDA"/>
    <w:rsid w:val="007764A8"/>
    <w:rsid w:val="007770B2"/>
    <w:rsid w:val="0077736D"/>
    <w:rsid w:val="0077792F"/>
    <w:rsid w:val="007818B3"/>
    <w:rsid w:val="00781B32"/>
    <w:rsid w:val="007830DD"/>
    <w:rsid w:val="007833BB"/>
    <w:rsid w:val="00785F4A"/>
    <w:rsid w:val="00786430"/>
    <w:rsid w:val="00786AC6"/>
    <w:rsid w:val="00786FF5"/>
    <w:rsid w:val="00790D42"/>
    <w:rsid w:val="00791A8F"/>
    <w:rsid w:val="00791FDF"/>
    <w:rsid w:val="007931C2"/>
    <w:rsid w:val="00794BA0"/>
    <w:rsid w:val="00796F98"/>
    <w:rsid w:val="00797088"/>
    <w:rsid w:val="00797232"/>
    <w:rsid w:val="00797F54"/>
    <w:rsid w:val="007A04EA"/>
    <w:rsid w:val="007A0970"/>
    <w:rsid w:val="007A1548"/>
    <w:rsid w:val="007A19B8"/>
    <w:rsid w:val="007A4DC4"/>
    <w:rsid w:val="007A4F58"/>
    <w:rsid w:val="007B081C"/>
    <w:rsid w:val="007B20AF"/>
    <w:rsid w:val="007B21C5"/>
    <w:rsid w:val="007B231B"/>
    <w:rsid w:val="007B4C34"/>
    <w:rsid w:val="007B4C38"/>
    <w:rsid w:val="007B4EBE"/>
    <w:rsid w:val="007B6259"/>
    <w:rsid w:val="007B6B96"/>
    <w:rsid w:val="007B76EB"/>
    <w:rsid w:val="007B7C40"/>
    <w:rsid w:val="007C11A7"/>
    <w:rsid w:val="007C1E20"/>
    <w:rsid w:val="007C2536"/>
    <w:rsid w:val="007C35CD"/>
    <w:rsid w:val="007C41DA"/>
    <w:rsid w:val="007C58EA"/>
    <w:rsid w:val="007C58EF"/>
    <w:rsid w:val="007C6BC9"/>
    <w:rsid w:val="007C72B5"/>
    <w:rsid w:val="007C76FF"/>
    <w:rsid w:val="007C7CE2"/>
    <w:rsid w:val="007D0718"/>
    <w:rsid w:val="007D0B3B"/>
    <w:rsid w:val="007D1564"/>
    <w:rsid w:val="007D2E29"/>
    <w:rsid w:val="007D42D1"/>
    <w:rsid w:val="007D4D61"/>
    <w:rsid w:val="007D5174"/>
    <w:rsid w:val="007D5BEA"/>
    <w:rsid w:val="007D5F7F"/>
    <w:rsid w:val="007D7F66"/>
    <w:rsid w:val="007E0A57"/>
    <w:rsid w:val="007E0CE8"/>
    <w:rsid w:val="007E3FFA"/>
    <w:rsid w:val="007E4667"/>
    <w:rsid w:val="007E48C6"/>
    <w:rsid w:val="007E4D33"/>
    <w:rsid w:val="007E5A06"/>
    <w:rsid w:val="007E682E"/>
    <w:rsid w:val="007E70D2"/>
    <w:rsid w:val="007E7610"/>
    <w:rsid w:val="007E7A4F"/>
    <w:rsid w:val="007E7DE3"/>
    <w:rsid w:val="007F0BB7"/>
    <w:rsid w:val="007F13A9"/>
    <w:rsid w:val="007F1BDF"/>
    <w:rsid w:val="007F1D89"/>
    <w:rsid w:val="007F1F20"/>
    <w:rsid w:val="007F2119"/>
    <w:rsid w:val="007F211C"/>
    <w:rsid w:val="007F292F"/>
    <w:rsid w:val="007F2C09"/>
    <w:rsid w:val="007F68CA"/>
    <w:rsid w:val="007F6922"/>
    <w:rsid w:val="007F7DBA"/>
    <w:rsid w:val="00800885"/>
    <w:rsid w:val="00800DE9"/>
    <w:rsid w:val="00802A53"/>
    <w:rsid w:val="008033DC"/>
    <w:rsid w:val="00804736"/>
    <w:rsid w:val="0080501D"/>
    <w:rsid w:val="00806BBC"/>
    <w:rsid w:val="0080771B"/>
    <w:rsid w:val="00807FBF"/>
    <w:rsid w:val="008102E2"/>
    <w:rsid w:val="008103DE"/>
    <w:rsid w:val="008106AA"/>
    <w:rsid w:val="00812594"/>
    <w:rsid w:val="00813A00"/>
    <w:rsid w:val="00813C58"/>
    <w:rsid w:val="00814E33"/>
    <w:rsid w:val="008159E1"/>
    <w:rsid w:val="00816A45"/>
    <w:rsid w:val="008171DA"/>
    <w:rsid w:val="008172B0"/>
    <w:rsid w:val="00820120"/>
    <w:rsid w:val="00821220"/>
    <w:rsid w:val="008220BD"/>
    <w:rsid w:val="00822289"/>
    <w:rsid w:val="00822ED8"/>
    <w:rsid w:val="0082354F"/>
    <w:rsid w:val="00824647"/>
    <w:rsid w:val="00824DCF"/>
    <w:rsid w:val="00824E86"/>
    <w:rsid w:val="0082509A"/>
    <w:rsid w:val="00825787"/>
    <w:rsid w:val="0082786A"/>
    <w:rsid w:val="00827902"/>
    <w:rsid w:val="00827B0E"/>
    <w:rsid w:val="00830C03"/>
    <w:rsid w:val="008327B1"/>
    <w:rsid w:val="00832A5A"/>
    <w:rsid w:val="00833016"/>
    <w:rsid w:val="00833E27"/>
    <w:rsid w:val="00835925"/>
    <w:rsid w:val="00836740"/>
    <w:rsid w:val="00841374"/>
    <w:rsid w:val="00841FE4"/>
    <w:rsid w:val="0084226D"/>
    <w:rsid w:val="00842465"/>
    <w:rsid w:val="00842BDD"/>
    <w:rsid w:val="00842C71"/>
    <w:rsid w:val="008433C9"/>
    <w:rsid w:val="00844B87"/>
    <w:rsid w:val="00845AE2"/>
    <w:rsid w:val="00847288"/>
    <w:rsid w:val="0084732A"/>
    <w:rsid w:val="00847B19"/>
    <w:rsid w:val="00850767"/>
    <w:rsid w:val="0085096C"/>
    <w:rsid w:val="00854D9C"/>
    <w:rsid w:val="00855196"/>
    <w:rsid w:val="00855772"/>
    <w:rsid w:val="00855F0B"/>
    <w:rsid w:val="0085737F"/>
    <w:rsid w:val="00857688"/>
    <w:rsid w:val="0086045C"/>
    <w:rsid w:val="008608BA"/>
    <w:rsid w:val="00861942"/>
    <w:rsid w:val="00862DC9"/>
    <w:rsid w:val="0086458A"/>
    <w:rsid w:val="00866533"/>
    <w:rsid w:val="00871481"/>
    <w:rsid w:val="008737C0"/>
    <w:rsid w:val="00873B6F"/>
    <w:rsid w:val="00873B93"/>
    <w:rsid w:val="00873E2F"/>
    <w:rsid w:val="008745F7"/>
    <w:rsid w:val="00874AE5"/>
    <w:rsid w:val="00875684"/>
    <w:rsid w:val="00875906"/>
    <w:rsid w:val="00876E46"/>
    <w:rsid w:val="00877395"/>
    <w:rsid w:val="00877776"/>
    <w:rsid w:val="00877DC5"/>
    <w:rsid w:val="008811C8"/>
    <w:rsid w:val="00881AB3"/>
    <w:rsid w:val="00881C83"/>
    <w:rsid w:val="00881E9B"/>
    <w:rsid w:val="0088219D"/>
    <w:rsid w:val="00882D7E"/>
    <w:rsid w:val="00883640"/>
    <w:rsid w:val="00883682"/>
    <w:rsid w:val="0088465F"/>
    <w:rsid w:val="00884879"/>
    <w:rsid w:val="008854AE"/>
    <w:rsid w:val="00886448"/>
    <w:rsid w:val="008866A5"/>
    <w:rsid w:val="008870B6"/>
    <w:rsid w:val="008878CF"/>
    <w:rsid w:val="00891F6E"/>
    <w:rsid w:val="008927A3"/>
    <w:rsid w:val="00892C1A"/>
    <w:rsid w:val="0089333A"/>
    <w:rsid w:val="008944AD"/>
    <w:rsid w:val="008946BF"/>
    <w:rsid w:val="00894BA8"/>
    <w:rsid w:val="00895C48"/>
    <w:rsid w:val="008968EE"/>
    <w:rsid w:val="00896F71"/>
    <w:rsid w:val="008A0B15"/>
    <w:rsid w:val="008A0C54"/>
    <w:rsid w:val="008A0E09"/>
    <w:rsid w:val="008A16E3"/>
    <w:rsid w:val="008A4B7D"/>
    <w:rsid w:val="008A4C14"/>
    <w:rsid w:val="008A4D3B"/>
    <w:rsid w:val="008A55B6"/>
    <w:rsid w:val="008A6537"/>
    <w:rsid w:val="008A6544"/>
    <w:rsid w:val="008A6871"/>
    <w:rsid w:val="008A6EC7"/>
    <w:rsid w:val="008A755A"/>
    <w:rsid w:val="008A7B98"/>
    <w:rsid w:val="008B2544"/>
    <w:rsid w:val="008B26C6"/>
    <w:rsid w:val="008B2708"/>
    <w:rsid w:val="008B4283"/>
    <w:rsid w:val="008B47C5"/>
    <w:rsid w:val="008B55FA"/>
    <w:rsid w:val="008B659D"/>
    <w:rsid w:val="008B66DD"/>
    <w:rsid w:val="008B7198"/>
    <w:rsid w:val="008B72DD"/>
    <w:rsid w:val="008C18DE"/>
    <w:rsid w:val="008C3E09"/>
    <w:rsid w:val="008C4B50"/>
    <w:rsid w:val="008C4FD1"/>
    <w:rsid w:val="008C5DFD"/>
    <w:rsid w:val="008D1E60"/>
    <w:rsid w:val="008D2131"/>
    <w:rsid w:val="008D315D"/>
    <w:rsid w:val="008D5168"/>
    <w:rsid w:val="008D5213"/>
    <w:rsid w:val="008D6032"/>
    <w:rsid w:val="008E0C2F"/>
    <w:rsid w:val="008E0E80"/>
    <w:rsid w:val="008E2A59"/>
    <w:rsid w:val="008E2BA0"/>
    <w:rsid w:val="008E2CDD"/>
    <w:rsid w:val="008E4427"/>
    <w:rsid w:val="008E499D"/>
    <w:rsid w:val="008E5076"/>
    <w:rsid w:val="008E639A"/>
    <w:rsid w:val="008E679C"/>
    <w:rsid w:val="008E7C2A"/>
    <w:rsid w:val="008F1627"/>
    <w:rsid w:val="008F1F79"/>
    <w:rsid w:val="008F2744"/>
    <w:rsid w:val="008F54DF"/>
    <w:rsid w:val="008F6A2D"/>
    <w:rsid w:val="009005D1"/>
    <w:rsid w:val="00900BFC"/>
    <w:rsid w:val="009011ED"/>
    <w:rsid w:val="00901C97"/>
    <w:rsid w:val="009021C2"/>
    <w:rsid w:val="009042F3"/>
    <w:rsid w:val="009049FC"/>
    <w:rsid w:val="00905566"/>
    <w:rsid w:val="00906550"/>
    <w:rsid w:val="009103B0"/>
    <w:rsid w:val="009109F5"/>
    <w:rsid w:val="00910A44"/>
    <w:rsid w:val="0091101B"/>
    <w:rsid w:val="009113FB"/>
    <w:rsid w:val="00911804"/>
    <w:rsid w:val="00912E0E"/>
    <w:rsid w:val="00912F6B"/>
    <w:rsid w:val="0091310A"/>
    <w:rsid w:val="009134F0"/>
    <w:rsid w:val="00914265"/>
    <w:rsid w:val="009150E9"/>
    <w:rsid w:val="009173E7"/>
    <w:rsid w:val="009177FF"/>
    <w:rsid w:val="009200A8"/>
    <w:rsid w:val="009209AC"/>
    <w:rsid w:val="00921C81"/>
    <w:rsid w:val="0092322D"/>
    <w:rsid w:val="00923439"/>
    <w:rsid w:val="00924B37"/>
    <w:rsid w:val="0092675E"/>
    <w:rsid w:val="00927055"/>
    <w:rsid w:val="009274B5"/>
    <w:rsid w:val="00931577"/>
    <w:rsid w:val="00931584"/>
    <w:rsid w:val="00932DBC"/>
    <w:rsid w:val="00934472"/>
    <w:rsid w:val="009357C2"/>
    <w:rsid w:val="00937D7A"/>
    <w:rsid w:val="00940972"/>
    <w:rsid w:val="00942238"/>
    <w:rsid w:val="009444A2"/>
    <w:rsid w:val="00944A54"/>
    <w:rsid w:val="0094733C"/>
    <w:rsid w:val="009476EF"/>
    <w:rsid w:val="00947E08"/>
    <w:rsid w:val="009530C5"/>
    <w:rsid w:val="0095386D"/>
    <w:rsid w:val="0095396D"/>
    <w:rsid w:val="00957B83"/>
    <w:rsid w:val="00957CBF"/>
    <w:rsid w:val="0096099A"/>
    <w:rsid w:val="00960F6E"/>
    <w:rsid w:val="00961956"/>
    <w:rsid w:val="00961F3C"/>
    <w:rsid w:val="00964DE8"/>
    <w:rsid w:val="00965516"/>
    <w:rsid w:val="00965B61"/>
    <w:rsid w:val="0096721E"/>
    <w:rsid w:val="00967517"/>
    <w:rsid w:val="00967CEC"/>
    <w:rsid w:val="00970971"/>
    <w:rsid w:val="00971495"/>
    <w:rsid w:val="00971842"/>
    <w:rsid w:val="00971A18"/>
    <w:rsid w:val="009737C7"/>
    <w:rsid w:val="009744BD"/>
    <w:rsid w:val="00974EE4"/>
    <w:rsid w:val="0097659B"/>
    <w:rsid w:val="009775B8"/>
    <w:rsid w:val="0098510D"/>
    <w:rsid w:val="00986C7F"/>
    <w:rsid w:val="00987507"/>
    <w:rsid w:val="00987A9E"/>
    <w:rsid w:val="009954A1"/>
    <w:rsid w:val="0099551B"/>
    <w:rsid w:val="009960A0"/>
    <w:rsid w:val="009A1B51"/>
    <w:rsid w:val="009A3E0E"/>
    <w:rsid w:val="009A6D65"/>
    <w:rsid w:val="009A7B62"/>
    <w:rsid w:val="009B0CDF"/>
    <w:rsid w:val="009B0E36"/>
    <w:rsid w:val="009B17D8"/>
    <w:rsid w:val="009B2ADD"/>
    <w:rsid w:val="009B2FE9"/>
    <w:rsid w:val="009B37E5"/>
    <w:rsid w:val="009B4A5B"/>
    <w:rsid w:val="009B5944"/>
    <w:rsid w:val="009B6043"/>
    <w:rsid w:val="009B6587"/>
    <w:rsid w:val="009B65B1"/>
    <w:rsid w:val="009B6B5D"/>
    <w:rsid w:val="009B70E7"/>
    <w:rsid w:val="009B72AB"/>
    <w:rsid w:val="009C1329"/>
    <w:rsid w:val="009C2227"/>
    <w:rsid w:val="009C4996"/>
    <w:rsid w:val="009C513E"/>
    <w:rsid w:val="009C53DA"/>
    <w:rsid w:val="009C574C"/>
    <w:rsid w:val="009C75E4"/>
    <w:rsid w:val="009D07F4"/>
    <w:rsid w:val="009D0FCC"/>
    <w:rsid w:val="009D1CA2"/>
    <w:rsid w:val="009D2CD0"/>
    <w:rsid w:val="009D388E"/>
    <w:rsid w:val="009D5CC6"/>
    <w:rsid w:val="009D5F27"/>
    <w:rsid w:val="009D6767"/>
    <w:rsid w:val="009D6A81"/>
    <w:rsid w:val="009E03F3"/>
    <w:rsid w:val="009E0C8E"/>
    <w:rsid w:val="009E2696"/>
    <w:rsid w:val="009E2B66"/>
    <w:rsid w:val="009E3CC0"/>
    <w:rsid w:val="009E4E92"/>
    <w:rsid w:val="009E57A4"/>
    <w:rsid w:val="009E6BA2"/>
    <w:rsid w:val="009E6ED2"/>
    <w:rsid w:val="009E70A3"/>
    <w:rsid w:val="009E7942"/>
    <w:rsid w:val="009E7E30"/>
    <w:rsid w:val="009F09BE"/>
    <w:rsid w:val="009F1CFA"/>
    <w:rsid w:val="009F1E9D"/>
    <w:rsid w:val="009F300A"/>
    <w:rsid w:val="009F3768"/>
    <w:rsid w:val="009F39C6"/>
    <w:rsid w:val="009F3BC5"/>
    <w:rsid w:val="009F4E26"/>
    <w:rsid w:val="009F4EF7"/>
    <w:rsid w:val="009F5F78"/>
    <w:rsid w:val="009F6227"/>
    <w:rsid w:val="009F673E"/>
    <w:rsid w:val="009F706B"/>
    <w:rsid w:val="009F775F"/>
    <w:rsid w:val="009F7EDF"/>
    <w:rsid w:val="00A00F37"/>
    <w:rsid w:val="00A01DB8"/>
    <w:rsid w:val="00A03B0F"/>
    <w:rsid w:val="00A0410F"/>
    <w:rsid w:val="00A048E9"/>
    <w:rsid w:val="00A049D5"/>
    <w:rsid w:val="00A04A52"/>
    <w:rsid w:val="00A04BE8"/>
    <w:rsid w:val="00A06825"/>
    <w:rsid w:val="00A06E9E"/>
    <w:rsid w:val="00A1036D"/>
    <w:rsid w:val="00A10A98"/>
    <w:rsid w:val="00A10B0E"/>
    <w:rsid w:val="00A10C1C"/>
    <w:rsid w:val="00A11AB2"/>
    <w:rsid w:val="00A12627"/>
    <w:rsid w:val="00A12A65"/>
    <w:rsid w:val="00A13493"/>
    <w:rsid w:val="00A13A09"/>
    <w:rsid w:val="00A1414A"/>
    <w:rsid w:val="00A17267"/>
    <w:rsid w:val="00A2086E"/>
    <w:rsid w:val="00A20E9D"/>
    <w:rsid w:val="00A2120F"/>
    <w:rsid w:val="00A21FFA"/>
    <w:rsid w:val="00A23F52"/>
    <w:rsid w:val="00A24264"/>
    <w:rsid w:val="00A26217"/>
    <w:rsid w:val="00A3013F"/>
    <w:rsid w:val="00A3055E"/>
    <w:rsid w:val="00A30792"/>
    <w:rsid w:val="00A30B84"/>
    <w:rsid w:val="00A31DC8"/>
    <w:rsid w:val="00A3344B"/>
    <w:rsid w:val="00A35436"/>
    <w:rsid w:val="00A35FF9"/>
    <w:rsid w:val="00A367AA"/>
    <w:rsid w:val="00A37880"/>
    <w:rsid w:val="00A400BF"/>
    <w:rsid w:val="00A41A3E"/>
    <w:rsid w:val="00A43CE0"/>
    <w:rsid w:val="00A4413F"/>
    <w:rsid w:val="00A45B92"/>
    <w:rsid w:val="00A45EC3"/>
    <w:rsid w:val="00A46122"/>
    <w:rsid w:val="00A478BD"/>
    <w:rsid w:val="00A47CF5"/>
    <w:rsid w:val="00A5032A"/>
    <w:rsid w:val="00A50AC9"/>
    <w:rsid w:val="00A51F03"/>
    <w:rsid w:val="00A51F67"/>
    <w:rsid w:val="00A522D4"/>
    <w:rsid w:val="00A5367D"/>
    <w:rsid w:val="00A5507B"/>
    <w:rsid w:val="00A57D98"/>
    <w:rsid w:val="00A61524"/>
    <w:rsid w:val="00A62F57"/>
    <w:rsid w:val="00A63413"/>
    <w:rsid w:val="00A6488B"/>
    <w:rsid w:val="00A6556C"/>
    <w:rsid w:val="00A659B5"/>
    <w:rsid w:val="00A65A66"/>
    <w:rsid w:val="00A661BB"/>
    <w:rsid w:val="00A70D6E"/>
    <w:rsid w:val="00A720CF"/>
    <w:rsid w:val="00A72B07"/>
    <w:rsid w:val="00A73D4A"/>
    <w:rsid w:val="00A743EB"/>
    <w:rsid w:val="00A74B4C"/>
    <w:rsid w:val="00A763E7"/>
    <w:rsid w:val="00A77796"/>
    <w:rsid w:val="00A81862"/>
    <w:rsid w:val="00A8187F"/>
    <w:rsid w:val="00A8271E"/>
    <w:rsid w:val="00A827D2"/>
    <w:rsid w:val="00A847C3"/>
    <w:rsid w:val="00A855CF"/>
    <w:rsid w:val="00A86128"/>
    <w:rsid w:val="00A86E2C"/>
    <w:rsid w:val="00A90F72"/>
    <w:rsid w:val="00A93DC3"/>
    <w:rsid w:val="00A9462E"/>
    <w:rsid w:val="00A94E45"/>
    <w:rsid w:val="00A950A5"/>
    <w:rsid w:val="00A978B6"/>
    <w:rsid w:val="00A97929"/>
    <w:rsid w:val="00AA05F8"/>
    <w:rsid w:val="00AA22BE"/>
    <w:rsid w:val="00AA261A"/>
    <w:rsid w:val="00AA44A3"/>
    <w:rsid w:val="00AA5C1D"/>
    <w:rsid w:val="00AA5C61"/>
    <w:rsid w:val="00AA6795"/>
    <w:rsid w:val="00AA69BF"/>
    <w:rsid w:val="00AA70B6"/>
    <w:rsid w:val="00AA7709"/>
    <w:rsid w:val="00AA7DA3"/>
    <w:rsid w:val="00AB0B18"/>
    <w:rsid w:val="00AB0B62"/>
    <w:rsid w:val="00AB192A"/>
    <w:rsid w:val="00AB20C0"/>
    <w:rsid w:val="00AB3045"/>
    <w:rsid w:val="00AB416F"/>
    <w:rsid w:val="00AB4300"/>
    <w:rsid w:val="00AB4D68"/>
    <w:rsid w:val="00AB4FD0"/>
    <w:rsid w:val="00AB5E6A"/>
    <w:rsid w:val="00AB72EB"/>
    <w:rsid w:val="00AC0EBD"/>
    <w:rsid w:val="00AC19E3"/>
    <w:rsid w:val="00AC1E71"/>
    <w:rsid w:val="00AC3116"/>
    <w:rsid w:val="00AC316A"/>
    <w:rsid w:val="00AC567A"/>
    <w:rsid w:val="00AC6D50"/>
    <w:rsid w:val="00AC7690"/>
    <w:rsid w:val="00AC76CE"/>
    <w:rsid w:val="00AD1524"/>
    <w:rsid w:val="00AD1CA2"/>
    <w:rsid w:val="00AD37AD"/>
    <w:rsid w:val="00AD3DB1"/>
    <w:rsid w:val="00AD49F7"/>
    <w:rsid w:val="00AD4AF8"/>
    <w:rsid w:val="00AD5B94"/>
    <w:rsid w:val="00AD66C7"/>
    <w:rsid w:val="00AD6708"/>
    <w:rsid w:val="00AD75EB"/>
    <w:rsid w:val="00AD762D"/>
    <w:rsid w:val="00AE0239"/>
    <w:rsid w:val="00AE0A52"/>
    <w:rsid w:val="00AE0E0E"/>
    <w:rsid w:val="00AE2E3C"/>
    <w:rsid w:val="00AE4A8E"/>
    <w:rsid w:val="00AE4F16"/>
    <w:rsid w:val="00AE6038"/>
    <w:rsid w:val="00AE6E34"/>
    <w:rsid w:val="00AF07E3"/>
    <w:rsid w:val="00AF0BE2"/>
    <w:rsid w:val="00AF10D4"/>
    <w:rsid w:val="00AF1233"/>
    <w:rsid w:val="00AF1A9F"/>
    <w:rsid w:val="00AF27D5"/>
    <w:rsid w:val="00AF2C37"/>
    <w:rsid w:val="00AF45AD"/>
    <w:rsid w:val="00AF4F10"/>
    <w:rsid w:val="00AF562C"/>
    <w:rsid w:val="00AF5A72"/>
    <w:rsid w:val="00B00DCF"/>
    <w:rsid w:val="00B0112A"/>
    <w:rsid w:val="00B0112B"/>
    <w:rsid w:val="00B0229E"/>
    <w:rsid w:val="00B02467"/>
    <w:rsid w:val="00B06EFC"/>
    <w:rsid w:val="00B0753C"/>
    <w:rsid w:val="00B07DA6"/>
    <w:rsid w:val="00B07E5D"/>
    <w:rsid w:val="00B10582"/>
    <w:rsid w:val="00B10934"/>
    <w:rsid w:val="00B11496"/>
    <w:rsid w:val="00B11964"/>
    <w:rsid w:val="00B12489"/>
    <w:rsid w:val="00B1292A"/>
    <w:rsid w:val="00B13B9C"/>
    <w:rsid w:val="00B1403C"/>
    <w:rsid w:val="00B15AA5"/>
    <w:rsid w:val="00B16284"/>
    <w:rsid w:val="00B1647B"/>
    <w:rsid w:val="00B20E83"/>
    <w:rsid w:val="00B215DF"/>
    <w:rsid w:val="00B2309B"/>
    <w:rsid w:val="00B234C6"/>
    <w:rsid w:val="00B23515"/>
    <w:rsid w:val="00B23BBB"/>
    <w:rsid w:val="00B24B60"/>
    <w:rsid w:val="00B24C28"/>
    <w:rsid w:val="00B253A1"/>
    <w:rsid w:val="00B258FA"/>
    <w:rsid w:val="00B2754C"/>
    <w:rsid w:val="00B27E17"/>
    <w:rsid w:val="00B30118"/>
    <w:rsid w:val="00B31461"/>
    <w:rsid w:val="00B31929"/>
    <w:rsid w:val="00B3199A"/>
    <w:rsid w:val="00B31B33"/>
    <w:rsid w:val="00B320F5"/>
    <w:rsid w:val="00B334FC"/>
    <w:rsid w:val="00B339AC"/>
    <w:rsid w:val="00B34E93"/>
    <w:rsid w:val="00B34FEB"/>
    <w:rsid w:val="00B35908"/>
    <w:rsid w:val="00B371BD"/>
    <w:rsid w:val="00B40093"/>
    <w:rsid w:val="00B40158"/>
    <w:rsid w:val="00B41E79"/>
    <w:rsid w:val="00B42E2F"/>
    <w:rsid w:val="00B42F7B"/>
    <w:rsid w:val="00B4330A"/>
    <w:rsid w:val="00B444D1"/>
    <w:rsid w:val="00B44B44"/>
    <w:rsid w:val="00B44BB9"/>
    <w:rsid w:val="00B44E37"/>
    <w:rsid w:val="00B4522B"/>
    <w:rsid w:val="00B4791A"/>
    <w:rsid w:val="00B47EDE"/>
    <w:rsid w:val="00B50FAE"/>
    <w:rsid w:val="00B51AF6"/>
    <w:rsid w:val="00B51B20"/>
    <w:rsid w:val="00B51EBC"/>
    <w:rsid w:val="00B52F9C"/>
    <w:rsid w:val="00B5317E"/>
    <w:rsid w:val="00B53791"/>
    <w:rsid w:val="00B539C0"/>
    <w:rsid w:val="00B53E01"/>
    <w:rsid w:val="00B540BA"/>
    <w:rsid w:val="00B54613"/>
    <w:rsid w:val="00B54A02"/>
    <w:rsid w:val="00B54B59"/>
    <w:rsid w:val="00B54D49"/>
    <w:rsid w:val="00B55E16"/>
    <w:rsid w:val="00B56041"/>
    <w:rsid w:val="00B5606F"/>
    <w:rsid w:val="00B5652D"/>
    <w:rsid w:val="00B60CC7"/>
    <w:rsid w:val="00B61819"/>
    <w:rsid w:val="00B62D22"/>
    <w:rsid w:val="00B6406F"/>
    <w:rsid w:val="00B652A4"/>
    <w:rsid w:val="00B656FE"/>
    <w:rsid w:val="00B65C4F"/>
    <w:rsid w:val="00B66035"/>
    <w:rsid w:val="00B667ED"/>
    <w:rsid w:val="00B67C63"/>
    <w:rsid w:val="00B67EDA"/>
    <w:rsid w:val="00B7366B"/>
    <w:rsid w:val="00B73746"/>
    <w:rsid w:val="00B7530C"/>
    <w:rsid w:val="00B76922"/>
    <w:rsid w:val="00B772EE"/>
    <w:rsid w:val="00B77513"/>
    <w:rsid w:val="00B77F1B"/>
    <w:rsid w:val="00B8063B"/>
    <w:rsid w:val="00B807B4"/>
    <w:rsid w:val="00B81D0F"/>
    <w:rsid w:val="00B8331B"/>
    <w:rsid w:val="00B83A51"/>
    <w:rsid w:val="00B83E7B"/>
    <w:rsid w:val="00B83F1F"/>
    <w:rsid w:val="00B84B22"/>
    <w:rsid w:val="00B84DE4"/>
    <w:rsid w:val="00B85573"/>
    <w:rsid w:val="00B86481"/>
    <w:rsid w:val="00B873AE"/>
    <w:rsid w:val="00B876EC"/>
    <w:rsid w:val="00B90D85"/>
    <w:rsid w:val="00B92B86"/>
    <w:rsid w:val="00B93469"/>
    <w:rsid w:val="00B951E9"/>
    <w:rsid w:val="00B95972"/>
    <w:rsid w:val="00B95A48"/>
    <w:rsid w:val="00B95AE8"/>
    <w:rsid w:val="00B95B34"/>
    <w:rsid w:val="00B9707A"/>
    <w:rsid w:val="00B9776A"/>
    <w:rsid w:val="00B978BC"/>
    <w:rsid w:val="00B97AA6"/>
    <w:rsid w:val="00BA051D"/>
    <w:rsid w:val="00BA123B"/>
    <w:rsid w:val="00BA189D"/>
    <w:rsid w:val="00BA3851"/>
    <w:rsid w:val="00BA46F3"/>
    <w:rsid w:val="00BA494E"/>
    <w:rsid w:val="00BA51ED"/>
    <w:rsid w:val="00BA579D"/>
    <w:rsid w:val="00BA6CB2"/>
    <w:rsid w:val="00BB054C"/>
    <w:rsid w:val="00BB1EE2"/>
    <w:rsid w:val="00BB29D4"/>
    <w:rsid w:val="00BB37C1"/>
    <w:rsid w:val="00BB3A55"/>
    <w:rsid w:val="00BB3AF7"/>
    <w:rsid w:val="00BB4097"/>
    <w:rsid w:val="00BB5AEC"/>
    <w:rsid w:val="00BB6DE1"/>
    <w:rsid w:val="00BB7297"/>
    <w:rsid w:val="00BB739D"/>
    <w:rsid w:val="00BB7A8D"/>
    <w:rsid w:val="00BB7B29"/>
    <w:rsid w:val="00BC0000"/>
    <w:rsid w:val="00BC0384"/>
    <w:rsid w:val="00BC156C"/>
    <w:rsid w:val="00BC1767"/>
    <w:rsid w:val="00BC1E78"/>
    <w:rsid w:val="00BC212E"/>
    <w:rsid w:val="00BC2966"/>
    <w:rsid w:val="00BC29C8"/>
    <w:rsid w:val="00BC3670"/>
    <w:rsid w:val="00BC375B"/>
    <w:rsid w:val="00BC376C"/>
    <w:rsid w:val="00BC39DD"/>
    <w:rsid w:val="00BC3EF9"/>
    <w:rsid w:val="00BC3FCE"/>
    <w:rsid w:val="00BC41D9"/>
    <w:rsid w:val="00BC64A6"/>
    <w:rsid w:val="00BD00EB"/>
    <w:rsid w:val="00BD073E"/>
    <w:rsid w:val="00BD08BE"/>
    <w:rsid w:val="00BD1E0C"/>
    <w:rsid w:val="00BD436C"/>
    <w:rsid w:val="00BD43CF"/>
    <w:rsid w:val="00BD4DBF"/>
    <w:rsid w:val="00BD6A47"/>
    <w:rsid w:val="00BD6E79"/>
    <w:rsid w:val="00BD7550"/>
    <w:rsid w:val="00BD7A8C"/>
    <w:rsid w:val="00BE0775"/>
    <w:rsid w:val="00BE0D9C"/>
    <w:rsid w:val="00BE12B3"/>
    <w:rsid w:val="00BE233E"/>
    <w:rsid w:val="00BE40C9"/>
    <w:rsid w:val="00BE47EE"/>
    <w:rsid w:val="00BE5754"/>
    <w:rsid w:val="00BE6BBD"/>
    <w:rsid w:val="00BE6D5A"/>
    <w:rsid w:val="00BE7759"/>
    <w:rsid w:val="00BF116E"/>
    <w:rsid w:val="00BF27C9"/>
    <w:rsid w:val="00BF2DA7"/>
    <w:rsid w:val="00BF2EC2"/>
    <w:rsid w:val="00BF30F8"/>
    <w:rsid w:val="00BF314D"/>
    <w:rsid w:val="00BF397E"/>
    <w:rsid w:val="00BF6653"/>
    <w:rsid w:val="00BF7440"/>
    <w:rsid w:val="00BF74A4"/>
    <w:rsid w:val="00C005B2"/>
    <w:rsid w:val="00C00B1F"/>
    <w:rsid w:val="00C0119D"/>
    <w:rsid w:val="00C02717"/>
    <w:rsid w:val="00C02D8A"/>
    <w:rsid w:val="00C0325D"/>
    <w:rsid w:val="00C10C77"/>
    <w:rsid w:val="00C1211B"/>
    <w:rsid w:val="00C129F3"/>
    <w:rsid w:val="00C14111"/>
    <w:rsid w:val="00C142B4"/>
    <w:rsid w:val="00C14BEF"/>
    <w:rsid w:val="00C1585F"/>
    <w:rsid w:val="00C15B26"/>
    <w:rsid w:val="00C15C6A"/>
    <w:rsid w:val="00C16CAA"/>
    <w:rsid w:val="00C17A76"/>
    <w:rsid w:val="00C20094"/>
    <w:rsid w:val="00C2260E"/>
    <w:rsid w:val="00C23683"/>
    <w:rsid w:val="00C237F1"/>
    <w:rsid w:val="00C259DF"/>
    <w:rsid w:val="00C25DB3"/>
    <w:rsid w:val="00C3104C"/>
    <w:rsid w:val="00C331A1"/>
    <w:rsid w:val="00C33312"/>
    <w:rsid w:val="00C33446"/>
    <w:rsid w:val="00C34AB4"/>
    <w:rsid w:val="00C34B35"/>
    <w:rsid w:val="00C351BF"/>
    <w:rsid w:val="00C362DC"/>
    <w:rsid w:val="00C37843"/>
    <w:rsid w:val="00C37AC2"/>
    <w:rsid w:val="00C403AD"/>
    <w:rsid w:val="00C414F1"/>
    <w:rsid w:val="00C428A8"/>
    <w:rsid w:val="00C42CC4"/>
    <w:rsid w:val="00C437AB"/>
    <w:rsid w:val="00C43A44"/>
    <w:rsid w:val="00C445FE"/>
    <w:rsid w:val="00C44A5C"/>
    <w:rsid w:val="00C451B1"/>
    <w:rsid w:val="00C456EF"/>
    <w:rsid w:val="00C46E4F"/>
    <w:rsid w:val="00C46F31"/>
    <w:rsid w:val="00C47ED9"/>
    <w:rsid w:val="00C5078C"/>
    <w:rsid w:val="00C508EF"/>
    <w:rsid w:val="00C50BAE"/>
    <w:rsid w:val="00C554BB"/>
    <w:rsid w:val="00C554EC"/>
    <w:rsid w:val="00C56055"/>
    <w:rsid w:val="00C600B5"/>
    <w:rsid w:val="00C60A43"/>
    <w:rsid w:val="00C60AE2"/>
    <w:rsid w:val="00C61E75"/>
    <w:rsid w:val="00C624C7"/>
    <w:rsid w:val="00C644EA"/>
    <w:rsid w:val="00C64EEF"/>
    <w:rsid w:val="00C65A95"/>
    <w:rsid w:val="00C6773B"/>
    <w:rsid w:val="00C677AD"/>
    <w:rsid w:val="00C67ABA"/>
    <w:rsid w:val="00C70E54"/>
    <w:rsid w:val="00C71AB7"/>
    <w:rsid w:val="00C73493"/>
    <w:rsid w:val="00C746FB"/>
    <w:rsid w:val="00C752C7"/>
    <w:rsid w:val="00C7574C"/>
    <w:rsid w:val="00C75B61"/>
    <w:rsid w:val="00C76C46"/>
    <w:rsid w:val="00C76D56"/>
    <w:rsid w:val="00C80321"/>
    <w:rsid w:val="00C80462"/>
    <w:rsid w:val="00C82A3D"/>
    <w:rsid w:val="00C834A5"/>
    <w:rsid w:val="00C8431E"/>
    <w:rsid w:val="00C85FA4"/>
    <w:rsid w:val="00C86443"/>
    <w:rsid w:val="00C8697D"/>
    <w:rsid w:val="00C86F74"/>
    <w:rsid w:val="00C87097"/>
    <w:rsid w:val="00C92102"/>
    <w:rsid w:val="00C92A72"/>
    <w:rsid w:val="00C94CB5"/>
    <w:rsid w:val="00C95751"/>
    <w:rsid w:val="00C9679B"/>
    <w:rsid w:val="00C96BF2"/>
    <w:rsid w:val="00C972F1"/>
    <w:rsid w:val="00C97966"/>
    <w:rsid w:val="00CA1127"/>
    <w:rsid w:val="00CA3848"/>
    <w:rsid w:val="00CA3913"/>
    <w:rsid w:val="00CA573A"/>
    <w:rsid w:val="00CA684E"/>
    <w:rsid w:val="00CA685D"/>
    <w:rsid w:val="00CA6894"/>
    <w:rsid w:val="00CA6928"/>
    <w:rsid w:val="00CA7C5E"/>
    <w:rsid w:val="00CA7D13"/>
    <w:rsid w:val="00CB016E"/>
    <w:rsid w:val="00CB0CBA"/>
    <w:rsid w:val="00CB0EEB"/>
    <w:rsid w:val="00CB1215"/>
    <w:rsid w:val="00CB19DE"/>
    <w:rsid w:val="00CB1CE5"/>
    <w:rsid w:val="00CB1D03"/>
    <w:rsid w:val="00CB2473"/>
    <w:rsid w:val="00CB2A8A"/>
    <w:rsid w:val="00CB3305"/>
    <w:rsid w:val="00CB3335"/>
    <w:rsid w:val="00CB3574"/>
    <w:rsid w:val="00CB4448"/>
    <w:rsid w:val="00CB6509"/>
    <w:rsid w:val="00CB7CB5"/>
    <w:rsid w:val="00CB7F99"/>
    <w:rsid w:val="00CC1E5F"/>
    <w:rsid w:val="00CC25F9"/>
    <w:rsid w:val="00CC31B2"/>
    <w:rsid w:val="00CC521C"/>
    <w:rsid w:val="00CD1982"/>
    <w:rsid w:val="00CD1F25"/>
    <w:rsid w:val="00CD252F"/>
    <w:rsid w:val="00CD2E0F"/>
    <w:rsid w:val="00CD56E9"/>
    <w:rsid w:val="00CD6C2F"/>
    <w:rsid w:val="00CD7C4D"/>
    <w:rsid w:val="00CD7E1B"/>
    <w:rsid w:val="00CD7F66"/>
    <w:rsid w:val="00CE03FB"/>
    <w:rsid w:val="00CE0EA4"/>
    <w:rsid w:val="00CE12DB"/>
    <w:rsid w:val="00CE23CC"/>
    <w:rsid w:val="00CE2689"/>
    <w:rsid w:val="00CE2A4F"/>
    <w:rsid w:val="00CE405A"/>
    <w:rsid w:val="00CE423B"/>
    <w:rsid w:val="00CE48CB"/>
    <w:rsid w:val="00CE692D"/>
    <w:rsid w:val="00CE7111"/>
    <w:rsid w:val="00CF0261"/>
    <w:rsid w:val="00CF0270"/>
    <w:rsid w:val="00CF2B24"/>
    <w:rsid w:val="00CF2BFD"/>
    <w:rsid w:val="00CF2F88"/>
    <w:rsid w:val="00CF309F"/>
    <w:rsid w:val="00CF3D01"/>
    <w:rsid w:val="00CF42E9"/>
    <w:rsid w:val="00CF53D9"/>
    <w:rsid w:val="00CF5AC7"/>
    <w:rsid w:val="00CF7381"/>
    <w:rsid w:val="00CF7F58"/>
    <w:rsid w:val="00D0023B"/>
    <w:rsid w:val="00D007F3"/>
    <w:rsid w:val="00D00BF8"/>
    <w:rsid w:val="00D014A8"/>
    <w:rsid w:val="00D01E10"/>
    <w:rsid w:val="00D02411"/>
    <w:rsid w:val="00D0461E"/>
    <w:rsid w:val="00D04678"/>
    <w:rsid w:val="00D0477D"/>
    <w:rsid w:val="00D05789"/>
    <w:rsid w:val="00D076AE"/>
    <w:rsid w:val="00D07ABE"/>
    <w:rsid w:val="00D115CF"/>
    <w:rsid w:val="00D11DE8"/>
    <w:rsid w:val="00D13F40"/>
    <w:rsid w:val="00D145C1"/>
    <w:rsid w:val="00D157B9"/>
    <w:rsid w:val="00D157BB"/>
    <w:rsid w:val="00D1580E"/>
    <w:rsid w:val="00D16F69"/>
    <w:rsid w:val="00D205F2"/>
    <w:rsid w:val="00D20622"/>
    <w:rsid w:val="00D20C54"/>
    <w:rsid w:val="00D22BC5"/>
    <w:rsid w:val="00D231D0"/>
    <w:rsid w:val="00D243A3"/>
    <w:rsid w:val="00D24601"/>
    <w:rsid w:val="00D30B88"/>
    <w:rsid w:val="00D327F0"/>
    <w:rsid w:val="00D32A81"/>
    <w:rsid w:val="00D330E1"/>
    <w:rsid w:val="00D35512"/>
    <w:rsid w:val="00D35C97"/>
    <w:rsid w:val="00D41D3C"/>
    <w:rsid w:val="00D41F72"/>
    <w:rsid w:val="00D423EB"/>
    <w:rsid w:val="00D442EE"/>
    <w:rsid w:val="00D47085"/>
    <w:rsid w:val="00D47589"/>
    <w:rsid w:val="00D50A85"/>
    <w:rsid w:val="00D5178D"/>
    <w:rsid w:val="00D51D0A"/>
    <w:rsid w:val="00D525F9"/>
    <w:rsid w:val="00D534BA"/>
    <w:rsid w:val="00D53537"/>
    <w:rsid w:val="00D554E6"/>
    <w:rsid w:val="00D55B4C"/>
    <w:rsid w:val="00D56AAA"/>
    <w:rsid w:val="00D56C99"/>
    <w:rsid w:val="00D61100"/>
    <w:rsid w:val="00D61B08"/>
    <w:rsid w:val="00D623C0"/>
    <w:rsid w:val="00D630B8"/>
    <w:rsid w:val="00D633D2"/>
    <w:rsid w:val="00D63656"/>
    <w:rsid w:val="00D64E2D"/>
    <w:rsid w:val="00D67943"/>
    <w:rsid w:val="00D67B5F"/>
    <w:rsid w:val="00D67CAD"/>
    <w:rsid w:val="00D707A3"/>
    <w:rsid w:val="00D70F4B"/>
    <w:rsid w:val="00D725C2"/>
    <w:rsid w:val="00D761CD"/>
    <w:rsid w:val="00D76363"/>
    <w:rsid w:val="00D80558"/>
    <w:rsid w:val="00D805B3"/>
    <w:rsid w:val="00D80C88"/>
    <w:rsid w:val="00D8145F"/>
    <w:rsid w:val="00D81C25"/>
    <w:rsid w:val="00D82C3A"/>
    <w:rsid w:val="00D82E7E"/>
    <w:rsid w:val="00D84FBD"/>
    <w:rsid w:val="00D85838"/>
    <w:rsid w:val="00D85D67"/>
    <w:rsid w:val="00D86432"/>
    <w:rsid w:val="00D91EA9"/>
    <w:rsid w:val="00D92EBC"/>
    <w:rsid w:val="00D93D43"/>
    <w:rsid w:val="00D944B2"/>
    <w:rsid w:val="00D94C7B"/>
    <w:rsid w:val="00D9545B"/>
    <w:rsid w:val="00D95CCF"/>
    <w:rsid w:val="00D9691F"/>
    <w:rsid w:val="00D96DF6"/>
    <w:rsid w:val="00D979E8"/>
    <w:rsid w:val="00D97AE5"/>
    <w:rsid w:val="00D97E9C"/>
    <w:rsid w:val="00DA20F0"/>
    <w:rsid w:val="00DA2D88"/>
    <w:rsid w:val="00DA4A76"/>
    <w:rsid w:val="00DA5622"/>
    <w:rsid w:val="00DA608B"/>
    <w:rsid w:val="00DB2B61"/>
    <w:rsid w:val="00DB34D6"/>
    <w:rsid w:val="00DB3C05"/>
    <w:rsid w:val="00DB3DBA"/>
    <w:rsid w:val="00DB4124"/>
    <w:rsid w:val="00DB5B6E"/>
    <w:rsid w:val="00DB678B"/>
    <w:rsid w:val="00DB6D98"/>
    <w:rsid w:val="00DC057E"/>
    <w:rsid w:val="00DC097D"/>
    <w:rsid w:val="00DC15A9"/>
    <w:rsid w:val="00DC17CF"/>
    <w:rsid w:val="00DC2874"/>
    <w:rsid w:val="00DC28F0"/>
    <w:rsid w:val="00DC3563"/>
    <w:rsid w:val="00DC3717"/>
    <w:rsid w:val="00DC53E9"/>
    <w:rsid w:val="00DC6FA7"/>
    <w:rsid w:val="00DD0146"/>
    <w:rsid w:val="00DD1B77"/>
    <w:rsid w:val="00DD23A2"/>
    <w:rsid w:val="00DD2512"/>
    <w:rsid w:val="00DD289C"/>
    <w:rsid w:val="00DD2DEA"/>
    <w:rsid w:val="00DD3466"/>
    <w:rsid w:val="00DD42DD"/>
    <w:rsid w:val="00DD511D"/>
    <w:rsid w:val="00DD53BA"/>
    <w:rsid w:val="00DD53BD"/>
    <w:rsid w:val="00DD578E"/>
    <w:rsid w:val="00DD66B2"/>
    <w:rsid w:val="00DD7044"/>
    <w:rsid w:val="00DE010C"/>
    <w:rsid w:val="00DE2301"/>
    <w:rsid w:val="00DE29AC"/>
    <w:rsid w:val="00DE2C99"/>
    <w:rsid w:val="00DE308B"/>
    <w:rsid w:val="00DE3CA7"/>
    <w:rsid w:val="00DE43CE"/>
    <w:rsid w:val="00DE4C77"/>
    <w:rsid w:val="00DE5DA2"/>
    <w:rsid w:val="00DE65D0"/>
    <w:rsid w:val="00DE69CB"/>
    <w:rsid w:val="00DE78E2"/>
    <w:rsid w:val="00DF2015"/>
    <w:rsid w:val="00DF25DF"/>
    <w:rsid w:val="00DF2640"/>
    <w:rsid w:val="00DF2B94"/>
    <w:rsid w:val="00DF305C"/>
    <w:rsid w:val="00DF349B"/>
    <w:rsid w:val="00DF3AB4"/>
    <w:rsid w:val="00DF3AB5"/>
    <w:rsid w:val="00DF3ABC"/>
    <w:rsid w:val="00DF3E74"/>
    <w:rsid w:val="00DF590D"/>
    <w:rsid w:val="00E00CD3"/>
    <w:rsid w:val="00E01B9A"/>
    <w:rsid w:val="00E01EE3"/>
    <w:rsid w:val="00E02818"/>
    <w:rsid w:val="00E02E1A"/>
    <w:rsid w:val="00E02F7F"/>
    <w:rsid w:val="00E060CF"/>
    <w:rsid w:val="00E0620E"/>
    <w:rsid w:val="00E062AC"/>
    <w:rsid w:val="00E06456"/>
    <w:rsid w:val="00E074E2"/>
    <w:rsid w:val="00E07A49"/>
    <w:rsid w:val="00E102AB"/>
    <w:rsid w:val="00E110D0"/>
    <w:rsid w:val="00E11669"/>
    <w:rsid w:val="00E119DF"/>
    <w:rsid w:val="00E11C18"/>
    <w:rsid w:val="00E11CA9"/>
    <w:rsid w:val="00E1254B"/>
    <w:rsid w:val="00E13E01"/>
    <w:rsid w:val="00E1409A"/>
    <w:rsid w:val="00E1449B"/>
    <w:rsid w:val="00E15330"/>
    <w:rsid w:val="00E15965"/>
    <w:rsid w:val="00E20065"/>
    <w:rsid w:val="00E20579"/>
    <w:rsid w:val="00E207F0"/>
    <w:rsid w:val="00E20FC5"/>
    <w:rsid w:val="00E211D9"/>
    <w:rsid w:val="00E21482"/>
    <w:rsid w:val="00E227B2"/>
    <w:rsid w:val="00E22C3B"/>
    <w:rsid w:val="00E22F64"/>
    <w:rsid w:val="00E24300"/>
    <w:rsid w:val="00E24CDF"/>
    <w:rsid w:val="00E2577F"/>
    <w:rsid w:val="00E25AC4"/>
    <w:rsid w:val="00E26F29"/>
    <w:rsid w:val="00E302BC"/>
    <w:rsid w:val="00E31152"/>
    <w:rsid w:val="00E3132D"/>
    <w:rsid w:val="00E31954"/>
    <w:rsid w:val="00E33923"/>
    <w:rsid w:val="00E33D03"/>
    <w:rsid w:val="00E34279"/>
    <w:rsid w:val="00E35F6C"/>
    <w:rsid w:val="00E36007"/>
    <w:rsid w:val="00E36C7E"/>
    <w:rsid w:val="00E36EA1"/>
    <w:rsid w:val="00E3738B"/>
    <w:rsid w:val="00E37A8F"/>
    <w:rsid w:val="00E40125"/>
    <w:rsid w:val="00E4196E"/>
    <w:rsid w:val="00E4258F"/>
    <w:rsid w:val="00E42A19"/>
    <w:rsid w:val="00E42E80"/>
    <w:rsid w:val="00E4355F"/>
    <w:rsid w:val="00E43B90"/>
    <w:rsid w:val="00E44E96"/>
    <w:rsid w:val="00E451AC"/>
    <w:rsid w:val="00E461E1"/>
    <w:rsid w:val="00E46C3B"/>
    <w:rsid w:val="00E46D7D"/>
    <w:rsid w:val="00E47B45"/>
    <w:rsid w:val="00E47B9A"/>
    <w:rsid w:val="00E5373B"/>
    <w:rsid w:val="00E53870"/>
    <w:rsid w:val="00E53EED"/>
    <w:rsid w:val="00E53F9A"/>
    <w:rsid w:val="00E54548"/>
    <w:rsid w:val="00E54B8B"/>
    <w:rsid w:val="00E55AD5"/>
    <w:rsid w:val="00E568E1"/>
    <w:rsid w:val="00E56E9F"/>
    <w:rsid w:val="00E576E9"/>
    <w:rsid w:val="00E61540"/>
    <w:rsid w:val="00E61582"/>
    <w:rsid w:val="00E62B5E"/>
    <w:rsid w:val="00E63571"/>
    <w:rsid w:val="00E642C0"/>
    <w:rsid w:val="00E64300"/>
    <w:rsid w:val="00E65C6F"/>
    <w:rsid w:val="00E65D01"/>
    <w:rsid w:val="00E65DF1"/>
    <w:rsid w:val="00E66A9B"/>
    <w:rsid w:val="00E66BE0"/>
    <w:rsid w:val="00E67282"/>
    <w:rsid w:val="00E70CCC"/>
    <w:rsid w:val="00E71209"/>
    <w:rsid w:val="00E72E7D"/>
    <w:rsid w:val="00E73B1E"/>
    <w:rsid w:val="00E7466E"/>
    <w:rsid w:val="00E75479"/>
    <w:rsid w:val="00E7553B"/>
    <w:rsid w:val="00E775D4"/>
    <w:rsid w:val="00E81FA5"/>
    <w:rsid w:val="00E81FDD"/>
    <w:rsid w:val="00E822C7"/>
    <w:rsid w:val="00E827E1"/>
    <w:rsid w:val="00E82B6C"/>
    <w:rsid w:val="00E84D9E"/>
    <w:rsid w:val="00E84ED0"/>
    <w:rsid w:val="00E86232"/>
    <w:rsid w:val="00E86421"/>
    <w:rsid w:val="00E865BD"/>
    <w:rsid w:val="00E86C69"/>
    <w:rsid w:val="00E86F1E"/>
    <w:rsid w:val="00E87122"/>
    <w:rsid w:val="00E87965"/>
    <w:rsid w:val="00E90E50"/>
    <w:rsid w:val="00E926A5"/>
    <w:rsid w:val="00E94AE8"/>
    <w:rsid w:val="00E94F65"/>
    <w:rsid w:val="00E96081"/>
    <w:rsid w:val="00E96E30"/>
    <w:rsid w:val="00E9788D"/>
    <w:rsid w:val="00E9792C"/>
    <w:rsid w:val="00EA1181"/>
    <w:rsid w:val="00EA2799"/>
    <w:rsid w:val="00EA2EC0"/>
    <w:rsid w:val="00EA403A"/>
    <w:rsid w:val="00EA46F7"/>
    <w:rsid w:val="00EA72E8"/>
    <w:rsid w:val="00EA74E6"/>
    <w:rsid w:val="00EA76FF"/>
    <w:rsid w:val="00EA77DC"/>
    <w:rsid w:val="00EB051C"/>
    <w:rsid w:val="00EB0645"/>
    <w:rsid w:val="00EB0A27"/>
    <w:rsid w:val="00EB0AB5"/>
    <w:rsid w:val="00EB1ADA"/>
    <w:rsid w:val="00EB3927"/>
    <w:rsid w:val="00EB46E1"/>
    <w:rsid w:val="00EB49CC"/>
    <w:rsid w:val="00EB7883"/>
    <w:rsid w:val="00EB7972"/>
    <w:rsid w:val="00EC13BB"/>
    <w:rsid w:val="00EC1820"/>
    <w:rsid w:val="00EC533C"/>
    <w:rsid w:val="00EC5A06"/>
    <w:rsid w:val="00EC6B43"/>
    <w:rsid w:val="00EC6D3A"/>
    <w:rsid w:val="00EC7156"/>
    <w:rsid w:val="00EC74A8"/>
    <w:rsid w:val="00EC77F1"/>
    <w:rsid w:val="00EC78C3"/>
    <w:rsid w:val="00EC79EC"/>
    <w:rsid w:val="00ED0F23"/>
    <w:rsid w:val="00ED13C3"/>
    <w:rsid w:val="00ED1C41"/>
    <w:rsid w:val="00ED20B6"/>
    <w:rsid w:val="00ED29C6"/>
    <w:rsid w:val="00ED2A6A"/>
    <w:rsid w:val="00ED377B"/>
    <w:rsid w:val="00ED441B"/>
    <w:rsid w:val="00ED545E"/>
    <w:rsid w:val="00ED7BC2"/>
    <w:rsid w:val="00EE0235"/>
    <w:rsid w:val="00EE1E04"/>
    <w:rsid w:val="00EE27EF"/>
    <w:rsid w:val="00EE3B11"/>
    <w:rsid w:val="00EE6158"/>
    <w:rsid w:val="00EE7CEB"/>
    <w:rsid w:val="00EE7E4C"/>
    <w:rsid w:val="00EE7F61"/>
    <w:rsid w:val="00EF0853"/>
    <w:rsid w:val="00EF15B8"/>
    <w:rsid w:val="00EF1C3A"/>
    <w:rsid w:val="00EF262D"/>
    <w:rsid w:val="00EF2B87"/>
    <w:rsid w:val="00EF3946"/>
    <w:rsid w:val="00EF4117"/>
    <w:rsid w:val="00EF5C0C"/>
    <w:rsid w:val="00EF6631"/>
    <w:rsid w:val="00EF688F"/>
    <w:rsid w:val="00EF6D80"/>
    <w:rsid w:val="00EF76EA"/>
    <w:rsid w:val="00F00603"/>
    <w:rsid w:val="00F0060E"/>
    <w:rsid w:val="00F01119"/>
    <w:rsid w:val="00F0175A"/>
    <w:rsid w:val="00F01CF2"/>
    <w:rsid w:val="00F01E91"/>
    <w:rsid w:val="00F0250C"/>
    <w:rsid w:val="00F03155"/>
    <w:rsid w:val="00F03666"/>
    <w:rsid w:val="00F0373A"/>
    <w:rsid w:val="00F03950"/>
    <w:rsid w:val="00F049D6"/>
    <w:rsid w:val="00F057DB"/>
    <w:rsid w:val="00F0646E"/>
    <w:rsid w:val="00F12428"/>
    <w:rsid w:val="00F12491"/>
    <w:rsid w:val="00F13607"/>
    <w:rsid w:val="00F161F9"/>
    <w:rsid w:val="00F173C9"/>
    <w:rsid w:val="00F20511"/>
    <w:rsid w:val="00F2127E"/>
    <w:rsid w:val="00F223D7"/>
    <w:rsid w:val="00F23C66"/>
    <w:rsid w:val="00F24CA0"/>
    <w:rsid w:val="00F25B83"/>
    <w:rsid w:val="00F25F17"/>
    <w:rsid w:val="00F27A84"/>
    <w:rsid w:val="00F3172E"/>
    <w:rsid w:val="00F31810"/>
    <w:rsid w:val="00F3200A"/>
    <w:rsid w:val="00F324AC"/>
    <w:rsid w:val="00F32577"/>
    <w:rsid w:val="00F33C79"/>
    <w:rsid w:val="00F33DD2"/>
    <w:rsid w:val="00F34DAF"/>
    <w:rsid w:val="00F355B5"/>
    <w:rsid w:val="00F359DE"/>
    <w:rsid w:val="00F37CBC"/>
    <w:rsid w:val="00F37E4A"/>
    <w:rsid w:val="00F41E00"/>
    <w:rsid w:val="00F423CE"/>
    <w:rsid w:val="00F42580"/>
    <w:rsid w:val="00F43ACE"/>
    <w:rsid w:val="00F443A0"/>
    <w:rsid w:val="00F44B50"/>
    <w:rsid w:val="00F453DD"/>
    <w:rsid w:val="00F4549F"/>
    <w:rsid w:val="00F46EA6"/>
    <w:rsid w:val="00F471FB"/>
    <w:rsid w:val="00F47818"/>
    <w:rsid w:val="00F508B3"/>
    <w:rsid w:val="00F5099E"/>
    <w:rsid w:val="00F512BB"/>
    <w:rsid w:val="00F51327"/>
    <w:rsid w:val="00F52B9D"/>
    <w:rsid w:val="00F54023"/>
    <w:rsid w:val="00F54247"/>
    <w:rsid w:val="00F545CF"/>
    <w:rsid w:val="00F5682F"/>
    <w:rsid w:val="00F569A1"/>
    <w:rsid w:val="00F5763E"/>
    <w:rsid w:val="00F6157E"/>
    <w:rsid w:val="00F63F2A"/>
    <w:rsid w:val="00F646EF"/>
    <w:rsid w:val="00F64B0A"/>
    <w:rsid w:val="00F66741"/>
    <w:rsid w:val="00F71024"/>
    <w:rsid w:val="00F71666"/>
    <w:rsid w:val="00F71BA0"/>
    <w:rsid w:val="00F71BFF"/>
    <w:rsid w:val="00F72939"/>
    <w:rsid w:val="00F72D85"/>
    <w:rsid w:val="00F73CF6"/>
    <w:rsid w:val="00F73DFC"/>
    <w:rsid w:val="00F74001"/>
    <w:rsid w:val="00F7706A"/>
    <w:rsid w:val="00F804C6"/>
    <w:rsid w:val="00F80F3B"/>
    <w:rsid w:val="00F82691"/>
    <w:rsid w:val="00F83DF2"/>
    <w:rsid w:val="00F841DB"/>
    <w:rsid w:val="00F84BD4"/>
    <w:rsid w:val="00F84F81"/>
    <w:rsid w:val="00F856AC"/>
    <w:rsid w:val="00F86531"/>
    <w:rsid w:val="00F86EB5"/>
    <w:rsid w:val="00F86F23"/>
    <w:rsid w:val="00F9075B"/>
    <w:rsid w:val="00F90DB0"/>
    <w:rsid w:val="00F90E07"/>
    <w:rsid w:val="00F910F0"/>
    <w:rsid w:val="00F916E1"/>
    <w:rsid w:val="00F91B9A"/>
    <w:rsid w:val="00F926E7"/>
    <w:rsid w:val="00F929FB"/>
    <w:rsid w:val="00F93E07"/>
    <w:rsid w:val="00F941D5"/>
    <w:rsid w:val="00F946E1"/>
    <w:rsid w:val="00F94A84"/>
    <w:rsid w:val="00F9553E"/>
    <w:rsid w:val="00F95D18"/>
    <w:rsid w:val="00FA0183"/>
    <w:rsid w:val="00FA0704"/>
    <w:rsid w:val="00FA0D13"/>
    <w:rsid w:val="00FA24EE"/>
    <w:rsid w:val="00FA357F"/>
    <w:rsid w:val="00FA4722"/>
    <w:rsid w:val="00FA5643"/>
    <w:rsid w:val="00FA64F1"/>
    <w:rsid w:val="00FA7D3C"/>
    <w:rsid w:val="00FB044B"/>
    <w:rsid w:val="00FB0F92"/>
    <w:rsid w:val="00FB17EA"/>
    <w:rsid w:val="00FB19D4"/>
    <w:rsid w:val="00FB1C7A"/>
    <w:rsid w:val="00FB24BA"/>
    <w:rsid w:val="00FB2A49"/>
    <w:rsid w:val="00FB2D9C"/>
    <w:rsid w:val="00FB4955"/>
    <w:rsid w:val="00FB55E3"/>
    <w:rsid w:val="00FB65AC"/>
    <w:rsid w:val="00FB7788"/>
    <w:rsid w:val="00FC0C7B"/>
    <w:rsid w:val="00FC2BE8"/>
    <w:rsid w:val="00FC39BA"/>
    <w:rsid w:val="00FC436F"/>
    <w:rsid w:val="00FC5914"/>
    <w:rsid w:val="00FC6799"/>
    <w:rsid w:val="00FC6EDF"/>
    <w:rsid w:val="00FC7765"/>
    <w:rsid w:val="00FD0F60"/>
    <w:rsid w:val="00FD118E"/>
    <w:rsid w:val="00FD2AB0"/>
    <w:rsid w:val="00FD3685"/>
    <w:rsid w:val="00FD3A69"/>
    <w:rsid w:val="00FD3D66"/>
    <w:rsid w:val="00FD3EB9"/>
    <w:rsid w:val="00FD4593"/>
    <w:rsid w:val="00FD4CB4"/>
    <w:rsid w:val="00FD4EF0"/>
    <w:rsid w:val="00FD5455"/>
    <w:rsid w:val="00FD6E31"/>
    <w:rsid w:val="00FE044C"/>
    <w:rsid w:val="00FE234C"/>
    <w:rsid w:val="00FE394E"/>
    <w:rsid w:val="00FE6288"/>
    <w:rsid w:val="00FE67BB"/>
    <w:rsid w:val="00FE68B2"/>
    <w:rsid w:val="00FE6ADF"/>
    <w:rsid w:val="00FE7250"/>
    <w:rsid w:val="00FE7D7E"/>
    <w:rsid w:val="00FF0AB7"/>
    <w:rsid w:val="00FF16D1"/>
    <w:rsid w:val="00FF24B5"/>
    <w:rsid w:val="00FF2BA0"/>
    <w:rsid w:val="00FF3C13"/>
    <w:rsid w:val="00FF528C"/>
    <w:rsid w:val="00FF5A6D"/>
    <w:rsid w:val="00FF693C"/>
    <w:rsid w:val="00FF6A4B"/>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00C22DD5"/>
  <w15:chartTrackingRefBased/>
  <w15:docId w15:val="{AE421569-E366-4BD8-AE8C-7278DFBC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0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7287C"/>
    <w:pPr>
      <w:tabs>
        <w:tab w:val="left" w:pos="440"/>
        <w:tab w:val="right" w:leader="dot" w:pos="9063"/>
      </w:tabs>
      <w:spacing w:before="240"/>
      <w:ind w:right="-284"/>
      <w:outlineLvl w:val="0"/>
    </w:pPr>
  </w:style>
  <w:style w:type="paragraph" w:styleId="Heading2">
    <w:name w:val="heading 2"/>
    <w:basedOn w:val="Normal"/>
    <w:next w:val="Normal"/>
    <w:link w:val="Heading2Char"/>
    <w:qFormat/>
    <w:rsid w:val="004D7AC0"/>
    <w:pPr>
      <w:outlineLvl w:val="1"/>
    </w:pPr>
  </w:style>
  <w:style w:type="paragraph" w:styleId="Heading3">
    <w:name w:val="heading 3"/>
    <w:basedOn w:val="Normal"/>
    <w:next w:val="Normal"/>
    <w:link w:val="Heading3Char"/>
    <w:qFormat/>
    <w:rsid w:val="004D7AC0"/>
    <w:pPr>
      <w:outlineLvl w:val="2"/>
    </w:pPr>
  </w:style>
  <w:style w:type="paragraph" w:styleId="Heading4">
    <w:name w:val="heading 4"/>
    <w:basedOn w:val="Normal"/>
    <w:next w:val="Normal"/>
    <w:link w:val="Heading4Char"/>
    <w:qFormat/>
    <w:rsid w:val="004D7AC0"/>
    <w:pPr>
      <w:outlineLvl w:val="3"/>
    </w:pPr>
  </w:style>
  <w:style w:type="paragraph" w:styleId="Heading5">
    <w:name w:val="heading 5"/>
    <w:basedOn w:val="Normal"/>
    <w:next w:val="Normal"/>
    <w:link w:val="Heading5Char"/>
    <w:qFormat/>
    <w:rsid w:val="004D7AC0"/>
    <w:pPr>
      <w:outlineLvl w:val="4"/>
    </w:pPr>
  </w:style>
  <w:style w:type="paragraph" w:styleId="Heading6">
    <w:name w:val="heading 6"/>
    <w:basedOn w:val="Normal"/>
    <w:next w:val="Normal"/>
    <w:link w:val="Heading6Char"/>
    <w:qFormat/>
    <w:rsid w:val="004D7AC0"/>
    <w:pPr>
      <w:outlineLvl w:val="5"/>
    </w:pPr>
  </w:style>
  <w:style w:type="paragraph" w:styleId="Heading7">
    <w:name w:val="heading 7"/>
    <w:basedOn w:val="Normal"/>
    <w:next w:val="Normal"/>
    <w:link w:val="Heading7Char"/>
    <w:qFormat/>
    <w:rsid w:val="004D7AC0"/>
    <w:pPr>
      <w:outlineLvl w:val="6"/>
    </w:pPr>
  </w:style>
  <w:style w:type="paragraph" w:styleId="Heading8">
    <w:name w:val="heading 8"/>
    <w:basedOn w:val="Normal"/>
    <w:next w:val="Normal"/>
    <w:link w:val="Heading8Char"/>
    <w:qFormat/>
    <w:rsid w:val="004D7AC0"/>
    <w:pPr>
      <w:outlineLvl w:val="7"/>
    </w:pPr>
  </w:style>
  <w:style w:type="paragraph" w:styleId="Heading9">
    <w:name w:val="heading 9"/>
    <w:basedOn w:val="Normal"/>
    <w:next w:val="Normal"/>
    <w:link w:val="Heading9Char"/>
    <w:qFormat/>
    <w:rsid w:val="004D7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87C"/>
    <w:rPr>
      <w:rFonts w:ascii="Times New Roman" w:eastAsia="Times New Roman" w:hAnsi="Times New Roman" w:cs="Times New Roman"/>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spacing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66035"/>
    <w:pPr>
      <w:tabs>
        <w:tab w:val="left" w:pos="440"/>
        <w:tab w:val="right" w:leader="dot" w:pos="9063"/>
      </w:tabs>
      <w:spacing w:before="240"/>
      <w:ind w:right="-284"/>
      <w:outlineLvl w:val="0"/>
    </w:pPr>
    <w:rPr>
      <w:b/>
      <w:noProof/>
      <w:sz w:val="20"/>
      <w:szCs w:val="20"/>
    </w:r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fr-FR"/>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807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E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11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240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53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113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B66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C2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042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E4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921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9D6A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8E4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A26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767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E55A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13A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046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806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97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B371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ListParagraph"/>
    <w:qFormat/>
    <w:rsid w:val="002634CF"/>
    <w:pPr>
      <w:numPr>
        <w:numId w:val="1"/>
      </w:numPr>
      <w:overflowPunct w:val="0"/>
      <w:autoSpaceDE w:val="0"/>
      <w:autoSpaceDN w:val="0"/>
      <w:adjustRightInd w:val="0"/>
      <w:spacing w:after="200" w:line="240" w:lineRule="auto"/>
      <w:ind w:left="426" w:hanging="426"/>
      <w:textAlignment w:val="baseline"/>
    </w:pPr>
    <w:rPr>
      <w:color w:val="0000FF"/>
      <w:u w:val="single"/>
    </w:rPr>
  </w:style>
  <w:style w:type="table" w:customStyle="1" w:styleId="TableGrid61">
    <w:name w:val="Table Grid61"/>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5A3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34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204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023B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2736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rsid w:val="007F2C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C334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4028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rsid w:val="002C0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3E2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2879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C142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344B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rsid w:val="002D4C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rsid w:val="00FB49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F27A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195380"/>
    <w:rPr>
      <w:color w:val="605E5C"/>
      <w:shd w:val="clear" w:color="auto" w:fill="E1DFDD"/>
    </w:rPr>
  </w:style>
  <w:style w:type="table" w:customStyle="1" w:styleId="TableGrid82">
    <w:name w:val="Table Grid82"/>
    <w:basedOn w:val="TableNormal"/>
    <w:next w:val="TableGrid"/>
    <w:rsid w:val="004625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D633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rsid w:val="001653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BC21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874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4B32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7B6259"/>
    <w:pPr>
      <w:overflowPunct w:val="0"/>
      <w:autoSpaceDE w:val="0"/>
      <w:autoSpaceDN w:val="0"/>
      <w:adjustRightInd w:val="0"/>
      <w:spacing w:after="200" w:line="276" w:lineRule="auto"/>
      <w:ind w:left="720"/>
      <w:jc w:val="left"/>
      <w:textAlignment w:val="baseline"/>
    </w:pPr>
    <w:rPr>
      <w:rFonts w:ascii="Calibri" w:eastAsiaTheme="minorHAnsi" w:hAnsi="Calibri" w:cs="Calibri"/>
      <w:szCs w:val="20"/>
      <w:lang w:eastAsia="fr-BE"/>
    </w:rPr>
  </w:style>
  <w:style w:type="table" w:customStyle="1" w:styleId="TableGrid88">
    <w:name w:val="Table Grid88"/>
    <w:basedOn w:val="TableNormal"/>
    <w:next w:val="TableGrid"/>
    <w:rsid w:val="00DE4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rsid w:val="00490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rsid w:val="002315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73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E56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4743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7C41DA"/>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locked/>
    <w:rsid w:val="008A55B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1305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786F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73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352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744C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5E4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B52F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BE47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BE47EE"/>
    <w:rPr>
      <w:color w:val="605E5C"/>
      <w:shd w:val="clear" w:color="auto" w:fill="E1DFDD"/>
    </w:rPr>
  </w:style>
  <w:style w:type="table" w:customStyle="1" w:styleId="TableGrid104">
    <w:name w:val="Table Grid104"/>
    <w:basedOn w:val="TableNormal"/>
    <w:next w:val="TableGrid"/>
    <w:rsid w:val="00F90E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563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3B0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3B6E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BF2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rsid w:val="003D5C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BC64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5B3E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820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154E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5523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115C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C97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587F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A441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696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212236344">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739408614">
      <w:bodyDiv w:val="1"/>
      <w:marLeft w:val="0"/>
      <w:marRight w:val="0"/>
      <w:marTop w:val="0"/>
      <w:marBottom w:val="0"/>
      <w:divBdr>
        <w:top w:val="none" w:sz="0" w:space="0" w:color="auto"/>
        <w:left w:val="none" w:sz="0" w:space="0" w:color="auto"/>
        <w:bottom w:val="none" w:sz="0" w:space="0" w:color="auto"/>
        <w:right w:val="none" w:sz="0" w:space="0" w:color="auto"/>
      </w:divBdr>
    </w:div>
    <w:div w:id="1043597609">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lombe.gregoire@eesc.europa.eu" TargetMode="External"/><Relationship Id="rId21" Type="http://schemas.openxmlformats.org/officeDocument/2006/relationships/hyperlink" Target="https://www.eesc.europa.eu/fr/our-work/opinions-information-reports/opinions/services-en-euros-numeriques-dans-les-etats-membres-dont-la-monnaie-nest-pas-leuro" TargetMode="External"/><Relationship Id="rId42" Type="http://schemas.openxmlformats.org/officeDocument/2006/relationships/hyperlink" Target="https://www.eesc.europa.eu/fr/our-work/opinions-information-reports/opinions/train-de-mesures-sur-le-brevet-unitaire" TargetMode="External"/><Relationship Id="rId47" Type="http://schemas.openxmlformats.org/officeDocument/2006/relationships/hyperlink" Target="mailto:silvia.staffa@eesc.europa.eu" TargetMode="External"/><Relationship Id="rId63" Type="http://schemas.openxmlformats.org/officeDocument/2006/relationships/hyperlink" Target="mailto:maja.radman@eesc.europa.eu" TargetMode="External"/><Relationship Id="rId68" Type="http://schemas.openxmlformats.org/officeDocument/2006/relationships/hyperlink" Target="https://www.eesc.europa.eu/fr/our-work/opinions-information-reports/opinions/agence-europeenne-pour-la-securite-maritime-0" TargetMode="External"/><Relationship Id="rId84" Type="http://schemas.openxmlformats.org/officeDocument/2006/relationships/theme" Target="theme/theme1.xml"/><Relationship Id="rId16" Type="http://schemas.openxmlformats.org/officeDocument/2006/relationships/header" Target="header2.xml"/><Relationship Id="rId11" Type="http://schemas.openxmlformats.org/officeDocument/2006/relationships/endnotes" Target="endnotes.xml"/><Relationship Id="rId32" Type="http://schemas.openxmlformats.org/officeDocument/2006/relationships/hyperlink" Target="mailto:Krisztina.PerlakyToth@eesc.europa.eu" TargetMode="External"/><Relationship Id="rId37" Type="http://schemas.openxmlformats.org/officeDocument/2006/relationships/hyperlink" Target="mailto:Triin.AasmaaGomes@eesc.europa.eu" TargetMode="External"/><Relationship Id="rId53" Type="http://schemas.openxmlformats.org/officeDocument/2006/relationships/hyperlink" Target="mailto:Tzonka.Iotzova@eesc.europa.eu" TargetMode="External"/><Relationship Id="rId58" Type="http://schemas.openxmlformats.org/officeDocument/2006/relationships/hyperlink" Target="https://www.eesc.europa.eu/fr/our-work/opinions-information-reports/opinions/politique-de-leau-entre-desertification-et-securisation-est-venu-le-temps-dune-diplomatie-bleue" TargetMode="External"/><Relationship Id="rId74" Type="http://schemas.openxmlformats.org/officeDocument/2006/relationships/hyperlink" Target="mailto:Antonio.RibeiroPereira@eesc.europa.eu" TargetMode="External"/><Relationship Id="rId79" Type="http://schemas.openxmlformats.org/officeDocument/2006/relationships/footer" Target="footer4.xml"/><Relationship Id="rId61" Type="http://schemas.openxmlformats.org/officeDocument/2006/relationships/hyperlink" Target="mailto:Maja.Radman@eesc.europa.eu" TargetMode="External"/><Relationship Id="rId82" Type="http://schemas.openxmlformats.org/officeDocument/2006/relationships/footer" Target="footer6.xml"/><Relationship Id="rId19" Type="http://schemas.openxmlformats.org/officeDocument/2006/relationships/header" Target="header3.xml"/><Relationship Id="rId14" Type="http://schemas.openxmlformats.org/officeDocument/2006/relationships/hyperlink" Target="https://dmsearch.eesc.europa.eu/search/ecdocs" TargetMode="External"/><Relationship Id="rId22" Type="http://schemas.openxmlformats.org/officeDocument/2006/relationships/hyperlink" Target="mailto:Krisztina.PerlakyToth@eesc.europa.eu" TargetMode="External"/><Relationship Id="rId27" Type="http://schemas.openxmlformats.org/officeDocument/2006/relationships/hyperlink" Target="https://www.eesc.europa.eu/fr/our-work/opinions-information-reports/opinions/facilite-pour-la-reprise-et-la-resilience-et-politique-de-cohesion-vers-une-politique-de-cohesion-20" TargetMode="External"/><Relationship Id="rId30" Type="http://schemas.openxmlformats.org/officeDocument/2006/relationships/hyperlink" Target="mailto:Krisztina.PerlakyToth@eesc.europa.eu" TargetMode="External"/><Relationship Id="rId35" Type="http://schemas.openxmlformats.org/officeDocument/2006/relationships/hyperlink" Target="mailto:JeanMarie.Rogue@eesc.europa.eu" TargetMode="External"/><Relationship Id="rId43" Type="http://schemas.openxmlformats.org/officeDocument/2006/relationships/hyperlink" Target="mailto:Dalila.Bernard@eesc.europa.eu" TargetMode="External"/><Relationship Id="rId48" Type="http://schemas.openxmlformats.org/officeDocument/2006/relationships/hyperlink" Target="https://www.eesc.europa.eu/fr/our-work/opinions-information-reports/opinions/conservation-and-control-measures-applicable-area-covered-convention-future-multilateral-cooperation-north-east-atlantic" TargetMode="External"/><Relationship Id="rId56" Type="http://schemas.openxmlformats.org/officeDocument/2006/relationships/hyperlink" Target="https://www.eesc.europa.eu/fr/our-work/opinions-information-reports/opinions/strategie-de-lue-en-matiere-de-sante-mondiale-une-meilleure-sante-pour-tous-dans-un-monde-en-mutation" TargetMode="External"/><Relationship Id="rId64" Type="http://schemas.openxmlformats.org/officeDocument/2006/relationships/hyperlink" Target="https://www.eesc.europa.eu/fr/our-work/opinions-information-reports/opinions/co2-emission-class-heavy-duty-vehicles-trailers" TargetMode="External"/><Relationship Id="rId69" Type="http://schemas.openxmlformats.org/officeDocument/2006/relationships/hyperlink" Target="mailto:Giorgiaandrea.Bordignon@eesc.europa.eu" TargetMode="External"/><Relationship Id="rId77"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hyperlink" Target="mailto:Arturo.Iniguez@eesc.europa.eu" TargetMode="External"/><Relationship Id="rId72" Type="http://schemas.openxmlformats.org/officeDocument/2006/relationships/hyperlink" Target="mailto:Antonio.RibeiroPereira@eesc.europa.eu" TargetMode="External"/><Relationship Id="rId80" Type="http://schemas.openxmlformats.org/officeDocument/2006/relationships/footer" Target="footer5.xml"/><Relationship Id="rId85" Type="http://schemas.openxmlformats.org/officeDocument/2006/relationships/customXml" Target="../customXml/item1.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www.eesc.europa.eu/fr/our-work/opinions-information-reports/information-reports/evaluation-mi-parcours-de-la-facilite-pour-la-reprise-et-la-resilience" TargetMode="External"/><Relationship Id="rId33" Type="http://schemas.openxmlformats.org/officeDocument/2006/relationships/hyperlink" Target="https://www.eesc.europa.eu/fr/our-work/opinions-information-reports/opinions/lignes-directrices-pour-lemploi-3" TargetMode="External"/><Relationship Id="rId38" Type="http://schemas.openxmlformats.org/officeDocument/2006/relationships/hyperlink" Target="https://www.eesc.europa.eu/fr/our-work/opinions-information-reports/opinions/transfer-proceedings-criminal-matters" TargetMode="External"/><Relationship Id="rId46" Type="http://schemas.openxmlformats.org/officeDocument/2006/relationships/hyperlink" Target="https://www.eesc.europa.eu/fr/our-work/opinions-information-reports/opinions/step-platform" TargetMode="External"/><Relationship Id="rId59" Type="http://schemas.openxmlformats.org/officeDocument/2006/relationships/hyperlink" Target="mailto:Andreas.Berger@eesc.europa.eu" TargetMode="External"/><Relationship Id="rId67" Type="http://schemas.openxmlformats.org/officeDocument/2006/relationships/hyperlink" Target="mailto:GiorgiaAndrea.Bordignon@eesc.europa.eu" TargetMode="External"/><Relationship Id="rId20" Type="http://schemas.openxmlformats.org/officeDocument/2006/relationships/footer" Target="footer3.xml"/><Relationship Id="rId41" Type="http://schemas.openxmlformats.org/officeDocument/2006/relationships/hyperlink" Target="mailto:Silvia.Staffa@eesc.europa.eu" TargetMode="External"/><Relationship Id="rId54" Type="http://schemas.openxmlformats.org/officeDocument/2006/relationships/hyperlink" Target="https://www.eesc.europa.eu/fr/our-work/opinions-information-reports/opinions/communication-conjointe-sur-la-mise-jour-de-la-strategie-de-surete-maritime-de-lue-et-de-son-plan-daction-une-strategie" TargetMode="External"/><Relationship Id="rId62" Type="http://schemas.openxmlformats.org/officeDocument/2006/relationships/hyperlink" Target="https://www.eesc.europa.eu/fr/our-work/opinions-information-reports/opinions/strategie-drone-20" TargetMode="External"/><Relationship Id="rId70" Type="http://schemas.openxmlformats.org/officeDocument/2006/relationships/hyperlink" Target="mailto:Antonio.RibeiroPereira@eesc.europa.eu" TargetMode="External"/><Relationship Id="rId75" Type="http://schemas.openxmlformats.org/officeDocument/2006/relationships/hyperlink" Target="https://www.eesc.europa.eu/fr/our-work/opinions-information-reports/opinions/duree-minimale-des-pauses-et-des-temps-de-repos-pour-le-transport-occasionnel-de-voyageurs" TargetMode="External"/><Relationship Id="rId83" Type="http://schemas.openxmlformats.org/officeDocument/2006/relationships/fontTable" Target="fontTable.xml"/><Relationship Id="rId88" Type="http://schemas.openxmlformats.org/officeDocument/2006/relationships/customXml" Target="../customXml/item4.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eesc.europa.eu/fr/our-work/opinions-information-reports/opinions/revision-mi-parcours-du-cadre-financier-pluriannuel" TargetMode="External"/><Relationship Id="rId28" Type="http://schemas.openxmlformats.org/officeDocument/2006/relationships/hyperlink" Target="mailto:Georgios.Meleas@eesc.europa.eu" TargetMode="External"/><Relationship Id="rId36" Type="http://schemas.openxmlformats.org/officeDocument/2006/relationships/hyperlink" Target="https://www.eesc.europa.eu/fr/our-work/opinions-information-reports/opinions/politique-strategique-pluriannuelle-pour-la-gestion-europeenne-integree-des-frontieres" TargetMode="External"/><Relationship Id="rId49" Type="http://schemas.openxmlformats.org/officeDocument/2006/relationships/hyperlink" Target="mailto:Arturo.Iniguez@eesc.europa.eu" TargetMode="External"/><Relationship Id="rId57" Type="http://schemas.openxmlformats.org/officeDocument/2006/relationships/hyperlink" Target="mailto:Charlotte.Rive@eesc.europa.eu" TargetMode="External"/><Relationship Id="rId10" Type="http://schemas.openxmlformats.org/officeDocument/2006/relationships/footnotes" Target="footnotes.xml"/><Relationship Id="rId31" Type="http://schemas.openxmlformats.org/officeDocument/2006/relationships/hyperlink" Target="https://www.eesc.europa.eu/fr/our-work/opinions-information-reports/opinions/de-nouvelles-regles-de-gouvernance-economique-parees-pour-lavenir" TargetMode="External"/><Relationship Id="rId44" Type="http://schemas.openxmlformats.org/officeDocument/2006/relationships/hyperlink" Target="https://www.eesc.europa.eu/fr/our-work/opinions-information-reports/opinions/pour-une-chaine-dapprovisionnement-resiliente-durable-et-responsable-de-lunion-europeenne-dans-le-domaine-des-matieres" TargetMode="External"/><Relationship Id="rId52" Type="http://schemas.openxmlformats.org/officeDocument/2006/relationships/hyperlink" Target="https://www.eesc.europa.eu/fr/our-work/opinions-information-reports/opinions/la-poursuite-de-la-participation-de-lunion-au-partenariat-en-matiere-de-recherche-et-dinnovation-dans-la-zone" TargetMode="External"/><Relationship Id="rId60" Type="http://schemas.openxmlformats.org/officeDocument/2006/relationships/hyperlink" Target="https://www.eesc.europa.eu/fr/our-work/opinions-information-reports/opinions/liaison-fixe-transmanche-accord-international-sur-les-exigences-en-matiere-de-securite-et-dinteroperabilite" TargetMode="External"/><Relationship Id="rId65" Type="http://schemas.openxmlformats.org/officeDocument/2006/relationships/hyperlink" Target="mailto:Antonio.RibeiroPereira@eesc.europa.eu" TargetMode="External"/><Relationship Id="rId73" Type="http://schemas.openxmlformats.org/officeDocument/2006/relationships/hyperlink" Target="https://www.eesc.europa.eu/fr/our-work/opinions-information-reports/opinions/revision-de-la-directive-concernant-le-respect-des-obligations-des-etats-du-pavillon" TargetMode="External"/><Relationship Id="rId78" Type="http://schemas.openxmlformats.org/officeDocument/2006/relationships/header" Target="header5.xml"/><Relationship Id="rId81" Type="http://schemas.openxmlformats.org/officeDocument/2006/relationships/header" Target="header6.xml"/><Relationship Id="rId86" Type="http://schemas.openxmlformats.org/officeDocument/2006/relationships/customXml" Target="../customXml/item2.xml"/><Relationship Id="rId9" Type="http://schemas.openxmlformats.org/officeDocument/2006/relationships/webSettings" Target="webSettings.xml"/><Relationship Id="rId13" Type="http://schemas.openxmlformats.org/officeDocument/2006/relationships/hyperlink" Target="https://www.eesc.europa.eu/fr/our-work/opinions-information-reports/plenary-session-summaries" TargetMode="External"/><Relationship Id="rId18" Type="http://schemas.openxmlformats.org/officeDocument/2006/relationships/footer" Target="footer2.xml"/><Relationship Id="rId39" Type="http://schemas.openxmlformats.org/officeDocument/2006/relationships/hyperlink" Target="mailto:Alessia.Cova@eesc.europa.eu" TargetMode="External"/><Relationship Id="rId34" Type="http://schemas.openxmlformats.org/officeDocument/2006/relationships/hyperlink" Target="https://www.eesc.europa.eu/fr/our-work/opinions-information-reports/opinions/soutien-et-financement-de-la-societe-civile-dans-le-domaine-des-droits-fondamentaux-de-letat-de-droit-et-de-la" TargetMode="External"/><Relationship Id="rId50" Type="http://schemas.openxmlformats.org/officeDocument/2006/relationships/hyperlink" Target="https://www.eesc.europa.eu/fr/our-work/opinions-information-reports/opinions/revision-des-normes-de-commercialisation-de-lue-pour-les-produits-agricoles" TargetMode="External"/><Relationship Id="rId55" Type="http://schemas.openxmlformats.org/officeDocument/2006/relationships/hyperlink" Target="https://www.eesc.europa.eu/fr/our-work/opinions-information-reports/information-reports/arctique-comment-offrir-une-region-geostrategique-un-avenir-pacifique-durable-et-prospere" TargetMode="External"/><Relationship Id="rId76" Type="http://schemas.openxmlformats.org/officeDocument/2006/relationships/hyperlink" Target="mailto:Alessandro.Rizzi@eesc.europa.eu" TargetMode="External"/><Relationship Id="rId7" Type="http://schemas.openxmlformats.org/officeDocument/2006/relationships/styles" Target="styles.xml"/><Relationship Id="rId71" Type="http://schemas.openxmlformats.org/officeDocument/2006/relationships/hyperlink" Target="https://www.eesc.europa.eu/fr/our-work/opinions-information-reports/opinions/revision-de-la-directive-sur-le-controle-par-letat-du-port" TargetMode="External"/><Relationship Id="rId29" Type="http://schemas.openxmlformats.org/officeDocument/2006/relationships/hyperlink" Target="https://www.eesc.europa.eu/fr/our-work/opinions-information-reports/opinions/euro-numerique-et-etendue-et-effets-du-cours-legal-des-billets-de-banque-et-pieces-en-euros" TargetMode="External"/><Relationship Id="rId24" Type="http://schemas.openxmlformats.org/officeDocument/2006/relationships/hyperlink" Target="mailto:Gerald.Klec@eesc.europa.eu" TargetMode="External"/><Relationship Id="rId40" Type="http://schemas.openxmlformats.org/officeDocument/2006/relationships/hyperlink" Target="https://www.eesc.europa.eu/fr/our-work/opinions-information-reports/opinions/paquet-reforme-douaniere" TargetMode="External"/><Relationship Id="rId45" Type="http://schemas.openxmlformats.org/officeDocument/2006/relationships/hyperlink" Target="mailto:Silvia.Staffa@eesc.europa.eu" TargetMode="External"/><Relationship Id="rId66" Type="http://schemas.openxmlformats.org/officeDocument/2006/relationships/hyperlink" Target="https://www.eesc.europa.eu/fr/our-work/opinions-information-reports/opinions/revision-de-la-directive-relative-la-pollution-causee-par-les-navires" TargetMode="External"/><Relationship Id="rId8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fr/TXT/?uri=CELEX:52018IE4568" TargetMode="External"/><Relationship Id="rId1" Type="http://schemas.openxmlformats.org/officeDocument/2006/relationships/hyperlink" Target="https://www.eesc.europa.eu/fr/our-work/opinions-information-reports/opinions/euro-numerique-et-etendue-et-effets-du-cours-legal-des-billets-de-banque-et-pieces-en-eu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XMKEDVFMMJCW-1082970386-6763</_dlc_DocId>
    <_dlc_DocIdUrl xmlns="56a5413d-c261-4a00-870c-a20d3379ae6d">
      <Url>http://dm/eesc/2023/_layouts/15/DocIdRedir.aspx?ID=XMKEDVFMMJCW-1082970386-6763</Url>
      <Description>XMKEDVFMMJCW-1082970386-6763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2023-10-06T12:00:00+00:00</ProductionDate>
    <DocumentNumber xmlns="9a0d858a-c769-47b2-a4d1-2992261f5e4d">3625</DocumentNumber>
    <FicheYear xmlns="56a5413d-c261-4a00-870c-a20d3379ae6d" xsi:nil="true"/>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2023-10-25T12:00:00+00:00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10699</FicheNumber>
    <OriginalSender xmlns="56a5413d-c261-4a00-870c-a20d3379ae6d">
      <UserInfo>
        <DisplayName>Antunes Cristiano</DisplayName>
        <AccountId>770</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a0d858a-c769-47b2-a4d1-2992261f5e4d">582</MeetingNumber>
    <DossierName_0 xmlns="http://schemas.microsoft.com/sharepoint/v3/fields">
      <Terms xmlns="http://schemas.microsoft.com/office/infopath/2007/PartnerControls"/>
    </DossierName_0>
    <DocumentVersion xmlns="56a5413d-c261-4a00-870c-a20d3379ae6d">0</Documen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21F261A008CE24F831780CB6038A2FC" ma:contentTypeVersion="7" ma:contentTypeDescription="Defines the documents for Document Manager V2" ma:contentTypeScope="" ma:versionID="ce575392270fc4a02e7835de5cc3fd62">
  <xsd:schema xmlns:xsd="http://www.w3.org/2001/XMLSchema" xmlns:xs="http://www.w3.org/2001/XMLSchema" xmlns:p="http://schemas.microsoft.com/office/2006/metadata/properties" xmlns:ns2="56a5413d-c261-4a00-870c-a20d3379ae6d" xmlns:ns3="http://schemas.microsoft.com/sharepoint/v3/fields" xmlns:ns4="9a0d858a-c769-47b2-a4d1-2992261f5e4d" targetNamespace="http://schemas.microsoft.com/office/2006/metadata/properties" ma:root="true" ma:fieldsID="3573aae98f46cf99a59b5abbcb13634c" ns2:_="" ns3:_="" ns4:_="">
    <xsd:import namespace="56a5413d-c261-4a00-870c-a20d3379ae6d"/>
    <xsd:import namespace="http://schemas.microsoft.com/sharepoint/v3/fields"/>
    <xsd:import namespace="9a0d858a-c769-47b2-a4d1-2992261f5e4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0d858a-c769-47b2-a4d1-2992261f5e4d"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B24522-CD45-4618-B7B1-A525A2C1CC0C}"/>
</file>

<file path=customXml/itemProps2.xml><?xml version="1.0" encoding="utf-8"?>
<ds:datastoreItem xmlns:ds="http://schemas.openxmlformats.org/officeDocument/2006/customXml" ds:itemID="{B6CF77BC-D5FA-4CB7-9BA1-E1014A5CDFF7}"/>
</file>

<file path=customXml/itemProps3.xml><?xml version="1.0" encoding="utf-8"?>
<ds:datastoreItem xmlns:ds="http://schemas.openxmlformats.org/officeDocument/2006/customXml" ds:itemID="{118398E8-00E8-4AA6-96FE-C3F1F63B7899}"/>
</file>

<file path=customXml/itemProps4.xml><?xml version="1.0" encoding="utf-8"?>
<ds:datastoreItem xmlns:ds="http://schemas.openxmlformats.org/officeDocument/2006/customXml" ds:itemID="{A54465DA-6693-40D8-B6C3-53249E2BCED2}"/>
</file>

<file path=docProps/app.xml><?xml version="1.0" encoding="utf-8"?>
<Properties xmlns="http://schemas.openxmlformats.org/officeDocument/2006/extended-properties" xmlns:vt="http://schemas.openxmlformats.org/officeDocument/2006/docPropsVTypes">
  <Template>Normal</Template>
  <TotalTime>153</TotalTime>
  <Pages>20</Pages>
  <Words>11699</Words>
  <Characters>64345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Summary of opinions - 580th Plenary Session - July 2023</vt:lpstr>
    </vt:vector>
  </TitlesOfParts>
  <Company>CESE-CdR</Company>
  <LinksUpToDate>false</LinksUpToDate>
  <CharactersWithSpaces>75893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- 581e session plénière - septembre 2023 </dc:title>
  <dc:subject>TCD</dc:subject>
  <dc:creator>Nieddu Emma</dc:creator>
  <cp:keywords>EESC-2023-03625-00-00-TCD-TRA-EN</cp:keywords>
  <dc:description>Rapporteur:  - Original language: EN - Date of document: 06-10-2023 - Date of meeting: 30-25-2023 14:30 - External documents:  - Administrator: MME TAMASAUSKIENE Julija</dc:description>
  <cp:lastModifiedBy>Antunes Cristiano</cp:lastModifiedBy>
  <cp:revision>32</cp:revision>
  <cp:lastPrinted>2023-06-15T08:00:00Z</cp:lastPrinted>
  <dcterms:created xsi:type="dcterms:W3CDTF">2023-09-25T15:23:00Z</dcterms:created>
  <dcterms:modified xsi:type="dcterms:W3CDTF">2023-10-06T08:55:00Z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25/09/2023, 25/07/2023, 30/06/2023, 23/06/2023, 26/05/2023, 07/03/2023, 11/01/2023, 10/01/2023, 29/03/2022, 04/03/2022, 15/12/2021, 13/09/2021, 03/09/2021, 28/06/2021</vt:lpwstr>
  </property>
  <property fmtid="{D5CDD505-2E9C-101B-9397-08002B2CF9AE}" pid="4" name="Pref_Time">
    <vt:lpwstr>16:07:19, 11:58:41, 14:00:08, 12:39:02, 15:12:50, 10:27:54, 10:12:15, 11:41:25, 14:21:50, 16:54:06, 17:56:36, 14:13:00, 10:08:10, 08:41:48</vt:lpwstr>
  </property>
  <property fmtid="{D5CDD505-2E9C-101B-9397-08002B2CF9AE}" pid="5" name="Pref_User">
    <vt:lpwstr>amett, jhvi, pacup, jhvi, pacup, enied, pacup, enied, jhvi, enied, hnic, amett, enied, enied</vt:lpwstr>
  </property>
  <property fmtid="{D5CDD505-2E9C-101B-9397-08002B2CF9AE}" pid="6" name="Pref_FileName">
    <vt:lpwstr>EESC-2023-03625-00-00-TCD-ORI.docx, EESC-2023-03078-00-00-TCD-TRA-EN-CRR.docx, EESC-2023-02218-00-01-TCD-TRA.docx, EESC-2023-02218-00-00-TCD-ORI.docx, EESC-2023-01891-00-00-TCD-TRA.docx, EESC-2023-00570-00-00-TCD-ORI.docx, EESC-2022-05401-00-01-TCD-TRA.do</vt:lpwstr>
  </property>
  <property fmtid="{D5CDD505-2E9C-101B-9397-08002B2CF9AE}" pid="7" name="ContentTypeId">
    <vt:lpwstr>0x010100EA97B91038054C99906057A708A1480A00F21F261A008CE24F831780CB6038A2FC</vt:lpwstr>
  </property>
  <property fmtid="{D5CDD505-2E9C-101B-9397-08002B2CF9AE}" pid="8" name="_dlc_DocIdItemGuid">
    <vt:lpwstr>9e4586ba-9e28-4e03-a906-3a4b50880445</vt:lpwstr>
  </property>
  <property fmtid="{D5CDD505-2E9C-101B-9397-08002B2CF9AE}" pid="9" name="AvailableTranslations">
    <vt:lpwstr>37;#CS|72f9705b-0217-4fd3-bea2-cbc7ed80e26e;#25;#ES|e7a6b05b-ae16-40c8-add9-68b64b03aeba;#10;#FR|d2afafd3-4c81-4f60-8f52-ee33f2f54ff3;#42;#FI|87606a43-d45f-42d6-b8c9-e1a3457db5b7;#39;#LT|a7ff5ce7-6123-4f68-865a-a57c31810414;#34;#SK|46d9fce0-ef79-4f71-b89b-cd6aa82426b8;#5;#EN|f2175f21-25d7-44a3-96da-d6a61b075e1b;#33;#LV|46f7e311-5d9f-4663-b433-18aeccb7ace7;#35;#SL|98a412ae-eb01-49e9-ae3d-585a81724cfc;#21;#SV|c2ed69e7-a339-43d7-8f22-d93680a92aa0;#24;#PL|1e03da61-4678-4e07-b136-b5024ca9197b;#44;#BG|1a1b3951-7821-4e6a-85f5-5673fc08bd2c;#43;#DA|5d49c027-8956-412b-aa16-e85a0f96ad0e;#40;#RO|feb747a2-64cd-4299-af12-4833ddc30497;#30;#IT|0774613c-01ed-4e5d-a25d-11d2388de825;#32;#PT|50ccc04a-eadd-42ae-a0cb-acaf45f812ba;#16;#DE|f6b31e5a-26fa-4935-b661-318e46daf27e;#31;#NL|55c6556c-b4f4-441d-9acf-c498d4f838bd;#38;#EL|6d4f4d51-af9b-4650-94b4-4276bee85c91;#41;#HU|6b229040-c589-4408-b4c1-4285663d20a8;#45;#ET|ff6c3f4c-b02c-4c3c-ab07-2c37995a7a0a;#46;#HR|2f555653-ed1a-4fe6-8362-9082d95989e5</vt:lpwstr>
  </property>
  <property fmtid="{D5CDD505-2E9C-101B-9397-08002B2CF9AE}" pid="10" name="DocumentType_0">
    <vt:lpwstr>TCD|cd9d6eb6-3f4f-424a-b2d1-57c9d450eaaf</vt:lpwstr>
  </property>
  <property fmtid="{D5CDD505-2E9C-101B-9397-08002B2CF9AE}" pid="12" name="DocumentSource_0">
    <vt:lpwstr>EESC|422833ec-8d7e-4e65-8e4e-8bed07ffb729</vt:lpwstr>
  </property>
  <property fmtid="{D5CDD505-2E9C-101B-9397-08002B2CF9AE}" pid="13" name="ProductionDate">
    <vt:filetime>2023-10-06T12:00:00Z</vt:filetime>
  </property>
  <property fmtid="{D5CDD505-2E9C-101B-9397-08002B2CF9AE}" pid="14" name="DocumentNumber">
    <vt:i4>3625</vt:i4>
  </property>
  <property fmtid="{D5CDD505-2E9C-101B-9397-08002B2CF9AE}" pid="16" name="DocumentStatus">
    <vt:lpwstr>3;#TRA|150d2a88-1431-44e6-a8ca-0bb753ab8672</vt:lpwstr>
  </property>
  <property fmtid="{D5CDD505-2E9C-101B-9397-08002B2CF9AE}" pid="17" name="DossierName">
    <vt:lpwstr/>
  </property>
  <property fmtid="{D5CDD505-2E9C-101B-9397-08002B2CF9AE}" pid="19" name="Confidentiality_0">
    <vt:lpwstr>Unrestricted|826e22d7-d029-4ec0-a450-0c28ff673572</vt:lpwstr>
  </property>
  <property fmtid="{D5CDD505-2E9C-101B-9397-08002B2CF9AE}" pid="20" name="Confidentiality">
    <vt:lpwstr>9;#Unrestricted|826e22d7-d029-4ec0-a450-0c28ff673572</vt:lpwstr>
  </property>
  <property fmtid="{D5CDD505-2E9C-101B-9397-08002B2CF9AE}" pid="21" name="OriginalLanguage">
    <vt:lpwstr>5;#EN|f2175f21-25d7-44a3-96da-d6a61b075e1b</vt:lpwstr>
  </property>
  <property fmtid="{D5CDD505-2E9C-101B-9397-08002B2CF9AE}" pid="22" name="MeetingName">
    <vt:lpwstr>59;#SPL-CES|32d8cb1f-c9ec-4365-95c7-8385a18618ac</vt:lpwstr>
  </property>
  <property fmtid="{D5CDD505-2E9C-101B-9397-08002B2CF9AE}" pid="23" name="MeetingDate">
    <vt:filetime>2023-10-25T12:00:00Z</vt:filetime>
  </property>
  <property fmtid="{D5CDD505-2E9C-101B-9397-08002B2CF9AE}" pid="24" name="TaxCatchAll">
    <vt:lpwstr>35;#SL|98a412ae-eb01-49e9-ae3d-585a81724cfc;#33;#LV|46f7e311-5d9f-4663-b433-18aeccb7ace7;#32;#PT|50ccc04a-eadd-42ae-a0cb-acaf45f812ba;#31;#NL|55c6556c-b4f4-441d-9acf-c498d4f838bd;#30;#IT|0774613c-01ed-4e5d-a25d-11d2388de825;#25;#ES|e7a6b05b-ae16-40c8-add9-68b64b03aeba;#24;#PL|1e03da61-4678-4e07-b136-b5024ca9197b;#59;#SPL-CES|32d8cb1f-c9ec-4365-95c7-8385a18618ac;#21;#SV|c2ed69e7-a339-43d7-8f22-d93680a92aa0;#45;#ET|ff6c3f4c-b02c-4c3c-ab07-2c37995a7a0a;#16;#DE|f6b31e5a-26fa-4935-b661-318e46daf27e;#46;#HR|2f555653-ed1a-4fe6-8362-9082d95989e5;#40;#RO|feb747a2-64cd-4299-af12-4833ddc30497;#9;#Unrestricted|826e22d7-d029-4ec0-a450-0c28ff673572;#8;#TCD|cd9d6eb6-3f4f-424a-b2d1-57c9d450eaaf;#7;#Final|ea5e6674-7b27-4bac-b091-73adbb394efe;#43;#DA|5d49c027-8956-412b-aa16-e85a0f96ad0e;#5;#EN|f2175f21-25d7-44a3-96da-d6a61b075e1b;#41;#HU|6b229040-c589-4408-b4c1-4285663d20a8;#3;#TRA|150d2a88-1431-44e6-a8ca-0bb753ab8672;#1;#EESC|422833ec-8d7e-4e65-8e4e-8bed07ffb729;#37;#CS|72f9705b-0217-4fd3-bea2-cbc7ed80e26e</vt:lpwstr>
  </property>
  <property fmtid="{D5CDD505-2E9C-101B-9397-08002B2CF9AE}" pid="25" name="DocumentLanguage_0">
    <vt:lpwstr>FR|d2afafd3-4c81-4f60-8f52-ee33f2f54ff3</vt:lpwstr>
  </property>
  <property fmtid="{D5CDD505-2E9C-101B-9397-08002B2CF9AE}" pid="26" name="VersionStatus_0">
    <vt:lpwstr>Final|ea5e6674-7b27-4bac-b091-73adbb394efe</vt:lpwstr>
  </property>
  <property fmtid="{D5CDD505-2E9C-101B-9397-08002B2CF9AE}" pid="27" name="VersionStatus">
    <vt:lpwstr>7;#Final|ea5e6674-7b27-4bac-b091-73adbb394efe</vt:lpwstr>
  </property>
  <property fmtid="{D5CDD505-2E9C-101B-9397-08002B2CF9AE}" pid="29" name="DocumentYear">
    <vt:i4>2023</vt:i4>
  </property>
  <property fmtid="{D5CDD505-2E9C-101B-9397-08002B2CF9AE}" pid="30" name="FicheNumber">
    <vt:i4>10699</vt:i4>
  </property>
  <property fmtid="{D5CDD505-2E9C-101B-9397-08002B2CF9AE}" pid="31" name="OriginalSender">
    <vt:lpwstr>770;#Antunes Cristiano</vt:lpwstr>
  </property>
  <property fmtid="{D5CDD505-2E9C-101B-9397-08002B2CF9AE}" pid="32" name="DocumentType">
    <vt:lpwstr>8;#TCD|cd9d6eb6-3f4f-424a-b2d1-57c9d450eaaf</vt:lpwstr>
  </property>
  <property fmtid="{D5CDD505-2E9C-101B-9397-08002B2CF9AE}" pid="33" name="DocumentPart">
    <vt:i4>0</vt:i4>
  </property>
  <property fmtid="{D5CDD505-2E9C-101B-9397-08002B2CF9AE}" pid="34" name="DocumentSource">
    <vt:lpwstr>1;#EESC|422833ec-8d7e-4e65-8e4e-8bed07ffb729</vt:lpwstr>
  </property>
  <property fmtid="{D5CDD505-2E9C-101B-9397-08002B2CF9AE}" pid="36" name="RequestingService">
    <vt:lpwstr>Greffe</vt:lpwstr>
  </property>
  <property fmtid="{D5CDD505-2E9C-101B-9397-08002B2CF9AE}" pid="37" name="MeetingName_0">
    <vt:lpwstr>SPL-CES|32d8cb1f-c9ec-4365-95c7-8385a18618ac</vt:lpwstr>
  </property>
  <property fmtid="{D5CDD505-2E9C-101B-9397-08002B2CF9AE}" pid="38" name="DocumentLanguage">
    <vt:lpwstr>10;#FR|d2afafd3-4c81-4f60-8f52-ee33f2f54ff3</vt:lpwstr>
  </property>
  <property fmtid="{D5CDD505-2E9C-101B-9397-08002B2CF9AE}" pid="39" name="AvailableTranslations_0">
    <vt:lpwstr>CS|72f9705b-0217-4fd3-bea2-cbc7ed80e26e;ES|e7a6b05b-ae16-40c8-add9-68b64b03aeba;EN|f2175f21-25d7-44a3-96da-d6a61b075e1b;LV|46f7e311-5d9f-4663-b433-18aeccb7ace7;SL|98a412ae-eb01-49e9-ae3d-585a81724cfc;SV|c2ed69e7-a339-43d7-8f22-d93680a92aa0;PL|1e03da61-4678-4e07-b136-b5024ca9197b;DA|5d49c027-8956-412b-aa16-e85a0f96ad0e;RO|feb747a2-64cd-4299-af12-4833ddc30497;IT|0774613c-01ed-4e5d-a25d-11d2388de825;PT|50ccc04a-eadd-42ae-a0cb-acaf45f812ba;DE|f6b31e5a-26fa-4935-b661-318e46daf27e;NL|55c6556c-b4f4-441d-9acf-c498d4f838bd;HU|6b229040-c589-4408-b4c1-4285663d20a8;ET|ff6c3f4c-b02c-4c3c-ab07-2c37995a7a0a;HR|2f555653-ed1a-4fe6-8362-9082d95989e5</vt:lpwstr>
  </property>
  <property fmtid="{D5CDD505-2E9C-101B-9397-08002B2CF9AE}" pid="40" name="DocumentStatus_0">
    <vt:lpwstr>TRA|150d2a88-1431-44e6-a8ca-0bb753ab8672</vt:lpwstr>
  </property>
  <property fmtid="{D5CDD505-2E9C-101B-9397-08002B2CF9AE}" pid="41" name="OriginalLanguage_0">
    <vt:lpwstr>EN|f2175f21-25d7-44a3-96da-d6a61b075e1b</vt:lpwstr>
  </property>
  <property fmtid="{D5CDD505-2E9C-101B-9397-08002B2CF9AE}" pid="42" name="MeetingNumber">
    <vt:i4>582</vt:i4>
  </property>
  <property fmtid="{D5CDD505-2E9C-101B-9397-08002B2CF9AE}" pid="44" name="DocumentVersion">
    <vt:i4>0</vt:i4>
  </property>
  <property fmtid="{D5CDD505-2E9C-101B-9397-08002B2CF9AE}" pid="50" name="DossierName_0">
    <vt:lpwstr/>
  </property>
</Properties>
</file>