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0A45" w14:textId="28EB34C0" w:rsidR="000F0E92" w:rsidRPr="00652FD0" w:rsidRDefault="002310A0" w:rsidP="000F0E92">
      <w:pPr>
        <w:spacing w:line="276" w:lineRule="auto"/>
        <w:jc w:val="center"/>
        <w:rPr>
          <w:b/>
          <w:bCs/>
        </w:rPr>
      </w:pPr>
      <w:r>
        <w:rPr>
          <w:noProof/>
          <w:lang w:val="en-US"/>
        </w:rPr>
        <w:drawing>
          <wp:inline distT="0" distB="0" distL="0" distR="0" wp14:anchorId="23B762D5" wp14:editId="4D5759F9">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00D34C02" w:rsidRPr="00652FD0">
        <w:rPr>
          <w:b/>
          <w:bCs/>
          <w:noProof/>
          <w:sz w:val="20"/>
          <w:lang w:val="en-US"/>
        </w:rPr>
        <mc:AlternateContent>
          <mc:Choice Requires="wps">
            <w:drawing>
              <wp:anchor distT="0" distB="0" distL="114300" distR="114300" simplePos="0" relativeHeight="251659264" behindDoc="1" locked="0" layoutInCell="0" allowOverlap="1" wp14:anchorId="7D2D0282" wp14:editId="42C63DD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685C" w14:textId="77777777" w:rsidR="00D34C02" w:rsidRPr="00260E65" w:rsidRDefault="00D34C0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D0282"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CA4685C" w14:textId="77777777" w:rsidR="00D34C02" w:rsidRPr="00260E65" w:rsidRDefault="00D34C02">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3ABE4BBF" w14:textId="5973C8D4" w:rsidR="000F0E92" w:rsidRPr="00652FD0" w:rsidRDefault="000F0E92" w:rsidP="009462B5">
      <w:pPr>
        <w:spacing w:line="276" w:lineRule="auto"/>
        <w:jc w:val="center"/>
        <w:rPr>
          <w:b/>
          <w:bCs/>
        </w:rPr>
      </w:pPr>
    </w:p>
    <w:p w14:paraId="4381CBEF" w14:textId="795DCAC1" w:rsidR="002918A4" w:rsidRPr="009462B5" w:rsidRDefault="004421B6" w:rsidP="00A855F8">
      <w:pPr>
        <w:spacing w:line="276" w:lineRule="auto"/>
        <w:jc w:val="center"/>
        <w:rPr>
          <w:b/>
          <w:color w:val="0000CC"/>
          <w:sz w:val="28"/>
          <w:szCs w:val="28"/>
        </w:rPr>
      </w:pPr>
      <w:bookmarkStart w:id="0" w:name="_Hlk150937290"/>
      <w:r w:rsidRPr="00652FD0">
        <w:rPr>
          <w:b/>
          <w:color w:val="0000CC"/>
          <w:sz w:val="28"/>
          <w:szCs w:val="28"/>
        </w:rPr>
        <w:t>Priorities</w:t>
      </w:r>
      <w:r w:rsidR="002918A4" w:rsidRPr="00652FD0">
        <w:rPr>
          <w:b/>
          <w:color w:val="0000CC"/>
          <w:sz w:val="28"/>
          <w:szCs w:val="28"/>
        </w:rPr>
        <w:t xml:space="preserve"> </w:t>
      </w:r>
      <w:r w:rsidR="00603A8D" w:rsidRPr="00652FD0">
        <w:rPr>
          <w:b/>
          <w:color w:val="0000CC"/>
          <w:sz w:val="28"/>
          <w:szCs w:val="28"/>
        </w:rPr>
        <w:t xml:space="preserve">and </w:t>
      </w:r>
      <w:r w:rsidR="001364F5" w:rsidRPr="00652FD0">
        <w:rPr>
          <w:b/>
          <w:color w:val="0000CC"/>
          <w:sz w:val="28"/>
          <w:szCs w:val="28"/>
        </w:rPr>
        <w:t>w</w:t>
      </w:r>
      <w:r w:rsidR="00603A8D" w:rsidRPr="00652FD0">
        <w:rPr>
          <w:b/>
          <w:color w:val="0000CC"/>
          <w:sz w:val="28"/>
          <w:szCs w:val="28"/>
        </w:rPr>
        <w:t xml:space="preserve">orking methods </w:t>
      </w:r>
      <w:r w:rsidR="00D34C02" w:rsidRPr="00652FD0">
        <w:rPr>
          <w:b/>
          <w:color w:val="0000CC"/>
          <w:sz w:val="28"/>
          <w:szCs w:val="28"/>
        </w:rPr>
        <w:br/>
      </w:r>
      <w:r w:rsidR="002918A4" w:rsidRPr="00652FD0">
        <w:rPr>
          <w:b/>
          <w:color w:val="0000CC"/>
          <w:sz w:val="28"/>
          <w:szCs w:val="28"/>
        </w:rPr>
        <w:t>of the Labour Market Obse</w:t>
      </w:r>
      <w:r w:rsidR="00A47A86" w:rsidRPr="00652FD0">
        <w:rPr>
          <w:b/>
          <w:color w:val="0000CC"/>
          <w:sz w:val="28"/>
          <w:szCs w:val="28"/>
        </w:rPr>
        <w:t>r</w:t>
      </w:r>
      <w:r w:rsidR="002918A4" w:rsidRPr="00652FD0">
        <w:rPr>
          <w:b/>
          <w:color w:val="0000CC"/>
          <w:sz w:val="28"/>
          <w:szCs w:val="28"/>
        </w:rPr>
        <w:t>vatory (LMO)</w:t>
      </w:r>
      <w:bookmarkEnd w:id="0"/>
      <w:r w:rsidR="00D34C02" w:rsidRPr="00652FD0">
        <w:rPr>
          <w:b/>
          <w:color w:val="0000CC"/>
          <w:sz w:val="28"/>
          <w:szCs w:val="28"/>
        </w:rPr>
        <w:br/>
      </w:r>
      <w:r w:rsidR="002918A4" w:rsidRPr="00652FD0">
        <w:rPr>
          <w:b/>
          <w:color w:val="0000CC"/>
          <w:sz w:val="28"/>
          <w:szCs w:val="28"/>
        </w:rPr>
        <w:t>in the 202</w:t>
      </w:r>
      <w:r w:rsidR="00CD5D82" w:rsidRPr="00652FD0">
        <w:rPr>
          <w:b/>
          <w:color w:val="0000CC"/>
          <w:sz w:val="28"/>
          <w:szCs w:val="28"/>
        </w:rPr>
        <w:t>3</w:t>
      </w:r>
      <w:r w:rsidR="002918A4" w:rsidRPr="00652FD0">
        <w:rPr>
          <w:b/>
          <w:color w:val="0000CC"/>
          <w:sz w:val="28"/>
          <w:szCs w:val="28"/>
        </w:rPr>
        <w:t xml:space="preserve"> – 202</w:t>
      </w:r>
      <w:r w:rsidR="00CD5D82" w:rsidRPr="00652FD0">
        <w:rPr>
          <w:b/>
          <w:color w:val="0000CC"/>
          <w:sz w:val="28"/>
          <w:szCs w:val="28"/>
        </w:rPr>
        <w:t>5</w:t>
      </w:r>
      <w:r w:rsidR="002918A4" w:rsidRPr="00652FD0">
        <w:rPr>
          <w:b/>
          <w:color w:val="0000CC"/>
          <w:sz w:val="28"/>
          <w:szCs w:val="28"/>
        </w:rPr>
        <w:t xml:space="preserve"> half-term of office</w:t>
      </w:r>
    </w:p>
    <w:p w14:paraId="5385864E" w14:textId="447E4D61" w:rsidR="00FB0EC6" w:rsidRPr="00652FD0" w:rsidRDefault="00FB0EC6" w:rsidP="00A855F8">
      <w:pPr>
        <w:spacing w:line="276" w:lineRule="auto"/>
        <w:jc w:val="center"/>
        <w:rPr>
          <w:b/>
          <w:bCs/>
        </w:rPr>
      </w:pPr>
    </w:p>
    <w:p w14:paraId="70D5FEAC" w14:textId="52333B45" w:rsidR="002918A4" w:rsidRPr="00652FD0" w:rsidRDefault="002918A4" w:rsidP="009462B5"/>
    <w:p w14:paraId="75072C18" w14:textId="77777777" w:rsidR="00F83C1B" w:rsidRPr="00652FD0" w:rsidRDefault="00F83C1B" w:rsidP="009462B5"/>
    <w:p w14:paraId="6F2B0229" w14:textId="1E383AC3" w:rsidR="003F1CAA" w:rsidRPr="009462B5" w:rsidRDefault="00CD5D82" w:rsidP="009462B5">
      <w:pPr>
        <w:pStyle w:val="ListParagraph"/>
        <w:numPr>
          <w:ilvl w:val="0"/>
          <w:numId w:val="51"/>
        </w:numPr>
        <w:ind w:left="567" w:hanging="567"/>
        <w:rPr>
          <w:b/>
          <w:bCs/>
          <w:color w:val="0000CC"/>
          <w:sz w:val="28"/>
          <w:szCs w:val="28"/>
        </w:rPr>
      </w:pPr>
      <w:r w:rsidRPr="009462B5">
        <w:rPr>
          <w:b/>
          <w:bCs/>
          <w:color w:val="0000CC"/>
          <w:sz w:val="28"/>
          <w:szCs w:val="28"/>
        </w:rPr>
        <w:t>Background information</w:t>
      </w:r>
    </w:p>
    <w:p w14:paraId="789CF884" w14:textId="77777777" w:rsidR="003F1CAA" w:rsidRPr="00652FD0" w:rsidRDefault="003F1CAA" w:rsidP="009462B5"/>
    <w:p w14:paraId="038F6B9C" w14:textId="3FE0E09E" w:rsidR="001F3661" w:rsidRDefault="001F3661" w:rsidP="009462B5">
      <w:r w:rsidRPr="00652FD0">
        <w:t>The Labour Market Observatory (LMO) was set up in 2007</w:t>
      </w:r>
      <w:r w:rsidRPr="009462B5">
        <w:rPr>
          <w:rStyle w:val="FootnoteReference"/>
          <w:szCs w:val="24"/>
        </w:rPr>
        <w:footnoteReference w:id="1"/>
      </w:r>
      <w:r w:rsidRPr="00652FD0">
        <w:t xml:space="preserve"> with the </w:t>
      </w:r>
      <w:r w:rsidRPr="00652FD0">
        <w:rPr>
          <w:b/>
        </w:rPr>
        <w:t>mandate</w:t>
      </w:r>
      <w:r w:rsidRPr="00652FD0">
        <w:t xml:space="preserve"> to "identify and analyse labour market trends and challenges, bringing added value to the work of the SOC section and the Committee". The Observatory operates within, and reports to, the SOC section and carries out the following activities:</w:t>
      </w:r>
    </w:p>
    <w:p w14:paraId="3115D375" w14:textId="77777777" w:rsidR="003E1512" w:rsidRPr="00652FD0" w:rsidRDefault="003E1512" w:rsidP="009462B5"/>
    <w:p w14:paraId="301FEE0E" w14:textId="77777777" w:rsidR="001F3661" w:rsidRPr="00652FD0" w:rsidRDefault="001F3661" w:rsidP="009462B5">
      <w:pPr>
        <w:numPr>
          <w:ilvl w:val="0"/>
          <w:numId w:val="1"/>
        </w:numPr>
        <w:overflowPunct w:val="0"/>
        <w:autoSpaceDE w:val="0"/>
        <w:autoSpaceDN w:val="0"/>
        <w:adjustRightInd w:val="0"/>
        <w:ind w:left="714" w:hanging="357"/>
        <w:textAlignment w:val="baseline"/>
      </w:pPr>
      <w:r w:rsidRPr="00652FD0">
        <w:t xml:space="preserve">observing labour market challenges and trends; </w:t>
      </w:r>
    </w:p>
    <w:p w14:paraId="53FC5345" w14:textId="77777777" w:rsidR="001F3661" w:rsidRPr="00652FD0" w:rsidRDefault="001F3661" w:rsidP="009462B5">
      <w:pPr>
        <w:numPr>
          <w:ilvl w:val="0"/>
          <w:numId w:val="1"/>
        </w:numPr>
        <w:overflowPunct w:val="0"/>
        <w:autoSpaceDE w:val="0"/>
        <w:autoSpaceDN w:val="0"/>
        <w:adjustRightInd w:val="0"/>
        <w:ind w:left="714" w:hanging="357"/>
        <w:textAlignment w:val="baseline"/>
      </w:pPr>
      <w:r w:rsidRPr="00652FD0">
        <w:t>collecting examples of best practices;</w:t>
      </w:r>
    </w:p>
    <w:p w14:paraId="12136326" w14:textId="77777777" w:rsidR="001F3661" w:rsidRPr="00652FD0" w:rsidRDefault="001F3661" w:rsidP="009462B5">
      <w:pPr>
        <w:numPr>
          <w:ilvl w:val="0"/>
          <w:numId w:val="1"/>
        </w:numPr>
        <w:overflowPunct w:val="0"/>
        <w:autoSpaceDE w:val="0"/>
        <w:autoSpaceDN w:val="0"/>
        <w:adjustRightInd w:val="0"/>
        <w:ind w:left="714" w:hanging="357"/>
        <w:textAlignment w:val="baseline"/>
      </w:pPr>
      <w:r w:rsidRPr="00652FD0">
        <w:t>stimulating discussion by organising hearings with institutional and socio-professional stakeholders, civil society organisations and academia;</w:t>
      </w:r>
    </w:p>
    <w:p w14:paraId="0CCF5D8F" w14:textId="77777777" w:rsidR="001F3661" w:rsidRPr="00652FD0" w:rsidRDefault="001F3661" w:rsidP="009462B5">
      <w:pPr>
        <w:numPr>
          <w:ilvl w:val="0"/>
          <w:numId w:val="1"/>
        </w:numPr>
        <w:overflowPunct w:val="0"/>
        <w:autoSpaceDE w:val="0"/>
        <w:autoSpaceDN w:val="0"/>
        <w:adjustRightInd w:val="0"/>
        <w:ind w:left="714" w:hanging="357"/>
        <w:textAlignment w:val="baseline"/>
      </w:pPr>
      <w:r w:rsidRPr="00652FD0">
        <w:t>producing pro-active investigative reports or studies on selected topics;</w:t>
      </w:r>
    </w:p>
    <w:p w14:paraId="0A44E5A2" w14:textId="77777777" w:rsidR="001F3661" w:rsidRPr="00652FD0" w:rsidRDefault="001F3661" w:rsidP="009462B5">
      <w:pPr>
        <w:numPr>
          <w:ilvl w:val="0"/>
          <w:numId w:val="1"/>
        </w:numPr>
        <w:overflowPunct w:val="0"/>
        <w:autoSpaceDE w:val="0"/>
        <w:autoSpaceDN w:val="0"/>
        <w:adjustRightInd w:val="0"/>
        <w:ind w:left="714" w:hanging="357"/>
        <w:textAlignment w:val="baseline"/>
      </w:pPr>
      <w:r w:rsidRPr="00652FD0">
        <w:t>analysing cross-cutting issues.</w:t>
      </w:r>
    </w:p>
    <w:p w14:paraId="102A318D" w14:textId="77777777" w:rsidR="001F3661" w:rsidRPr="00652FD0" w:rsidRDefault="001F3661" w:rsidP="009462B5"/>
    <w:p w14:paraId="3D9BFEF1" w14:textId="33800D3B" w:rsidR="00D80683" w:rsidRPr="00652FD0" w:rsidRDefault="00D80683" w:rsidP="009462B5">
      <w:r w:rsidRPr="00652FD0">
        <w:t xml:space="preserve">The LMO is composed of </w:t>
      </w:r>
      <w:r w:rsidRPr="00652FD0">
        <w:rPr>
          <w:b/>
        </w:rPr>
        <w:t xml:space="preserve">24 members </w:t>
      </w:r>
      <w:r w:rsidRPr="00652FD0">
        <w:t xml:space="preserve">(see Appendix </w:t>
      </w:r>
      <w:r w:rsidR="00E373DB" w:rsidRPr="00652FD0">
        <w:t>1</w:t>
      </w:r>
      <w:r w:rsidRPr="00652FD0">
        <w:t xml:space="preserve">), including a president and two vice-presidents, rotating every two and a half years between the three groups. </w:t>
      </w:r>
      <w:proofErr w:type="spellStart"/>
      <w:r w:rsidRPr="006275A4">
        <w:rPr>
          <w:lang w:val="pt-PT"/>
        </w:rPr>
        <w:t>The</w:t>
      </w:r>
      <w:proofErr w:type="spellEnd"/>
      <w:r w:rsidRPr="006275A4">
        <w:rPr>
          <w:lang w:val="pt-PT"/>
        </w:rPr>
        <w:t xml:space="preserve"> </w:t>
      </w:r>
      <w:proofErr w:type="spellStart"/>
      <w:r w:rsidRPr="006275A4">
        <w:rPr>
          <w:lang w:val="pt-PT"/>
        </w:rPr>
        <w:t>current</w:t>
      </w:r>
      <w:proofErr w:type="spellEnd"/>
      <w:r w:rsidRPr="006275A4">
        <w:rPr>
          <w:lang w:val="pt-PT"/>
        </w:rPr>
        <w:t xml:space="preserve"> </w:t>
      </w:r>
      <w:proofErr w:type="spellStart"/>
      <w:r w:rsidRPr="006275A4">
        <w:rPr>
          <w:b/>
          <w:lang w:val="pt-PT"/>
        </w:rPr>
        <w:t>president</w:t>
      </w:r>
      <w:proofErr w:type="spellEnd"/>
      <w:r w:rsidRPr="006275A4">
        <w:rPr>
          <w:b/>
          <w:lang w:val="pt-PT"/>
        </w:rPr>
        <w:t xml:space="preserve"> </w:t>
      </w:r>
      <w:proofErr w:type="spellStart"/>
      <w:r w:rsidRPr="006275A4">
        <w:rPr>
          <w:b/>
          <w:lang w:val="pt-PT"/>
        </w:rPr>
        <w:t>is</w:t>
      </w:r>
      <w:proofErr w:type="spellEnd"/>
      <w:r w:rsidRPr="006275A4">
        <w:rPr>
          <w:b/>
          <w:lang w:val="pt-PT"/>
        </w:rPr>
        <w:t xml:space="preserve"> Carlos Manuel Trindade (Portugal, </w:t>
      </w:r>
      <w:proofErr w:type="spellStart"/>
      <w:r w:rsidRPr="006275A4">
        <w:rPr>
          <w:b/>
          <w:lang w:val="pt-PT"/>
        </w:rPr>
        <w:t>Group</w:t>
      </w:r>
      <w:proofErr w:type="spellEnd"/>
      <w:r w:rsidRPr="006275A4">
        <w:rPr>
          <w:b/>
          <w:lang w:val="pt-PT"/>
        </w:rPr>
        <w:t xml:space="preserve"> II). </w:t>
      </w:r>
      <w:r w:rsidRPr="00652FD0">
        <w:rPr>
          <w:b/>
        </w:rPr>
        <w:t>The vice-presidents are Lech Pilawski (Poland, Group I) and Kinga Joó (Hungary, Group III)</w:t>
      </w:r>
      <w:r w:rsidRPr="00652FD0">
        <w:t xml:space="preserve">. </w:t>
      </w:r>
    </w:p>
    <w:p w14:paraId="679C8593" w14:textId="7ABD42A6" w:rsidR="00D80683" w:rsidRPr="00652FD0" w:rsidRDefault="00D80683" w:rsidP="009462B5"/>
    <w:p w14:paraId="49B2C9DF" w14:textId="6BB10BE4" w:rsidR="00D80683" w:rsidRPr="00652FD0" w:rsidRDefault="00D80683" w:rsidP="009462B5">
      <w:r w:rsidRPr="00652FD0">
        <w:t>Following the EESC Bureau decision of</w:t>
      </w:r>
      <w:r w:rsidR="00CD5D82" w:rsidRPr="00652FD0">
        <w:t xml:space="preserve"> 21 February 2023</w:t>
      </w:r>
      <w:r w:rsidRPr="00652FD0">
        <w:t xml:space="preserve">, </w:t>
      </w:r>
      <w:r w:rsidRPr="00652FD0">
        <w:rPr>
          <w:b/>
          <w:bCs/>
        </w:rPr>
        <w:t xml:space="preserve">a sub-group of the Labour Market Observatory </w:t>
      </w:r>
      <w:r w:rsidR="00CD5D82" w:rsidRPr="00652FD0">
        <w:rPr>
          <w:b/>
          <w:bCs/>
        </w:rPr>
        <w:t>w</w:t>
      </w:r>
      <w:r w:rsidRPr="00652FD0">
        <w:rPr>
          <w:b/>
          <w:bCs/>
        </w:rPr>
        <w:t>as set up to coordinate EESC activities relating to the European Year of Skills</w:t>
      </w:r>
      <w:r w:rsidRPr="00652FD0">
        <w:t>. The sub-group is composed of nine members, of which six are members of the Labour Market Observatory</w:t>
      </w:r>
      <w:r w:rsidR="00CD5D82" w:rsidRPr="00652FD0">
        <w:t xml:space="preserve"> (see Appendix </w:t>
      </w:r>
      <w:r w:rsidR="00E373DB" w:rsidRPr="00652FD0">
        <w:t>1</w:t>
      </w:r>
      <w:r w:rsidR="00CD5D82" w:rsidRPr="00652FD0">
        <w:t>)</w:t>
      </w:r>
      <w:r w:rsidRPr="00652FD0">
        <w:t>.</w:t>
      </w:r>
      <w:r w:rsidR="00CD5D82" w:rsidRPr="00652FD0">
        <w:t xml:space="preserve"> The president of the sub-group is </w:t>
      </w:r>
      <w:r w:rsidR="00CD5D82" w:rsidRPr="00652FD0">
        <w:rPr>
          <w:b/>
          <w:bCs/>
        </w:rPr>
        <w:t xml:space="preserve">Michael McLoughlin (Ireland, </w:t>
      </w:r>
      <w:r w:rsidR="001364F5" w:rsidRPr="00652FD0">
        <w:rPr>
          <w:b/>
          <w:bCs/>
        </w:rPr>
        <w:t>G</w:t>
      </w:r>
      <w:r w:rsidR="00CD5D82" w:rsidRPr="00652FD0">
        <w:rPr>
          <w:b/>
          <w:bCs/>
        </w:rPr>
        <w:t>roup III)</w:t>
      </w:r>
      <w:r w:rsidR="00CD5D82" w:rsidRPr="00652FD0">
        <w:t>.</w:t>
      </w:r>
      <w:r w:rsidR="00CD5D82" w:rsidRPr="00652FD0">
        <w:rPr>
          <w:b/>
          <w:bCs/>
        </w:rPr>
        <w:t xml:space="preserve"> </w:t>
      </w:r>
      <w:r w:rsidR="00CD5D82" w:rsidRPr="00652FD0">
        <w:t>The sub-group could be convened on LMO meeting days</w:t>
      </w:r>
      <w:r w:rsidR="00A154B8" w:rsidRPr="00652FD0">
        <w:t>,</w:t>
      </w:r>
      <w:r w:rsidR="00CD5D82" w:rsidRPr="00652FD0">
        <w:t xml:space="preserve"> additionally inviting any sub-group members who are not members of the LMO.</w:t>
      </w:r>
    </w:p>
    <w:p w14:paraId="36BEE42A" w14:textId="44D220F9" w:rsidR="00D80683" w:rsidRPr="00652FD0" w:rsidRDefault="00D80683" w:rsidP="009462B5"/>
    <w:p w14:paraId="426F7CF7" w14:textId="6E330D00" w:rsidR="000F1223" w:rsidRPr="00652FD0" w:rsidRDefault="00DE420E" w:rsidP="009462B5">
      <w:pPr>
        <w:pStyle w:val="ListParagraph"/>
        <w:keepNext/>
        <w:numPr>
          <w:ilvl w:val="0"/>
          <w:numId w:val="51"/>
        </w:numPr>
        <w:ind w:left="567" w:hanging="567"/>
        <w:rPr>
          <w:b/>
          <w:bCs/>
          <w:color w:val="0000CC"/>
          <w:sz w:val="28"/>
          <w:szCs w:val="28"/>
        </w:rPr>
      </w:pPr>
      <w:r w:rsidRPr="00652FD0">
        <w:rPr>
          <w:b/>
          <w:bCs/>
          <w:color w:val="0000CC"/>
          <w:sz w:val="28"/>
          <w:szCs w:val="28"/>
        </w:rPr>
        <w:lastRenderedPageBreak/>
        <w:t xml:space="preserve">Main </w:t>
      </w:r>
      <w:r w:rsidR="004421B6" w:rsidRPr="00652FD0">
        <w:rPr>
          <w:b/>
          <w:bCs/>
          <w:color w:val="0000CC"/>
          <w:sz w:val="28"/>
          <w:szCs w:val="28"/>
        </w:rPr>
        <w:t xml:space="preserve">priorities </w:t>
      </w:r>
      <w:r w:rsidRPr="00652FD0">
        <w:rPr>
          <w:b/>
          <w:bCs/>
          <w:color w:val="0000CC"/>
          <w:sz w:val="28"/>
          <w:szCs w:val="28"/>
        </w:rPr>
        <w:t>fo</w:t>
      </w:r>
      <w:r w:rsidR="00696827" w:rsidRPr="00652FD0">
        <w:rPr>
          <w:b/>
          <w:bCs/>
          <w:color w:val="0000CC"/>
          <w:sz w:val="28"/>
          <w:szCs w:val="28"/>
        </w:rPr>
        <w:t>r the 202</w:t>
      </w:r>
      <w:r w:rsidR="00D80683" w:rsidRPr="00652FD0">
        <w:rPr>
          <w:b/>
          <w:bCs/>
          <w:color w:val="0000CC"/>
          <w:sz w:val="28"/>
          <w:szCs w:val="28"/>
        </w:rPr>
        <w:t>3</w:t>
      </w:r>
      <w:r w:rsidR="00696827" w:rsidRPr="00652FD0">
        <w:rPr>
          <w:b/>
          <w:bCs/>
          <w:color w:val="0000CC"/>
          <w:sz w:val="28"/>
          <w:szCs w:val="28"/>
        </w:rPr>
        <w:t>-202</w:t>
      </w:r>
      <w:r w:rsidR="00D80683" w:rsidRPr="00652FD0">
        <w:rPr>
          <w:b/>
          <w:bCs/>
          <w:color w:val="0000CC"/>
          <w:sz w:val="28"/>
          <w:szCs w:val="28"/>
        </w:rPr>
        <w:t>5</w:t>
      </w:r>
      <w:r w:rsidR="00696827" w:rsidRPr="00652FD0">
        <w:rPr>
          <w:b/>
          <w:bCs/>
          <w:color w:val="0000CC"/>
          <w:sz w:val="28"/>
          <w:szCs w:val="28"/>
        </w:rPr>
        <w:t xml:space="preserve"> </w:t>
      </w:r>
      <w:r w:rsidR="004421B6" w:rsidRPr="00652FD0">
        <w:rPr>
          <w:b/>
          <w:bCs/>
          <w:color w:val="0000CC"/>
          <w:sz w:val="28"/>
          <w:szCs w:val="28"/>
        </w:rPr>
        <w:t xml:space="preserve">LMO </w:t>
      </w:r>
      <w:r w:rsidR="00696827" w:rsidRPr="00652FD0">
        <w:rPr>
          <w:b/>
          <w:bCs/>
          <w:color w:val="0000CC"/>
          <w:sz w:val="28"/>
          <w:szCs w:val="28"/>
        </w:rPr>
        <w:t>term of office</w:t>
      </w:r>
    </w:p>
    <w:p w14:paraId="65DB340D" w14:textId="77777777" w:rsidR="00CA1868" w:rsidRPr="00652FD0" w:rsidRDefault="00CA1868" w:rsidP="009462B5">
      <w:pPr>
        <w:pStyle w:val="WW-Standard"/>
        <w:keepNext/>
        <w:rPr>
          <w:szCs w:val="22"/>
        </w:rPr>
      </w:pPr>
    </w:p>
    <w:p w14:paraId="1120E3A0" w14:textId="1DA8E55A" w:rsidR="00DD7601" w:rsidRPr="00652FD0" w:rsidRDefault="00DD7601">
      <w:pPr>
        <w:pStyle w:val="WW-Standard"/>
        <w:rPr>
          <w:szCs w:val="22"/>
        </w:rPr>
      </w:pPr>
      <w:r w:rsidRPr="00652FD0">
        <w:rPr>
          <w:szCs w:val="22"/>
        </w:rPr>
        <w:t xml:space="preserve">The </w:t>
      </w:r>
      <w:r w:rsidR="004421B6" w:rsidRPr="00652FD0">
        <w:rPr>
          <w:szCs w:val="22"/>
        </w:rPr>
        <w:t>LMO priorities are</w:t>
      </w:r>
      <w:r w:rsidRPr="00652FD0">
        <w:rPr>
          <w:szCs w:val="22"/>
        </w:rPr>
        <w:t xml:space="preserve"> </w:t>
      </w:r>
      <w:r w:rsidR="00CC5E4B" w:rsidRPr="00652FD0">
        <w:rPr>
          <w:szCs w:val="22"/>
        </w:rPr>
        <w:t>drawn up</w:t>
      </w:r>
      <w:r w:rsidRPr="00652FD0">
        <w:rPr>
          <w:szCs w:val="22"/>
        </w:rPr>
        <w:t xml:space="preserve"> within the framework of the SOC section's priorities</w:t>
      </w:r>
      <w:r w:rsidR="004421B6" w:rsidRPr="00652FD0">
        <w:rPr>
          <w:rStyle w:val="FootnoteReference"/>
          <w:szCs w:val="22"/>
        </w:rPr>
        <w:footnoteReference w:id="2"/>
      </w:r>
      <w:r w:rsidRPr="00652FD0">
        <w:rPr>
          <w:szCs w:val="22"/>
        </w:rPr>
        <w:t xml:space="preserve"> and </w:t>
      </w:r>
      <w:r w:rsidR="00D80683" w:rsidRPr="00652FD0">
        <w:rPr>
          <w:szCs w:val="22"/>
        </w:rPr>
        <w:t xml:space="preserve">the </w:t>
      </w:r>
      <w:r w:rsidR="00D34C02" w:rsidRPr="00652FD0">
        <w:rPr>
          <w:szCs w:val="22"/>
        </w:rPr>
        <w:t>m</w:t>
      </w:r>
      <w:r w:rsidR="00D80683" w:rsidRPr="00652FD0">
        <w:rPr>
          <w:szCs w:val="22"/>
        </w:rPr>
        <w:t xml:space="preserve">anifesto </w:t>
      </w:r>
      <w:r w:rsidR="00AC6CBA" w:rsidRPr="00652FD0">
        <w:rPr>
          <w:szCs w:val="22"/>
        </w:rPr>
        <w:t>put forward by</w:t>
      </w:r>
      <w:r w:rsidR="00D80683" w:rsidRPr="00652FD0">
        <w:rPr>
          <w:szCs w:val="22"/>
        </w:rPr>
        <w:t xml:space="preserve"> EESC </w:t>
      </w:r>
      <w:r w:rsidR="00D34C02" w:rsidRPr="00652FD0">
        <w:rPr>
          <w:szCs w:val="22"/>
        </w:rPr>
        <w:t>p</w:t>
      </w:r>
      <w:r w:rsidR="00D80683" w:rsidRPr="00652FD0">
        <w:rPr>
          <w:szCs w:val="22"/>
        </w:rPr>
        <w:t xml:space="preserve">resident Oliver </w:t>
      </w:r>
      <w:proofErr w:type="spellStart"/>
      <w:r w:rsidR="00D80683" w:rsidRPr="00652FD0">
        <w:rPr>
          <w:szCs w:val="22"/>
        </w:rPr>
        <w:t>Röpke</w:t>
      </w:r>
      <w:proofErr w:type="spellEnd"/>
      <w:r w:rsidR="00E72DB2" w:rsidRPr="00652FD0">
        <w:rPr>
          <w:rStyle w:val="FootnoteReference"/>
          <w:szCs w:val="22"/>
        </w:rPr>
        <w:footnoteReference w:id="3"/>
      </w:r>
      <w:r w:rsidRPr="00652FD0">
        <w:rPr>
          <w:szCs w:val="22"/>
        </w:rPr>
        <w:t xml:space="preserve">. </w:t>
      </w:r>
      <w:r w:rsidR="00CC5E4B" w:rsidRPr="00652FD0">
        <w:rPr>
          <w:szCs w:val="22"/>
        </w:rPr>
        <w:t xml:space="preserve">The </w:t>
      </w:r>
      <w:r w:rsidRPr="00652FD0">
        <w:rPr>
          <w:szCs w:val="22"/>
        </w:rPr>
        <w:t xml:space="preserve">LMO's activities will </w:t>
      </w:r>
      <w:r w:rsidR="00F75595" w:rsidRPr="00652FD0">
        <w:rPr>
          <w:szCs w:val="22"/>
        </w:rPr>
        <w:t xml:space="preserve">also </w:t>
      </w:r>
      <w:r w:rsidR="00AC6CBA" w:rsidRPr="00652FD0">
        <w:rPr>
          <w:szCs w:val="22"/>
        </w:rPr>
        <w:t xml:space="preserve">need to </w:t>
      </w:r>
      <w:r w:rsidRPr="00652FD0">
        <w:rPr>
          <w:szCs w:val="22"/>
        </w:rPr>
        <w:t xml:space="preserve">adapt to </w:t>
      </w:r>
      <w:r w:rsidR="00AC6CBA" w:rsidRPr="00652FD0">
        <w:rPr>
          <w:szCs w:val="22"/>
        </w:rPr>
        <w:t xml:space="preserve">new circumstances, if any, and to new </w:t>
      </w:r>
      <w:r w:rsidRPr="00652FD0">
        <w:rPr>
          <w:szCs w:val="22"/>
        </w:rPr>
        <w:t xml:space="preserve">initiatives </w:t>
      </w:r>
      <w:r w:rsidR="00CC5E4B" w:rsidRPr="00652FD0">
        <w:rPr>
          <w:szCs w:val="22"/>
        </w:rPr>
        <w:t>by</w:t>
      </w:r>
      <w:r w:rsidRPr="00652FD0">
        <w:rPr>
          <w:szCs w:val="22"/>
        </w:rPr>
        <w:t xml:space="preserve"> the European </w:t>
      </w:r>
      <w:r w:rsidR="00F75595" w:rsidRPr="00652FD0">
        <w:rPr>
          <w:szCs w:val="22"/>
        </w:rPr>
        <w:t>institutions</w:t>
      </w:r>
      <w:r w:rsidRPr="00652FD0">
        <w:rPr>
          <w:szCs w:val="22"/>
        </w:rPr>
        <w:t xml:space="preserve">, especially </w:t>
      </w:r>
      <w:r w:rsidR="00AC6CBA" w:rsidRPr="00652FD0">
        <w:rPr>
          <w:szCs w:val="22"/>
        </w:rPr>
        <w:t>after the election of a new European Parliament and Europe</w:t>
      </w:r>
      <w:r w:rsidRPr="00652FD0">
        <w:rPr>
          <w:szCs w:val="22"/>
        </w:rPr>
        <w:t>an Commission in 2024</w:t>
      </w:r>
      <w:r w:rsidR="00AC6CBA" w:rsidRPr="00652FD0">
        <w:rPr>
          <w:szCs w:val="22"/>
        </w:rPr>
        <w:t>.</w:t>
      </w:r>
    </w:p>
    <w:p w14:paraId="01209307" w14:textId="74279695" w:rsidR="00DD7601" w:rsidRPr="00652FD0" w:rsidRDefault="00DD7601">
      <w:pPr>
        <w:pStyle w:val="WW-Standard"/>
        <w:rPr>
          <w:szCs w:val="22"/>
        </w:rPr>
      </w:pPr>
    </w:p>
    <w:p w14:paraId="7BC59477" w14:textId="1939D536" w:rsidR="00D80683" w:rsidRPr="00652FD0" w:rsidRDefault="00F75595">
      <w:pPr>
        <w:pStyle w:val="WW-Standard"/>
        <w:rPr>
          <w:szCs w:val="22"/>
        </w:rPr>
      </w:pPr>
      <w:r w:rsidRPr="00652FD0">
        <w:rPr>
          <w:szCs w:val="22"/>
        </w:rPr>
        <w:t>I</w:t>
      </w:r>
      <w:r w:rsidR="00D80683" w:rsidRPr="00652FD0">
        <w:rPr>
          <w:szCs w:val="22"/>
        </w:rPr>
        <w:t xml:space="preserve">t is proposed that the Observatory focuses on </w:t>
      </w:r>
      <w:r w:rsidR="00810D62" w:rsidRPr="00652FD0">
        <w:rPr>
          <w:szCs w:val="22"/>
        </w:rPr>
        <w:t>the following</w:t>
      </w:r>
      <w:r w:rsidR="00D80683" w:rsidRPr="00652FD0">
        <w:rPr>
          <w:szCs w:val="22"/>
        </w:rPr>
        <w:t xml:space="preserve"> </w:t>
      </w:r>
      <w:r w:rsidR="00D80683" w:rsidRPr="00652FD0">
        <w:rPr>
          <w:b/>
          <w:bCs/>
          <w:szCs w:val="22"/>
        </w:rPr>
        <w:t xml:space="preserve">main themes during </w:t>
      </w:r>
      <w:r w:rsidR="00810D62" w:rsidRPr="00652FD0">
        <w:rPr>
          <w:b/>
          <w:bCs/>
          <w:szCs w:val="22"/>
        </w:rPr>
        <w:t>2023-2025</w:t>
      </w:r>
      <w:r w:rsidR="00D80683" w:rsidRPr="00652FD0">
        <w:rPr>
          <w:szCs w:val="22"/>
        </w:rPr>
        <w:t>.</w:t>
      </w:r>
    </w:p>
    <w:p w14:paraId="584C221D" w14:textId="0A41B747" w:rsidR="00D80683" w:rsidRPr="00652FD0" w:rsidRDefault="00D80683" w:rsidP="009462B5">
      <w:pPr>
        <w:rPr>
          <w:b/>
          <w:bCs/>
        </w:rPr>
      </w:pPr>
    </w:p>
    <w:p w14:paraId="18687C19" w14:textId="3E12E9BC" w:rsidR="009C1DB3" w:rsidRPr="00652FD0" w:rsidRDefault="00B33E49" w:rsidP="009462B5">
      <w:pPr>
        <w:pStyle w:val="ListParagraph"/>
        <w:numPr>
          <w:ilvl w:val="0"/>
          <w:numId w:val="43"/>
        </w:numPr>
      </w:pPr>
      <w:r w:rsidRPr="00652FD0">
        <w:rPr>
          <w:b/>
          <w:bCs/>
          <w:u w:val="single"/>
        </w:rPr>
        <w:t>A labour market for all</w:t>
      </w:r>
      <w:r w:rsidR="0074421F" w:rsidRPr="00652FD0">
        <w:t xml:space="preserve">, </w:t>
      </w:r>
      <w:r w:rsidR="00903395" w:rsidRPr="00652FD0">
        <w:t xml:space="preserve">which </w:t>
      </w:r>
      <w:r w:rsidR="004A6579" w:rsidRPr="00652FD0">
        <w:t xml:space="preserve">offers equal opportunities to all, and </w:t>
      </w:r>
      <w:r w:rsidR="00903395" w:rsidRPr="00652FD0">
        <w:t>harnesses everybody's talent, creativity and productivity</w:t>
      </w:r>
      <w:r w:rsidR="004A6579" w:rsidRPr="00652FD0">
        <w:t>. Integrating more people in</w:t>
      </w:r>
      <w:r w:rsidR="00BE4698" w:rsidRPr="00652FD0">
        <w:t>to</w:t>
      </w:r>
      <w:r w:rsidR="004A6579" w:rsidRPr="00652FD0">
        <w:t xml:space="preserve"> the labour market is nowadays a matter of urgency, </w:t>
      </w:r>
      <w:r w:rsidR="00BE4698" w:rsidRPr="00652FD0">
        <w:t xml:space="preserve">in order </w:t>
      </w:r>
      <w:r w:rsidR="004A6579" w:rsidRPr="00652FD0">
        <w:t xml:space="preserve">to </w:t>
      </w:r>
      <w:r w:rsidR="00F757B6" w:rsidRPr="00652FD0">
        <w:t xml:space="preserve">tackle </w:t>
      </w:r>
      <w:r w:rsidR="00A026F5" w:rsidRPr="00652FD0">
        <w:t xml:space="preserve">unemployment and inactivity, </w:t>
      </w:r>
      <w:r w:rsidR="00F757B6" w:rsidRPr="00652FD0">
        <w:t>labour force shortages</w:t>
      </w:r>
      <w:r w:rsidR="004A6579" w:rsidRPr="00652FD0">
        <w:t xml:space="preserve">, </w:t>
      </w:r>
      <w:r w:rsidR="00277E67" w:rsidRPr="00652FD0">
        <w:t xml:space="preserve">promote social inclusion and </w:t>
      </w:r>
      <w:r w:rsidR="00F757B6" w:rsidRPr="00652FD0">
        <w:t xml:space="preserve">ensure </w:t>
      </w:r>
      <w:r w:rsidR="004A6579" w:rsidRPr="00652FD0">
        <w:t xml:space="preserve">the sustainability of social security systems </w:t>
      </w:r>
      <w:r w:rsidR="00277E67" w:rsidRPr="00652FD0">
        <w:t>in the context of an ageing workforce</w:t>
      </w:r>
      <w:r w:rsidR="009C1DB3" w:rsidRPr="00652FD0">
        <w:t xml:space="preserve">. The inclusiveness of the labour market is particularly important given the significant impact of </w:t>
      </w:r>
      <w:r w:rsidR="00B1349C" w:rsidRPr="00652FD0">
        <w:t>demographic change</w:t>
      </w:r>
      <w:r w:rsidR="00277E67" w:rsidRPr="00652FD0">
        <w:t xml:space="preserve"> and </w:t>
      </w:r>
      <w:r w:rsidR="00B1349C" w:rsidRPr="00652FD0">
        <w:t xml:space="preserve">the </w:t>
      </w:r>
      <w:r w:rsidR="009C1DB3" w:rsidRPr="00652FD0">
        <w:t>twin green and digital transition</w:t>
      </w:r>
      <w:r w:rsidR="00277E67" w:rsidRPr="00652FD0">
        <w:t>s</w:t>
      </w:r>
      <w:r w:rsidR="009C1DB3" w:rsidRPr="00652FD0">
        <w:t xml:space="preserve"> on </w:t>
      </w:r>
      <w:r w:rsidR="007F425E" w:rsidRPr="00652FD0">
        <w:t>the world of work</w:t>
      </w:r>
      <w:r w:rsidR="004421B6" w:rsidRPr="00652FD0">
        <w:t xml:space="preserve"> and </w:t>
      </w:r>
      <w:r w:rsidR="004421B6" w:rsidRPr="00652FD0">
        <w:rPr>
          <w:bCs/>
        </w:rPr>
        <w:t>the need to ensure a just transition</w:t>
      </w:r>
      <w:r w:rsidR="009C1DB3" w:rsidRPr="00652FD0">
        <w:t xml:space="preserve">. </w:t>
      </w:r>
    </w:p>
    <w:p w14:paraId="0BF6216F" w14:textId="77777777" w:rsidR="00903395" w:rsidRPr="00652FD0" w:rsidRDefault="00903395" w:rsidP="009462B5">
      <w:pPr>
        <w:rPr>
          <w:i/>
          <w:iCs/>
        </w:rPr>
      </w:pPr>
    </w:p>
    <w:p w14:paraId="3902AB56" w14:textId="1226814A" w:rsidR="001F72D3" w:rsidRPr="00652FD0" w:rsidRDefault="00903395" w:rsidP="009462B5">
      <w:r w:rsidRPr="00652FD0">
        <w:t>The LMO will pay particular attention to</w:t>
      </w:r>
      <w:r w:rsidR="00BE4698" w:rsidRPr="00652FD0">
        <w:t>:</w:t>
      </w:r>
      <w:r w:rsidRPr="00652FD0">
        <w:t xml:space="preserve"> </w:t>
      </w:r>
    </w:p>
    <w:p w14:paraId="7C1E856F" w14:textId="77777777" w:rsidR="001F72D3" w:rsidRPr="00652FD0" w:rsidRDefault="001F72D3" w:rsidP="009462B5"/>
    <w:p w14:paraId="6B19B342" w14:textId="2832758C" w:rsidR="000809C8" w:rsidRPr="00652FD0" w:rsidRDefault="00903395" w:rsidP="009462B5">
      <w:pPr>
        <w:pStyle w:val="ListParagraph"/>
        <w:numPr>
          <w:ilvl w:val="0"/>
          <w:numId w:val="38"/>
        </w:numPr>
      </w:pPr>
      <w:r w:rsidRPr="00652FD0">
        <w:rPr>
          <w:b/>
          <w:bCs/>
        </w:rPr>
        <w:t xml:space="preserve">the labour market integration of </w:t>
      </w:r>
      <w:r w:rsidR="00F757B6" w:rsidRPr="00652FD0">
        <w:rPr>
          <w:b/>
          <w:bCs/>
        </w:rPr>
        <w:t xml:space="preserve">women, </w:t>
      </w:r>
      <w:r w:rsidRPr="00652FD0">
        <w:rPr>
          <w:b/>
          <w:bCs/>
        </w:rPr>
        <w:t xml:space="preserve">young people and NEETs </w:t>
      </w:r>
      <w:r w:rsidRPr="00652FD0">
        <w:t xml:space="preserve">(young people neither in employment, education or training </w:t>
      </w:r>
      <w:r w:rsidR="00A154B8" w:rsidRPr="00652FD0">
        <w:rPr>
          <w:rFonts w:ascii="Calibri" w:hAnsi="Calibri" w:cs="Calibri"/>
        </w:rPr>
        <w:t>–</w:t>
      </w:r>
      <w:r w:rsidRPr="00652FD0">
        <w:t xml:space="preserve"> </w:t>
      </w:r>
      <w:r w:rsidR="007043E3" w:rsidRPr="00652FD0">
        <w:t xml:space="preserve">with </w:t>
      </w:r>
      <w:r w:rsidRPr="00652FD0">
        <w:t>more than 8 million NEETs in the EU)</w:t>
      </w:r>
      <w:r w:rsidR="00F757B6" w:rsidRPr="00652FD0">
        <w:t xml:space="preserve">, </w:t>
      </w:r>
      <w:r w:rsidR="004A6579" w:rsidRPr="00652FD0">
        <w:rPr>
          <w:b/>
          <w:bCs/>
        </w:rPr>
        <w:t xml:space="preserve">the </w:t>
      </w:r>
      <w:r w:rsidR="00A154B8" w:rsidRPr="00652FD0">
        <w:rPr>
          <w:b/>
          <w:bCs/>
        </w:rPr>
        <w:t>entry into the workforce</w:t>
      </w:r>
      <w:r w:rsidR="004A6579" w:rsidRPr="00652FD0">
        <w:rPr>
          <w:b/>
          <w:bCs/>
        </w:rPr>
        <w:t xml:space="preserve"> of the</w:t>
      </w:r>
      <w:r w:rsidR="004A6579" w:rsidRPr="00652FD0">
        <w:t xml:space="preserve"> </w:t>
      </w:r>
      <w:r w:rsidR="004A6579" w:rsidRPr="00652FD0">
        <w:rPr>
          <w:b/>
          <w:bCs/>
        </w:rPr>
        <w:t>economically inactive</w:t>
      </w:r>
      <w:r w:rsidR="004421B6" w:rsidRPr="00652FD0">
        <w:t xml:space="preserve">, </w:t>
      </w:r>
      <w:r w:rsidR="00BE4698" w:rsidRPr="00652FD0">
        <w:t xml:space="preserve">and </w:t>
      </w:r>
      <w:r w:rsidR="00F757B6" w:rsidRPr="00652FD0">
        <w:rPr>
          <w:b/>
          <w:bCs/>
        </w:rPr>
        <w:t>further reducing unemployment</w:t>
      </w:r>
      <w:r w:rsidR="004421B6" w:rsidRPr="00652FD0">
        <w:rPr>
          <w:b/>
          <w:bCs/>
        </w:rPr>
        <w:t xml:space="preserve"> and fostering entrepreneurship</w:t>
      </w:r>
      <w:r w:rsidR="00F757B6" w:rsidRPr="00652FD0">
        <w:t xml:space="preserve">. It will cooperate with the dedicated SOC groups regarding </w:t>
      </w:r>
      <w:r w:rsidR="00DC1D47" w:rsidRPr="00652FD0">
        <w:t xml:space="preserve">integration into the labour market </w:t>
      </w:r>
      <w:r w:rsidR="007808B3" w:rsidRPr="00652FD0">
        <w:t xml:space="preserve">of </w:t>
      </w:r>
      <w:r w:rsidR="00F757B6" w:rsidRPr="00652FD0">
        <w:rPr>
          <w:b/>
          <w:bCs/>
        </w:rPr>
        <w:t>people with a migrant</w:t>
      </w:r>
      <w:r w:rsidR="00F757B6" w:rsidRPr="00652FD0">
        <w:t xml:space="preserve"> </w:t>
      </w:r>
      <w:r w:rsidR="00807C44" w:rsidRPr="00652FD0">
        <w:rPr>
          <w:b/>
          <w:bCs/>
        </w:rPr>
        <w:t>background</w:t>
      </w:r>
      <w:r w:rsidR="00807C44" w:rsidRPr="00652FD0">
        <w:t xml:space="preserve"> </w:t>
      </w:r>
      <w:r w:rsidR="00F757B6" w:rsidRPr="00652FD0">
        <w:t xml:space="preserve">(notably, </w:t>
      </w:r>
      <w:r w:rsidR="00277E67" w:rsidRPr="00652FD0">
        <w:t xml:space="preserve">people from </w:t>
      </w:r>
      <w:r w:rsidR="00F757B6" w:rsidRPr="00652FD0">
        <w:t>Ukrain</w:t>
      </w:r>
      <w:r w:rsidR="00277E67" w:rsidRPr="00652FD0">
        <w:t>e</w:t>
      </w:r>
      <w:r w:rsidR="00F757B6" w:rsidRPr="00652FD0">
        <w:t xml:space="preserve">) </w:t>
      </w:r>
      <w:r w:rsidR="00F757B6" w:rsidRPr="00652FD0">
        <w:rPr>
          <w:b/>
          <w:bCs/>
        </w:rPr>
        <w:t>or ethnic background</w:t>
      </w:r>
      <w:r w:rsidR="00F757B6" w:rsidRPr="00652FD0">
        <w:t xml:space="preserve"> (</w:t>
      </w:r>
      <w:r w:rsidR="007043E3" w:rsidRPr="00652FD0">
        <w:t>especially</w:t>
      </w:r>
      <w:r w:rsidR="00F757B6" w:rsidRPr="00652FD0">
        <w:t xml:space="preserve"> Roma) and of </w:t>
      </w:r>
      <w:r w:rsidR="00F757B6" w:rsidRPr="00652FD0">
        <w:rPr>
          <w:b/>
          <w:bCs/>
        </w:rPr>
        <w:t>persons</w:t>
      </w:r>
      <w:r w:rsidRPr="00652FD0">
        <w:rPr>
          <w:b/>
          <w:bCs/>
        </w:rPr>
        <w:t xml:space="preserve"> with disabilities</w:t>
      </w:r>
      <w:r w:rsidR="00F757B6" w:rsidRPr="00652FD0">
        <w:t>.</w:t>
      </w:r>
      <w:r w:rsidR="007808B3" w:rsidRPr="00652FD0">
        <w:t xml:space="preserve"> </w:t>
      </w:r>
    </w:p>
    <w:p w14:paraId="64274EF9" w14:textId="13A4F437" w:rsidR="001F72D3" w:rsidRPr="00652FD0" w:rsidRDefault="001F72D3" w:rsidP="009462B5">
      <w:pPr>
        <w:pStyle w:val="ListParagraph"/>
        <w:numPr>
          <w:ilvl w:val="0"/>
          <w:numId w:val="38"/>
        </w:numPr>
      </w:pPr>
      <w:r w:rsidRPr="00652FD0">
        <w:rPr>
          <w:b/>
          <w:bCs/>
        </w:rPr>
        <w:t>the sectors that are particularly affected by labour shortages</w:t>
      </w:r>
      <w:r w:rsidRPr="00652FD0">
        <w:t>, including the</w:t>
      </w:r>
      <w:r w:rsidR="0003227E" w:rsidRPr="00652FD0">
        <w:t xml:space="preserve"> health</w:t>
      </w:r>
      <w:r w:rsidRPr="00652FD0">
        <w:t>care sector</w:t>
      </w:r>
      <w:r w:rsidR="0003227E" w:rsidRPr="00652FD0">
        <w:t xml:space="preserve">, </w:t>
      </w:r>
      <w:r w:rsidR="007043E3" w:rsidRPr="00652FD0">
        <w:t>especially</w:t>
      </w:r>
      <w:r w:rsidR="0003227E" w:rsidRPr="00652FD0">
        <w:t xml:space="preserve"> in the context of </w:t>
      </w:r>
      <w:r w:rsidR="00BE4698" w:rsidRPr="00652FD0">
        <w:t xml:space="preserve">an </w:t>
      </w:r>
      <w:r w:rsidR="0003227E" w:rsidRPr="00652FD0">
        <w:t>ageing</w:t>
      </w:r>
      <w:r w:rsidR="00BE4698" w:rsidRPr="00652FD0">
        <w:t xml:space="preserve"> population</w:t>
      </w:r>
      <w:r w:rsidRPr="00652FD0">
        <w:t>.</w:t>
      </w:r>
    </w:p>
    <w:p w14:paraId="2F911762" w14:textId="12185702" w:rsidR="000809C8" w:rsidRPr="00652FD0" w:rsidRDefault="001F72D3" w:rsidP="009462B5">
      <w:pPr>
        <w:pStyle w:val="ListParagraph"/>
        <w:numPr>
          <w:ilvl w:val="0"/>
          <w:numId w:val="38"/>
        </w:numPr>
        <w:ind w:left="714" w:hanging="357"/>
      </w:pPr>
      <w:r w:rsidRPr="00652FD0">
        <w:rPr>
          <w:b/>
          <w:bCs/>
        </w:rPr>
        <w:t>t</w:t>
      </w:r>
      <w:r w:rsidR="00CC0C48" w:rsidRPr="00652FD0">
        <w:rPr>
          <w:b/>
          <w:bCs/>
        </w:rPr>
        <w:t xml:space="preserve">he </w:t>
      </w:r>
      <w:r w:rsidR="00BC12B2" w:rsidRPr="00652FD0">
        <w:rPr>
          <w:b/>
          <w:bCs/>
        </w:rPr>
        <w:t xml:space="preserve">future of work </w:t>
      </w:r>
      <w:r w:rsidR="00D6635C" w:rsidRPr="00652FD0">
        <w:rPr>
          <w:b/>
          <w:bCs/>
        </w:rPr>
        <w:t xml:space="preserve">in the digital era </w:t>
      </w:r>
      <w:r w:rsidRPr="00652FD0">
        <w:rPr>
          <w:b/>
          <w:bCs/>
        </w:rPr>
        <w:t xml:space="preserve">– </w:t>
      </w:r>
      <w:r w:rsidRPr="00652FD0">
        <w:t>and</w:t>
      </w:r>
      <w:r w:rsidRPr="00652FD0">
        <w:rPr>
          <w:b/>
          <w:bCs/>
        </w:rPr>
        <w:t xml:space="preserve"> </w:t>
      </w:r>
      <w:r w:rsidRPr="00652FD0">
        <w:t>notably working conditions, the safeguard</w:t>
      </w:r>
      <w:r w:rsidR="00BE4698" w:rsidRPr="00652FD0">
        <w:t>ing</w:t>
      </w:r>
      <w:r w:rsidRPr="00652FD0">
        <w:t xml:space="preserve"> of collective rights and the strengthening of social dialogue in </w:t>
      </w:r>
      <w:r w:rsidRPr="00652FD0">
        <w:rPr>
          <w:b/>
          <w:bCs/>
        </w:rPr>
        <w:t>the platform economy</w:t>
      </w:r>
      <w:r w:rsidR="00291147" w:rsidRPr="009462B5">
        <w:rPr>
          <w:rStyle w:val="FootnoteReference"/>
          <w:szCs w:val="24"/>
        </w:rPr>
        <w:footnoteReference w:id="4"/>
      </w:r>
      <w:r w:rsidR="000809C8" w:rsidRPr="00652FD0">
        <w:t xml:space="preserve"> </w:t>
      </w:r>
      <w:r w:rsidRPr="00652FD0">
        <w:t xml:space="preserve">as well as </w:t>
      </w:r>
      <w:r w:rsidR="00BE4698" w:rsidRPr="00652FD0">
        <w:t>trends in</w:t>
      </w:r>
      <w:r w:rsidRPr="00652FD0">
        <w:t xml:space="preserve"> non-standard work, artificial intelligence, algorithm management and roboti</w:t>
      </w:r>
      <w:r w:rsidR="00645805" w:rsidRPr="00652FD0">
        <w:t>s</w:t>
      </w:r>
      <w:r w:rsidRPr="00652FD0">
        <w:t>ation.</w:t>
      </w:r>
      <w:r w:rsidRPr="00652FD0">
        <w:rPr>
          <w:b/>
          <w:bCs/>
        </w:rPr>
        <w:t xml:space="preserve"> </w:t>
      </w:r>
      <w:r w:rsidR="007808B3" w:rsidRPr="00652FD0">
        <w:t xml:space="preserve">The </w:t>
      </w:r>
      <w:r w:rsidRPr="00652FD0">
        <w:t xml:space="preserve">LMO </w:t>
      </w:r>
      <w:r w:rsidR="007808B3" w:rsidRPr="00652FD0">
        <w:t xml:space="preserve">will </w:t>
      </w:r>
      <w:r w:rsidR="000809C8" w:rsidRPr="00652FD0">
        <w:t>try to contribute to the ongoing work of European institutions on this matter, given that the Council</w:t>
      </w:r>
      <w:r w:rsidR="00645805" w:rsidRPr="00652FD0">
        <w:t xml:space="preserve"> adopted its </w:t>
      </w:r>
      <w:r w:rsidR="000809C8" w:rsidRPr="00652FD0">
        <w:t xml:space="preserve">general approach on the Commission's proposal </w:t>
      </w:r>
      <w:r w:rsidR="00645805" w:rsidRPr="00652FD0">
        <w:t xml:space="preserve">for a </w:t>
      </w:r>
      <w:r w:rsidR="00645805" w:rsidRPr="00652FD0">
        <w:rPr>
          <w:i/>
          <w:iCs/>
        </w:rPr>
        <w:t>Directive on improving working conditions in platform work</w:t>
      </w:r>
      <w:r w:rsidR="000809C8" w:rsidRPr="00652FD0">
        <w:rPr>
          <w:i/>
          <w:iCs/>
        </w:rPr>
        <w:t xml:space="preserve"> </w:t>
      </w:r>
      <w:r w:rsidR="000809C8" w:rsidRPr="00652FD0">
        <w:t>on 12 June 2023</w:t>
      </w:r>
      <w:r w:rsidR="00291147" w:rsidRPr="009462B5">
        <w:rPr>
          <w:rStyle w:val="FootnoteReference"/>
          <w:szCs w:val="24"/>
        </w:rPr>
        <w:footnoteReference w:id="5"/>
      </w:r>
      <w:r w:rsidR="000809C8" w:rsidRPr="00652FD0">
        <w:t xml:space="preserve"> and that negotiations with the Parliament are expected. </w:t>
      </w:r>
    </w:p>
    <w:p w14:paraId="03A734E8" w14:textId="2D155D1B" w:rsidR="001014D0" w:rsidRPr="00652FD0" w:rsidRDefault="001014D0" w:rsidP="009462B5">
      <w:pPr>
        <w:pStyle w:val="ListParagraph"/>
        <w:numPr>
          <w:ilvl w:val="0"/>
          <w:numId w:val="38"/>
        </w:numPr>
      </w:pPr>
      <w:r w:rsidRPr="00652FD0">
        <w:rPr>
          <w:b/>
          <w:bCs/>
        </w:rPr>
        <w:t>the review of the European Pillar of Social Rights Action Plan in 2025.</w:t>
      </w:r>
      <w:r w:rsidR="0003572A" w:rsidRPr="00652FD0">
        <w:rPr>
          <w:b/>
          <w:bCs/>
        </w:rPr>
        <w:t xml:space="preserve"> </w:t>
      </w:r>
      <w:r w:rsidR="0003572A" w:rsidRPr="00652FD0">
        <w:t>The Commission has already put forward several actions based on each principle of the Pillar, and EU Member States presented their national targets on 16 June 2022</w:t>
      </w:r>
      <w:r w:rsidR="0003227E" w:rsidRPr="00652FD0">
        <w:rPr>
          <w:rStyle w:val="FootnoteReference"/>
        </w:rPr>
        <w:footnoteReference w:id="6"/>
      </w:r>
      <w:r w:rsidR="0003572A" w:rsidRPr="00652FD0">
        <w:t>.</w:t>
      </w:r>
      <w:r w:rsidR="00BE4698" w:rsidRPr="00652FD0">
        <w:t xml:space="preserve"> T</w:t>
      </w:r>
      <w:r w:rsidRPr="00652FD0">
        <w:t xml:space="preserve">he </w:t>
      </w:r>
      <w:r w:rsidR="00682775" w:rsidRPr="00652FD0">
        <w:t xml:space="preserve">Commission's </w:t>
      </w:r>
      <w:r w:rsidRPr="00652FD0">
        <w:t xml:space="preserve">review </w:t>
      </w:r>
      <w:r w:rsidR="0003572A" w:rsidRPr="00652FD0">
        <w:t xml:space="preserve">of the Action </w:t>
      </w:r>
      <w:r w:rsidR="0003572A" w:rsidRPr="00652FD0">
        <w:lastRenderedPageBreak/>
        <w:t xml:space="preserve">Plan </w:t>
      </w:r>
      <w:r w:rsidR="00BE4698" w:rsidRPr="00652FD0">
        <w:t xml:space="preserve">in 2025 </w:t>
      </w:r>
      <w:r w:rsidRPr="00652FD0">
        <w:t xml:space="preserve">will </w:t>
      </w:r>
      <w:r w:rsidR="0003572A" w:rsidRPr="00652FD0">
        <w:t xml:space="preserve">show where the EU stands as regards the 2030 EU targets related to employment, training and reducing poverty. </w:t>
      </w:r>
      <w:r w:rsidR="00682775" w:rsidRPr="00652FD0">
        <w:t xml:space="preserve">In its </w:t>
      </w:r>
      <w:r w:rsidR="007043E3" w:rsidRPr="00652FD0">
        <w:t xml:space="preserve">own </w:t>
      </w:r>
      <w:r w:rsidR="00682775" w:rsidRPr="00652FD0">
        <w:t>field, t</w:t>
      </w:r>
      <w:r w:rsidR="0003572A" w:rsidRPr="00652FD0">
        <w:t>he LMO will aim to contribute to this review</w:t>
      </w:r>
      <w:r w:rsidR="00BE4698" w:rsidRPr="00652FD0">
        <w:t xml:space="preserve"> in a timely manner</w:t>
      </w:r>
      <w:r w:rsidR="0003572A" w:rsidRPr="00652FD0">
        <w:t xml:space="preserve">, reflecting whether </w:t>
      </w:r>
      <w:r w:rsidRPr="00652FD0">
        <w:t xml:space="preserve">further actions </w:t>
      </w:r>
      <w:r w:rsidR="0003572A" w:rsidRPr="00652FD0">
        <w:t xml:space="preserve">and a new </w:t>
      </w:r>
      <w:r w:rsidR="00BE4698" w:rsidRPr="00652FD0">
        <w:t>a</w:t>
      </w:r>
      <w:r w:rsidR="0003572A" w:rsidRPr="00652FD0">
        <w:t xml:space="preserve">ction plan would be needed </w:t>
      </w:r>
      <w:r w:rsidRPr="00652FD0">
        <w:t>to achiev</w:t>
      </w:r>
      <w:r w:rsidR="0003572A" w:rsidRPr="00652FD0">
        <w:t>e</w:t>
      </w:r>
      <w:r w:rsidRPr="00652FD0">
        <w:t xml:space="preserve"> the 2030 EU targets. </w:t>
      </w:r>
    </w:p>
    <w:p w14:paraId="77307FD3" w14:textId="77777777" w:rsidR="00565ABF" w:rsidRPr="00652FD0" w:rsidRDefault="00565ABF" w:rsidP="009462B5"/>
    <w:p w14:paraId="74295F78" w14:textId="5FD63D56" w:rsidR="000809C8" w:rsidRPr="00652FD0" w:rsidRDefault="000809C8" w:rsidP="009462B5">
      <w:pPr>
        <w:pStyle w:val="ListParagraph"/>
        <w:numPr>
          <w:ilvl w:val="0"/>
          <w:numId w:val="43"/>
        </w:numPr>
        <w:rPr>
          <w:b/>
          <w:bCs/>
          <w:u w:val="single"/>
        </w:rPr>
      </w:pPr>
      <w:r w:rsidRPr="00652FD0">
        <w:rPr>
          <w:b/>
          <w:bCs/>
          <w:u w:val="single"/>
        </w:rPr>
        <w:t>Skills development</w:t>
      </w:r>
      <w:r w:rsidR="00DE420E" w:rsidRPr="00652FD0">
        <w:rPr>
          <w:b/>
          <w:bCs/>
          <w:u w:val="single"/>
        </w:rPr>
        <w:t xml:space="preserve">, especially </w:t>
      </w:r>
      <w:r w:rsidRPr="00652FD0">
        <w:rPr>
          <w:b/>
          <w:bCs/>
          <w:u w:val="single"/>
        </w:rPr>
        <w:t>in the context of the European Year of Skills</w:t>
      </w:r>
      <w:r w:rsidR="000A2629" w:rsidRPr="00652FD0">
        <w:rPr>
          <w:b/>
          <w:bCs/>
          <w:u w:val="single"/>
        </w:rPr>
        <w:t xml:space="preserve"> 2023 and beyond</w:t>
      </w:r>
    </w:p>
    <w:p w14:paraId="1B912496" w14:textId="77777777" w:rsidR="007E7954" w:rsidRPr="00652FD0" w:rsidRDefault="007E7954" w:rsidP="009462B5">
      <w:pPr>
        <w:rPr>
          <w:b/>
          <w:bCs/>
          <w:u w:val="single"/>
        </w:rPr>
      </w:pPr>
    </w:p>
    <w:p w14:paraId="37FD664D" w14:textId="27A1B0F9" w:rsidR="000A2629" w:rsidRPr="00652FD0" w:rsidRDefault="000A2629" w:rsidP="009462B5">
      <w:r w:rsidRPr="00652FD0">
        <w:rPr>
          <w:bCs/>
        </w:rPr>
        <w:t xml:space="preserve">Skills development is a dynamic policy that </w:t>
      </w:r>
      <w:r w:rsidR="00BE4698" w:rsidRPr="00652FD0">
        <w:rPr>
          <w:bCs/>
        </w:rPr>
        <w:t xml:space="preserve">will </w:t>
      </w:r>
      <w:r w:rsidRPr="00652FD0">
        <w:rPr>
          <w:bCs/>
        </w:rPr>
        <w:t>determine the future of Europe.</w:t>
      </w:r>
      <w:r w:rsidRPr="00652FD0">
        <w:rPr>
          <w:b/>
        </w:rPr>
        <w:t xml:space="preserve"> </w:t>
      </w:r>
      <w:r w:rsidRPr="00652FD0">
        <w:t xml:space="preserve">The development of workers' skills and competences is crucial to ensure a fair and just green transition, to adapt to the digital age, </w:t>
      </w:r>
      <w:r w:rsidR="00BE4698" w:rsidRPr="00652FD0">
        <w:t xml:space="preserve">and </w:t>
      </w:r>
      <w:r w:rsidRPr="00652FD0">
        <w:t xml:space="preserve">to create new opportunities for people and the economy. Skills shortages </w:t>
      </w:r>
      <w:r w:rsidR="00975C72" w:rsidRPr="00652FD0">
        <w:t xml:space="preserve">and mismatches </w:t>
      </w:r>
      <w:r w:rsidRPr="00652FD0">
        <w:t>have become a major challenge in many Member States, and three quarters of companies in the EU report difficulties in finding workers with the skills they need.</w:t>
      </w:r>
    </w:p>
    <w:p w14:paraId="33E0A28C" w14:textId="77777777" w:rsidR="000A2629" w:rsidRPr="00652FD0" w:rsidRDefault="000A2629" w:rsidP="009462B5"/>
    <w:p w14:paraId="2B7A7CD8" w14:textId="5424D847" w:rsidR="00E07FC5" w:rsidRPr="00652FD0" w:rsidRDefault="00E07FC5" w:rsidP="009462B5">
      <w:r w:rsidRPr="00652FD0">
        <w:t>The topic of skills development and lifelong learning will</w:t>
      </w:r>
      <w:r w:rsidR="00383988" w:rsidRPr="00652FD0">
        <w:t xml:space="preserve"> </w:t>
      </w:r>
      <w:r w:rsidRPr="00652FD0">
        <w:t xml:space="preserve">be </w:t>
      </w:r>
      <w:r w:rsidR="007043E3" w:rsidRPr="00652FD0">
        <w:t xml:space="preserve">specifically </w:t>
      </w:r>
      <w:r w:rsidRPr="00652FD0">
        <w:t xml:space="preserve">dealt with by the LMO </w:t>
      </w:r>
      <w:r w:rsidR="00A154B8" w:rsidRPr="00652FD0">
        <w:t>via</w:t>
      </w:r>
      <w:r w:rsidR="006B78F9" w:rsidRPr="00652FD0">
        <w:t xml:space="preserve"> </w:t>
      </w:r>
      <w:r w:rsidR="006B78F9" w:rsidRPr="00652FD0">
        <w:rPr>
          <w:b/>
          <w:bCs/>
        </w:rPr>
        <w:t>t</w:t>
      </w:r>
      <w:r w:rsidRPr="00652FD0">
        <w:rPr>
          <w:b/>
          <w:bCs/>
        </w:rPr>
        <w:t>he sub-group on the coordination of EESC's activities for the European Year of Skills</w:t>
      </w:r>
      <w:r w:rsidR="00A154B8" w:rsidRPr="00652FD0">
        <w:rPr>
          <w:b/>
          <w:bCs/>
        </w:rPr>
        <w:t xml:space="preserve"> (EYS)</w:t>
      </w:r>
      <w:r w:rsidR="006B78F9" w:rsidRPr="00652FD0">
        <w:t>, and the three non</w:t>
      </w:r>
      <w:r w:rsidR="007043E3" w:rsidRPr="00652FD0">
        <w:t>-</w:t>
      </w:r>
      <w:r w:rsidR="006B78F9" w:rsidRPr="00652FD0">
        <w:t xml:space="preserve">LMO members of the sub-group </w:t>
      </w:r>
      <w:r w:rsidR="007E7954" w:rsidRPr="00652FD0">
        <w:t>would</w:t>
      </w:r>
      <w:r w:rsidR="006B78F9" w:rsidRPr="00652FD0">
        <w:t xml:space="preserve"> be </w:t>
      </w:r>
      <w:r w:rsidR="00BE4698" w:rsidRPr="00652FD0">
        <w:t>involved in</w:t>
      </w:r>
      <w:r w:rsidR="006B78F9" w:rsidRPr="00652FD0">
        <w:t xml:space="preserve"> all relevant LMO activities.</w:t>
      </w:r>
    </w:p>
    <w:p w14:paraId="40ED5BC8" w14:textId="6CE6CC10" w:rsidR="00E07FC5" w:rsidRPr="00652FD0" w:rsidRDefault="00E07FC5" w:rsidP="009462B5"/>
    <w:p w14:paraId="4F51D1FE" w14:textId="42F81A31" w:rsidR="006B78F9" w:rsidRPr="00652FD0" w:rsidRDefault="00E07FC5" w:rsidP="009462B5">
      <w:r w:rsidRPr="00652FD0">
        <w:t xml:space="preserve">The </w:t>
      </w:r>
      <w:r w:rsidR="00BE4698" w:rsidRPr="00652FD0">
        <w:t>c</w:t>
      </w:r>
      <w:r w:rsidRPr="00652FD0">
        <w:t xml:space="preserve">oordination group will </w:t>
      </w:r>
      <w:r w:rsidR="00BE4698" w:rsidRPr="00652FD0">
        <w:t>in particular</w:t>
      </w:r>
      <w:r w:rsidR="00975C72" w:rsidRPr="00652FD0">
        <w:t>:</w:t>
      </w:r>
    </w:p>
    <w:p w14:paraId="46FDC50B" w14:textId="77777777" w:rsidR="006B78F9" w:rsidRPr="00652FD0" w:rsidRDefault="006B78F9" w:rsidP="009462B5">
      <w:pPr>
        <w:pStyle w:val="ListParagraph"/>
      </w:pPr>
    </w:p>
    <w:p w14:paraId="02B0C47F" w14:textId="7DDEBC2B" w:rsidR="009C1DB3" w:rsidRPr="00652FD0" w:rsidRDefault="00E07FC5" w:rsidP="009462B5">
      <w:pPr>
        <w:pStyle w:val="ListParagraph"/>
        <w:numPr>
          <w:ilvl w:val="0"/>
          <w:numId w:val="42"/>
        </w:numPr>
      </w:pPr>
      <w:r w:rsidRPr="00652FD0">
        <w:t xml:space="preserve">provide </w:t>
      </w:r>
      <w:r w:rsidR="000A2629" w:rsidRPr="00652FD0">
        <w:t xml:space="preserve">information, comments and suggestions </w:t>
      </w:r>
      <w:r w:rsidR="007043E3" w:rsidRPr="00652FD0">
        <w:t>on how to improve</w:t>
      </w:r>
      <w:r w:rsidR="000A2629" w:rsidRPr="00652FD0">
        <w:t xml:space="preserve"> skills policies;</w:t>
      </w:r>
    </w:p>
    <w:p w14:paraId="59A87DC6" w14:textId="3B37B3CE" w:rsidR="009C1DB3" w:rsidRPr="00652FD0" w:rsidRDefault="009C1DB3" w:rsidP="009462B5">
      <w:pPr>
        <w:pStyle w:val="ListParagraph"/>
        <w:numPr>
          <w:ilvl w:val="0"/>
          <w:numId w:val="42"/>
        </w:numPr>
      </w:pPr>
      <w:r w:rsidRPr="00652FD0">
        <w:t>make concrete proposals for meetings and events, where EESC members can be actively involved;</w:t>
      </w:r>
    </w:p>
    <w:p w14:paraId="34096BE8" w14:textId="304C12B7" w:rsidR="009C1DB3" w:rsidRPr="00652FD0" w:rsidRDefault="009C1DB3" w:rsidP="009462B5">
      <w:pPr>
        <w:pStyle w:val="ListParagraph"/>
        <w:numPr>
          <w:ilvl w:val="0"/>
          <w:numId w:val="42"/>
        </w:numPr>
      </w:pPr>
      <w:r w:rsidRPr="00652FD0">
        <w:t xml:space="preserve">encourage sections and the CCMI to organise debates in the context of the EYS, in their </w:t>
      </w:r>
      <w:r w:rsidR="007043E3" w:rsidRPr="00652FD0">
        <w:t xml:space="preserve">specific </w:t>
      </w:r>
      <w:r w:rsidRPr="00652FD0">
        <w:t>areas of work</w:t>
      </w:r>
      <w:r w:rsidR="000A2629" w:rsidRPr="00652FD0">
        <w:t>;</w:t>
      </w:r>
    </w:p>
    <w:p w14:paraId="5D52358D" w14:textId="41E97698" w:rsidR="009C1DB3" w:rsidRPr="00652FD0" w:rsidRDefault="009C1DB3" w:rsidP="009462B5">
      <w:pPr>
        <w:pStyle w:val="ListParagraph"/>
        <w:numPr>
          <w:ilvl w:val="0"/>
          <w:numId w:val="42"/>
        </w:numPr>
        <w:ind w:left="714" w:hanging="357"/>
      </w:pPr>
      <w:r w:rsidRPr="00652FD0">
        <w:t xml:space="preserve">continue, and if possible, enhance, cooperation with </w:t>
      </w:r>
      <w:proofErr w:type="spellStart"/>
      <w:r w:rsidRPr="00652FD0">
        <w:t>Cedefop</w:t>
      </w:r>
      <w:proofErr w:type="spellEnd"/>
      <w:r w:rsidRPr="00652FD0">
        <w:t xml:space="preserve">, and will contribute to the joint policy learning forum on upskilling pathways aimed at supporting low skilled and low-qualified adults to upskill and integrate </w:t>
      </w:r>
      <w:r w:rsidR="00BE4698" w:rsidRPr="00652FD0">
        <w:t>in</w:t>
      </w:r>
      <w:r w:rsidRPr="00652FD0">
        <w:t>to the labour market</w:t>
      </w:r>
      <w:r w:rsidR="000A2629" w:rsidRPr="00652FD0">
        <w:t>;</w:t>
      </w:r>
    </w:p>
    <w:p w14:paraId="464A3E5D" w14:textId="4311A2AA" w:rsidR="000A2629" w:rsidRPr="00652FD0" w:rsidRDefault="000A2629" w:rsidP="009462B5">
      <w:pPr>
        <w:pStyle w:val="ListParagraph"/>
        <w:numPr>
          <w:ilvl w:val="0"/>
          <w:numId w:val="42"/>
        </w:numPr>
      </w:pPr>
      <w:r w:rsidRPr="00652FD0">
        <w:t>will support the EESC president in his activities related to the European Year of Skills and in organising a public event on skills;</w:t>
      </w:r>
    </w:p>
    <w:p w14:paraId="1D94205D" w14:textId="347777F1" w:rsidR="000A2629" w:rsidRPr="00652FD0" w:rsidRDefault="000A2629" w:rsidP="009462B5">
      <w:pPr>
        <w:pStyle w:val="ListParagraph"/>
        <w:numPr>
          <w:ilvl w:val="0"/>
          <w:numId w:val="42"/>
        </w:numPr>
      </w:pPr>
      <w:r w:rsidRPr="00652FD0">
        <w:t xml:space="preserve">request </w:t>
      </w:r>
      <w:r w:rsidR="00BE4698" w:rsidRPr="00652FD0">
        <w:t xml:space="preserve">that </w:t>
      </w:r>
      <w:r w:rsidRPr="00652FD0">
        <w:t xml:space="preserve">an Information Report </w:t>
      </w:r>
      <w:r w:rsidR="00BE4698" w:rsidRPr="00652FD0">
        <w:t xml:space="preserve">be drawn up </w:t>
      </w:r>
      <w:r w:rsidRPr="00652FD0">
        <w:t xml:space="preserve">on </w:t>
      </w:r>
      <w:r w:rsidR="00BB59CF" w:rsidRPr="00652FD0">
        <w:t xml:space="preserve">the </w:t>
      </w:r>
      <w:r w:rsidRPr="00652FD0">
        <w:t>EESC's involvement in the European Year of Skills.</w:t>
      </w:r>
    </w:p>
    <w:p w14:paraId="56FC42EC" w14:textId="06B987C2" w:rsidR="000809C8" w:rsidRPr="00652FD0" w:rsidRDefault="000809C8" w:rsidP="009462B5">
      <w:pPr>
        <w:rPr>
          <w:b/>
          <w:bCs/>
          <w:u w:val="single"/>
        </w:rPr>
      </w:pPr>
    </w:p>
    <w:p w14:paraId="1699E243" w14:textId="6CD739F3" w:rsidR="00975C72" w:rsidRPr="00652FD0" w:rsidRDefault="00975C72" w:rsidP="009462B5">
      <w:r w:rsidRPr="00652FD0">
        <w:t xml:space="preserve">More details on the planned activities of the </w:t>
      </w:r>
      <w:r w:rsidR="000C3688" w:rsidRPr="00652FD0">
        <w:t>c</w:t>
      </w:r>
      <w:r w:rsidRPr="00652FD0">
        <w:t xml:space="preserve">oordination group on the EYS can be found in Appendix </w:t>
      </w:r>
      <w:r w:rsidR="00267BDC" w:rsidRPr="00652FD0">
        <w:t xml:space="preserve">number </w:t>
      </w:r>
      <w:r w:rsidR="00645805" w:rsidRPr="00652FD0">
        <w:t>2</w:t>
      </w:r>
      <w:r w:rsidRPr="00652FD0">
        <w:t>.</w:t>
      </w:r>
    </w:p>
    <w:p w14:paraId="101A23B4" w14:textId="55D85D7F" w:rsidR="00903395" w:rsidRPr="00652FD0" w:rsidRDefault="00903395" w:rsidP="009462B5">
      <w:pPr>
        <w:rPr>
          <w:color w:val="000000"/>
        </w:rPr>
      </w:pPr>
    </w:p>
    <w:p w14:paraId="0837B28A" w14:textId="6BD1ABA1" w:rsidR="00544B48" w:rsidRPr="00652FD0" w:rsidRDefault="00BA79F2" w:rsidP="009462B5">
      <w:pPr>
        <w:pStyle w:val="ListParagraph"/>
        <w:numPr>
          <w:ilvl w:val="0"/>
          <w:numId w:val="43"/>
        </w:numPr>
      </w:pPr>
      <w:r w:rsidRPr="00652FD0">
        <w:t>T</w:t>
      </w:r>
      <w:r w:rsidR="009C1DB3" w:rsidRPr="00652FD0">
        <w:t xml:space="preserve">he principle of </w:t>
      </w:r>
      <w:r w:rsidR="008F2AAB" w:rsidRPr="00652FD0">
        <w:rPr>
          <w:b/>
          <w:bCs/>
          <w:u w:val="single"/>
        </w:rPr>
        <w:t>d</w:t>
      </w:r>
      <w:r w:rsidR="00903395" w:rsidRPr="00652FD0">
        <w:rPr>
          <w:b/>
          <w:bCs/>
          <w:u w:val="single"/>
        </w:rPr>
        <w:t>emocracy at work</w:t>
      </w:r>
      <w:r w:rsidR="00EF4311" w:rsidRPr="00652FD0">
        <w:t xml:space="preserve"> will be considered as cross-cutting in the work of the LMO, which will promote </w:t>
      </w:r>
      <w:r w:rsidR="003D6320" w:rsidRPr="00652FD0">
        <w:t xml:space="preserve">the importance of </w:t>
      </w:r>
      <w:r w:rsidR="00EF4311" w:rsidRPr="00652FD0">
        <w:rPr>
          <w:b/>
          <w:bCs/>
          <w:u w:val="single"/>
        </w:rPr>
        <w:t>collective bargaining</w:t>
      </w:r>
      <w:r w:rsidR="003D6320" w:rsidRPr="00652FD0">
        <w:rPr>
          <w:b/>
          <w:bCs/>
          <w:u w:val="single"/>
        </w:rPr>
        <w:t xml:space="preserve"> and </w:t>
      </w:r>
      <w:r w:rsidR="00EF4311" w:rsidRPr="00652FD0">
        <w:rPr>
          <w:b/>
          <w:bCs/>
          <w:u w:val="single"/>
        </w:rPr>
        <w:t>social dialogue</w:t>
      </w:r>
      <w:r w:rsidR="003D6320" w:rsidRPr="00652FD0">
        <w:rPr>
          <w:b/>
          <w:bCs/>
        </w:rPr>
        <w:t xml:space="preserve"> and </w:t>
      </w:r>
      <w:r w:rsidR="00EF4311" w:rsidRPr="00652FD0">
        <w:rPr>
          <w:b/>
          <w:bCs/>
        </w:rPr>
        <w:t xml:space="preserve">the </w:t>
      </w:r>
      <w:r w:rsidR="00C23579" w:rsidRPr="00652FD0">
        <w:rPr>
          <w:b/>
          <w:bCs/>
        </w:rPr>
        <w:t xml:space="preserve">proper </w:t>
      </w:r>
      <w:r w:rsidR="00EF4311" w:rsidRPr="00652FD0">
        <w:rPr>
          <w:b/>
          <w:bCs/>
        </w:rPr>
        <w:t xml:space="preserve">involvement of </w:t>
      </w:r>
      <w:r w:rsidR="003D6320" w:rsidRPr="00652FD0">
        <w:rPr>
          <w:b/>
          <w:bCs/>
        </w:rPr>
        <w:t>social partners</w:t>
      </w:r>
      <w:r w:rsidR="00EF4311" w:rsidRPr="00652FD0">
        <w:rPr>
          <w:b/>
          <w:bCs/>
        </w:rPr>
        <w:t xml:space="preserve"> </w:t>
      </w:r>
      <w:r w:rsidR="00EF4311" w:rsidRPr="00652FD0">
        <w:t xml:space="preserve">in all policies related to the labour market and skills. </w:t>
      </w:r>
      <w:r w:rsidR="00C23579" w:rsidRPr="00652FD0">
        <w:t>This is particularly timely, as the Council recommendation on strengthening social dialogue in the EU, adopted on 12 June 2023</w:t>
      </w:r>
      <w:r w:rsidR="00C23579" w:rsidRPr="00652FD0">
        <w:rPr>
          <w:rStyle w:val="FootnoteReference"/>
        </w:rPr>
        <w:footnoteReference w:id="7"/>
      </w:r>
      <w:r w:rsidR="00C23579" w:rsidRPr="00652FD0">
        <w:t xml:space="preserve">, will need to be implemented in the Member States. </w:t>
      </w:r>
    </w:p>
    <w:p w14:paraId="4AF1AFCB" w14:textId="77777777" w:rsidR="00544B48" w:rsidRPr="00652FD0" w:rsidRDefault="00544B48" w:rsidP="009462B5">
      <w:pPr>
        <w:pStyle w:val="ListParagraph"/>
        <w:ind w:left="360"/>
      </w:pPr>
    </w:p>
    <w:p w14:paraId="3B34CE16" w14:textId="169A3DEF" w:rsidR="00903395" w:rsidRPr="00652FD0" w:rsidRDefault="00BC12B2" w:rsidP="009462B5">
      <w:pPr>
        <w:pStyle w:val="ListParagraph"/>
        <w:ind w:left="360"/>
      </w:pPr>
      <w:r w:rsidRPr="00652FD0">
        <w:t>As already stated by the EESC, d</w:t>
      </w:r>
      <w:r w:rsidR="00544B48" w:rsidRPr="00652FD0">
        <w:t xml:space="preserve">emocracy at work as a guiding concept should cover all workers and types of work as well as all workplaces, be they private, public or social in nature, irrespective of size, sector or other organisational aspects. The circumstances of SMEs should be considered. </w:t>
      </w:r>
      <w:r w:rsidR="00544B48" w:rsidRPr="00652FD0">
        <w:lastRenderedPageBreak/>
        <w:t>Empirical evidence shows that workers' voices offer the flexibility and room for manoeuvre necessary at workplace level in order to adapt to structural changes</w:t>
      </w:r>
      <w:r w:rsidR="00C23579" w:rsidRPr="00BD008F">
        <w:rPr>
          <w:rStyle w:val="FootnoteReference"/>
          <w:szCs w:val="24"/>
        </w:rPr>
        <w:footnoteReference w:id="8"/>
      </w:r>
      <w:r w:rsidR="00652FD0" w:rsidRPr="00652FD0">
        <w:t>.</w:t>
      </w:r>
    </w:p>
    <w:p w14:paraId="3C9A1750" w14:textId="7E7D217D" w:rsidR="00C23579" w:rsidRPr="00652FD0" w:rsidRDefault="00C23579" w:rsidP="009462B5">
      <w:pPr>
        <w:pStyle w:val="ListParagraph"/>
        <w:ind w:left="360"/>
      </w:pPr>
    </w:p>
    <w:p w14:paraId="217AB8EA" w14:textId="2600F894" w:rsidR="00C23579" w:rsidRPr="00652FD0" w:rsidRDefault="00C23579" w:rsidP="009462B5">
      <w:pPr>
        <w:pStyle w:val="ListParagraph"/>
        <w:ind w:left="360"/>
      </w:pPr>
      <w:r w:rsidRPr="00652FD0">
        <w:t>Principle 8 of the European Pillar of Social Rights states that the social partners are to be consulted on the design and implementation of economic, employment and social policies according to national practices. They are also to be encouraged to negotiate and conclude collective agreements in matters relevant to them, while respecting their autonomy and the right to take collective action. The Pillar of Social Rights also states that support to increase the capacity of the social partners to promote social dialogue is to be encouraged. The Porto Social Commitment</w:t>
      </w:r>
      <w:r w:rsidRPr="00652FD0">
        <w:rPr>
          <w:rStyle w:val="FootnoteReference"/>
        </w:rPr>
        <w:footnoteReference w:id="9"/>
      </w:r>
      <w:r w:rsidRPr="00652FD0">
        <w:t xml:space="preserve"> further called on all relevant actors to promote autonomous social dialogue as a structuring component of the European social model and to strengthen it at European, national, regional, sectorial and company level, with particular emphasis on ensuring an enabling framework for collective bargaining within the various models in Member States.</w:t>
      </w:r>
    </w:p>
    <w:p w14:paraId="55676D66" w14:textId="7BDCB359" w:rsidR="00AE5625" w:rsidRPr="00652FD0" w:rsidRDefault="00AE5625" w:rsidP="009462B5">
      <w:pPr>
        <w:pStyle w:val="ListParagraph"/>
        <w:ind w:left="360"/>
      </w:pPr>
    </w:p>
    <w:p w14:paraId="358FCC46" w14:textId="45D37BBE" w:rsidR="00C52967" w:rsidRPr="00652FD0" w:rsidRDefault="00BA79F2">
      <w:pPr>
        <w:pStyle w:val="ListParagraph"/>
        <w:numPr>
          <w:ilvl w:val="0"/>
          <w:numId w:val="43"/>
        </w:numPr>
      </w:pPr>
      <w:r w:rsidRPr="00652FD0">
        <w:t xml:space="preserve">Finally, </w:t>
      </w:r>
      <w:r w:rsidR="00992206" w:rsidRPr="00652FD0">
        <w:t xml:space="preserve">promoting </w:t>
      </w:r>
      <w:r w:rsidRPr="00652FD0">
        <w:rPr>
          <w:b/>
          <w:bCs/>
          <w:u w:val="single"/>
        </w:rPr>
        <w:t xml:space="preserve">gender equality </w:t>
      </w:r>
      <w:r w:rsidRPr="00652FD0">
        <w:t xml:space="preserve">and </w:t>
      </w:r>
      <w:r w:rsidRPr="00652FD0">
        <w:rPr>
          <w:b/>
          <w:bCs/>
          <w:u w:val="single"/>
        </w:rPr>
        <w:t>youth empowerment</w:t>
      </w:r>
      <w:r w:rsidRPr="00652FD0">
        <w:t xml:space="preserve"> will be mainstreamed into all the activities of the Observatory, </w:t>
      </w:r>
      <w:r w:rsidR="00BD03DB" w:rsidRPr="00652FD0">
        <w:t>which</w:t>
      </w:r>
      <w:r w:rsidRPr="00652FD0">
        <w:t xml:space="preserve"> will </w:t>
      </w:r>
      <w:r w:rsidR="00992206" w:rsidRPr="00652FD0">
        <w:t>seek synergies</w:t>
      </w:r>
      <w:r w:rsidRPr="00652FD0">
        <w:t xml:space="preserve"> with </w:t>
      </w:r>
      <w:r w:rsidR="00BD03DB" w:rsidRPr="00652FD0">
        <w:t xml:space="preserve">the </w:t>
      </w:r>
      <w:r w:rsidRPr="00652FD0">
        <w:t xml:space="preserve">EESC's Ad Hoc Group on Equality and the Ad hoc </w:t>
      </w:r>
      <w:r w:rsidR="00BB59CF" w:rsidRPr="00652FD0">
        <w:t>G</w:t>
      </w:r>
      <w:r w:rsidRPr="00652FD0">
        <w:t xml:space="preserve">roup on </w:t>
      </w:r>
      <w:r w:rsidR="00BB59CF" w:rsidRPr="00652FD0">
        <w:t>Y</w:t>
      </w:r>
      <w:r w:rsidRPr="00652FD0">
        <w:t xml:space="preserve">outh </w:t>
      </w:r>
      <w:r w:rsidR="00BB59CF" w:rsidRPr="00652FD0">
        <w:t>E</w:t>
      </w:r>
      <w:r w:rsidRPr="00652FD0">
        <w:t xml:space="preserve">ngagement (EESC Youth Group). </w:t>
      </w:r>
      <w:r w:rsidR="00992206" w:rsidRPr="00652FD0">
        <w:t>In particular, t</w:t>
      </w:r>
      <w:r w:rsidRPr="00652FD0">
        <w:t xml:space="preserve">he LMO will </w:t>
      </w:r>
      <w:r w:rsidR="00992206" w:rsidRPr="00652FD0">
        <w:t xml:space="preserve">advocate </w:t>
      </w:r>
      <w:r w:rsidR="00BD03DB" w:rsidRPr="00652FD0">
        <w:t>to</w:t>
      </w:r>
      <w:r w:rsidR="00992206" w:rsidRPr="00652FD0">
        <w:t xml:space="preserve"> involv</w:t>
      </w:r>
      <w:r w:rsidR="00BD03DB" w:rsidRPr="00652FD0">
        <w:t>e</w:t>
      </w:r>
      <w:r w:rsidR="00992206" w:rsidRPr="00652FD0">
        <w:t xml:space="preserve"> </w:t>
      </w:r>
      <w:r w:rsidRPr="00652FD0">
        <w:t>young people in its work and in the EU decision-making process</w:t>
      </w:r>
      <w:r w:rsidR="00992206" w:rsidRPr="00652FD0">
        <w:t>,</w:t>
      </w:r>
      <w:r w:rsidRPr="00652FD0">
        <w:t xml:space="preserve"> in a structured and meaningful way</w:t>
      </w:r>
      <w:r w:rsidR="00992206" w:rsidRPr="00652FD0">
        <w:t xml:space="preserve">. The Labour Market Observatory will implement the Manifesto put forward by </w:t>
      </w:r>
      <w:r w:rsidRPr="00652FD0">
        <w:t>EESC President</w:t>
      </w:r>
      <w:r w:rsidR="00992206" w:rsidRPr="00652FD0">
        <w:t xml:space="preserve"> Oliver </w:t>
      </w:r>
      <w:proofErr w:type="spellStart"/>
      <w:r w:rsidR="00992206" w:rsidRPr="00652FD0">
        <w:t>Röpke</w:t>
      </w:r>
      <w:proofErr w:type="spellEnd"/>
      <w:r w:rsidR="00992206" w:rsidRPr="00652FD0">
        <w:t xml:space="preserve"> </w:t>
      </w:r>
      <w:r w:rsidRPr="00652FD0">
        <w:t xml:space="preserve">and </w:t>
      </w:r>
      <w:r w:rsidR="00992206" w:rsidRPr="00652FD0">
        <w:t xml:space="preserve">the ensuing EESC Bureau decisions, as well as </w:t>
      </w:r>
      <w:r w:rsidR="00BD03DB" w:rsidRPr="00652FD0">
        <w:t xml:space="preserve">the </w:t>
      </w:r>
      <w:r w:rsidRPr="00652FD0">
        <w:t>EESC's opinions on youth</w:t>
      </w:r>
      <w:r w:rsidRPr="00652FD0">
        <w:rPr>
          <w:rStyle w:val="FootnoteReference"/>
        </w:rPr>
        <w:footnoteReference w:id="10"/>
      </w:r>
      <w:r w:rsidRPr="00652FD0">
        <w:t>.</w:t>
      </w:r>
      <w:r w:rsidR="00992206" w:rsidRPr="00652FD0">
        <w:t xml:space="preserve"> </w:t>
      </w:r>
      <w:r w:rsidR="00572E56" w:rsidRPr="00652FD0">
        <w:t xml:space="preserve">To start with, the LMO will </w:t>
      </w:r>
      <w:r w:rsidR="00572E56" w:rsidRPr="00652FD0">
        <w:rPr>
          <w:b/>
          <w:bCs/>
        </w:rPr>
        <w:t>map youth organisations</w:t>
      </w:r>
      <w:r w:rsidR="00572E56" w:rsidRPr="00652FD0">
        <w:t xml:space="preserve"> active in its field and organise </w:t>
      </w:r>
      <w:r w:rsidR="00572E56" w:rsidRPr="00652FD0">
        <w:rPr>
          <w:b/>
          <w:bCs/>
        </w:rPr>
        <w:t>meetings</w:t>
      </w:r>
      <w:r w:rsidR="00572E56" w:rsidRPr="00652FD0">
        <w:t xml:space="preserve"> with them. T</w:t>
      </w:r>
      <w:r w:rsidR="00992206" w:rsidRPr="00652FD0">
        <w:t xml:space="preserve">he Observatory will provide a </w:t>
      </w:r>
      <w:r w:rsidR="00992206" w:rsidRPr="00652FD0">
        <w:rPr>
          <w:b/>
          <w:bCs/>
        </w:rPr>
        <w:t>standing invitation to youth representatives</w:t>
      </w:r>
      <w:r w:rsidR="00992206" w:rsidRPr="00652FD0">
        <w:t xml:space="preserve"> to participate in its work</w:t>
      </w:r>
      <w:r w:rsidR="00C52967" w:rsidRPr="00652FD0">
        <w:rPr>
          <w:rStyle w:val="FootnoteReference"/>
        </w:rPr>
        <w:footnoteReference w:id="11"/>
      </w:r>
      <w:r w:rsidR="00C52967" w:rsidRPr="00652FD0">
        <w:t xml:space="preserve">. It will implement the </w:t>
      </w:r>
      <w:r w:rsidR="00C52967" w:rsidRPr="00652FD0">
        <w:rPr>
          <w:b/>
          <w:bCs/>
        </w:rPr>
        <w:t xml:space="preserve">participatory mechanism </w:t>
      </w:r>
      <w:r w:rsidR="00C52967" w:rsidRPr="00652FD0">
        <w:t xml:space="preserve">that will be put in place at the Committee to ensure that young people have the possibility to contribute to the </w:t>
      </w:r>
      <w:r w:rsidR="00BB59CF" w:rsidRPr="00652FD0">
        <w:t xml:space="preserve">Committee's </w:t>
      </w:r>
      <w:r w:rsidR="00C52967" w:rsidRPr="00652FD0">
        <w:t>work and that there is space for dialogue between EESC members and external youth organisations</w:t>
      </w:r>
      <w:r w:rsidR="00C52967" w:rsidRPr="00652FD0">
        <w:rPr>
          <w:rStyle w:val="FootnoteReference"/>
        </w:rPr>
        <w:footnoteReference w:id="12"/>
      </w:r>
      <w:r w:rsidR="00C52967" w:rsidRPr="00652FD0">
        <w:t>.</w:t>
      </w:r>
    </w:p>
    <w:p w14:paraId="49B06CB3" w14:textId="1AA4AD07" w:rsidR="00C52967" w:rsidRPr="00652FD0" w:rsidRDefault="00C52967" w:rsidP="009462B5"/>
    <w:p w14:paraId="3A8EA442" w14:textId="77777777" w:rsidR="00565ABF" w:rsidRPr="00652FD0" w:rsidRDefault="00565ABF" w:rsidP="009462B5"/>
    <w:p w14:paraId="1BC407A1" w14:textId="52A97B2B" w:rsidR="00DE420E" w:rsidRPr="00652FD0" w:rsidRDefault="00603A8D" w:rsidP="009462B5">
      <w:pPr>
        <w:pStyle w:val="ListParagraph"/>
        <w:numPr>
          <w:ilvl w:val="0"/>
          <w:numId w:val="51"/>
        </w:numPr>
        <w:ind w:left="567" w:hanging="567"/>
        <w:rPr>
          <w:b/>
          <w:bCs/>
          <w:color w:val="0000CC"/>
          <w:sz w:val="28"/>
          <w:szCs w:val="28"/>
        </w:rPr>
      </w:pPr>
      <w:r w:rsidRPr="00652FD0">
        <w:rPr>
          <w:b/>
          <w:bCs/>
          <w:color w:val="0000CC"/>
          <w:sz w:val="28"/>
          <w:szCs w:val="28"/>
        </w:rPr>
        <w:t xml:space="preserve">Working methods </w:t>
      </w:r>
      <w:r w:rsidR="00DE420E" w:rsidRPr="00652FD0">
        <w:rPr>
          <w:b/>
          <w:bCs/>
          <w:color w:val="0000CC"/>
          <w:sz w:val="28"/>
          <w:szCs w:val="28"/>
        </w:rPr>
        <w:t xml:space="preserve">in </w:t>
      </w:r>
      <w:r w:rsidRPr="00652FD0">
        <w:rPr>
          <w:b/>
          <w:bCs/>
          <w:color w:val="0000CC"/>
          <w:sz w:val="28"/>
          <w:szCs w:val="28"/>
        </w:rPr>
        <w:t>the 2023-2025 LMO term of office</w:t>
      </w:r>
    </w:p>
    <w:p w14:paraId="0CBE3766" w14:textId="77777777" w:rsidR="00DE420E" w:rsidRPr="00652FD0" w:rsidRDefault="00DE420E" w:rsidP="009462B5">
      <w:pPr>
        <w:rPr>
          <w:b/>
          <w:bCs/>
        </w:rPr>
      </w:pPr>
    </w:p>
    <w:p w14:paraId="1211F5B9" w14:textId="7D6C7BE2" w:rsidR="00760E6D" w:rsidRPr="00652FD0" w:rsidRDefault="00760E6D" w:rsidP="0094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D0">
        <w:t>The Observatory president, its vice-presidents and all members, as well as the secretariat have</w:t>
      </w:r>
      <w:r w:rsidR="00E1109D" w:rsidRPr="00652FD0">
        <w:t xml:space="preserve"> </w:t>
      </w:r>
      <w:r w:rsidRPr="00652FD0">
        <w:t>different but crucial roles to play in co-designing and co-creating its activities.</w:t>
      </w:r>
    </w:p>
    <w:p w14:paraId="36685DC8" w14:textId="77777777" w:rsidR="00760E6D" w:rsidRPr="00652FD0" w:rsidRDefault="00760E6D" w:rsidP="0094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14:paraId="516217A1" w14:textId="560C716E" w:rsidR="00696827" w:rsidRPr="00652FD0" w:rsidRDefault="00696827" w:rsidP="0094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lang w:eastAsia="pl-PL"/>
        </w:rPr>
      </w:pPr>
      <w:r w:rsidRPr="00652FD0">
        <w:rPr>
          <w:lang w:eastAsia="pl-PL"/>
        </w:rPr>
        <w:t>The following LMO activities are planned</w:t>
      </w:r>
      <w:r w:rsidR="00C70AFE" w:rsidRPr="00652FD0">
        <w:rPr>
          <w:lang w:eastAsia="pl-PL"/>
        </w:rPr>
        <w:t xml:space="preserve"> for 20</w:t>
      </w:r>
      <w:r w:rsidR="00EF4311" w:rsidRPr="00652FD0">
        <w:rPr>
          <w:lang w:eastAsia="pl-PL"/>
        </w:rPr>
        <w:t>23</w:t>
      </w:r>
      <w:r w:rsidR="00C70AFE" w:rsidRPr="00652FD0">
        <w:rPr>
          <w:lang w:eastAsia="pl-PL"/>
        </w:rPr>
        <w:t>-202</w:t>
      </w:r>
      <w:r w:rsidR="00EF4311" w:rsidRPr="00652FD0">
        <w:rPr>
          <w:lang w:eastAsia="pl-PL"/>
        </w:rPr>
        <w:t>5</w:t>
      </w:r>
      <w:r w:rsidRPr="00652FD0">
        <w:rPr>
          <w:lang w:eastAsia="pl-PL"/>
        </w:rPr>
        <w:t>:</w:t>
      </w:r>
    </w:p>
    <w:p w14:paraId="72078CB4" w14:textId="3386AC73" w:rsidR="003F1CAA" w:rsidRPr="00652FD0" w:rsidRDefault="003F1CAA" w:rsidP="009462B5"/>
    <w:p w14:paraId="221803F8" w14:textId="4AE6F3CB" w:rsidR="00603A8D" w:rsidRPr="00652FD0" w:rsidRDefault="00603A8D" w:rsidP="009462B5">
      <w:pPr>
        <w:pStyle w:val="ListParagraph"/>
        <w:keepNext/>
        <w:numPr>
          <w:ilvl w:val="0"/>
          <w:numId w:val="14"/>
        </w:numPr>
        <w:rPr>
          <w:b/>
          <w:bCs/>
        </w:rPr>
      </w:pPr>
      <w:r w:rsidRPr="00652FD0">
        <w:rPr>
          <w:b/>
          <w:bCs/>
        </w:rPr>
        <w:lastRenderedPageBreak/>
        <w:t>Types of activities</w:t>
      </w:r>
    </w:p>
    <w:p w14:paraId="195CEC33" w14:textId="77777777" w:rsidR="00603A8D" w:rsidRPr="00652FD0" w:rsidRDefault="00603A8D" w:rsidP="009462B5">
      <w:pPr>
        <w:keepNext/>
        <w:rPr>
          <w:b/>
          <w:bCs/>
        </w:rPr>
      </w:pPr>
    </w:p>
    <w:p w14:paraId="050D96E4" w14:textId="0DF08A5B" w:rsidR="00603A8D" w:rsidRPr="00652FD0" w:rsidRDefault="00603A8D">
      <w:pPr>
        <w:pStyle w:val="ListParagraph"/>
        <w:numPr>
          <w:ilvl w:val="0"/>
          <w:numId w:val="45"/>
        </w:numPr>
        <w:rPr>
          <w:b/>
        </w:rPr>
      </w:pPr>
      <w:r w:rsidRPr="00652FD0">
        <w:rPr>
          <w:b/>
        </w:rPr>
        <w:t xml:space="preserve">Internal meetings and </w:t>
      </w:r>
      <w:r w:rsidR="009F038F" w:rsidRPr="00652FD0">
        <w:rPr>
          <w:b/>
          <w:bCs/>
        </w:rPr>
        <w:t>p</w:t>
      </w:r>
      <w:r w:rsidRPr="00652FD0">
        <w:rPr>
          <w:b/>
          <w:bCs/>
        </w:rPr>
        <w:t>ublic events</w:t>
      </w:r>
    </w:p>
    <w:p w14:paraId="5FF88BCA" w14:textId="77777777" w:rsidR="00267BDC" w:rsidRPr="009462B5" w:rsidRDefault="00267BDC" w:rsidP="009462B5">
      <w:pPr>
        <w:pStyle w:val="ListParagraph"/>
        <w:ind w:left="0"/>
        <w:rPr>
          <w:bCs/>
        </w:rPr>
      </w:pPr>
    </w:p>
    <w:p w14:paraId="6FC9D329" w14:textId="4809B1BA" w:rsidR="00603A8D" w:rsidRPr="00652FD0" w:rsidRDefault="00603A8D" w:rsidP="009462B5">
      <w:r w:rsidRPr="00652FD0">
        <w:t xml:space="preserve">The Observatory is entitled to hold up to </w:t>
      </w:r>
      <w:r w:rsidRPr="00652FD0">
        <w:rPr>
          <w:b/>
          <w:bCs/>
        </w:rPr>
        <w:t>three meetings a year</w:t>
      </w:r>
      <w:r w:rsidRPr="00652FD0">
        <w:t xml:space="preserve"> without specific authorisation by the Bureau, with any additional meetings requiring authorisation by the Bureau and the </w:t>
      </w:r>
      <w:r w:rsidR="009F038F" w:rsidRPr="00652FD0">
        <w:t>CAF (Commission for Financial and Budgetary Affairs)</w:t>
      </w:r>
      <w:r w:rsidRPr="009462B5">
        <w:rPr>
          <w:rStyle w:val="FootnoteReference"/>
          <w:szCs w:val="24"/>
        </w:rPr>
        <w:footnoteReference w:id="13"/>
      </w:r>
      <w:r w:rsidRPr="00652FD0">
        <w:t xml:space="preserve">. </w:t>
      </w:r>
      <w:r w:rsidR="009F038F" w:rsidRPr="00652FD0">
        <w:t>The meetings can take the form of public events.</w:t>
      </w:r>
    </w:p>
    <w:p w14:paraId="73128D75" w14:textId="7A765B16" w:rsidR="003F1CAA" w:rsidRPr="00652FD0" w:rsidRDefault="003F1CAA" w:rsidP="009462B5"/>
    <w:p w14:paraId="4C393971" w14:textId="56EC6B2E" w:rsidR="003F1CAA" w:rsidRPr="00652FD0" w:rsidRDefault="003F1CAA">
      <w:pPr>
        <w:tabs>
          <w:tab w:val="left" w:pos="2127"/>
        </w:tabs>
      </w:pPr>
      <w:r w:rsidRPr="00652FD0">
        <w:t xml:space="preserve">The topics of events will be </w:t>
      </w:r>
      <w:r w:rsidR="00BC12B2" w:rsidRPr="00652FD0">
        <w:t xml:space="preserve">chosen </w:t>
      </w:r>
      <w:r w:rsidRPr="00652FD0">
        <w:t>in due time, considering</w:t>
      </w:r>
      <w:r w:rsidR="00BC12B2" w:rsidRPr="00652FD0">
        <w:t>,</w:t>
      </w:r>
      <w:r w:rsidRPr="00652FD0">
        <w:t xml:space="preserve"> among other</w:t>
      </w:r>
      <w:r w:rsidR="00BD03DB" w:rsidRPr="00652FD0">
        <w:t xml:space="preserve"> things</w:t>
      </w:r>
      <w:r w:rsidR="00BC12B2" w:rsidRPr="00652FD0">
        <w:t>,</w:t>
      </w:r>
      <w:r w:rsidRPr="00652FD0">
        <w:t xml:space="preserve"> European Commission initiatives, activities of </w:t>
      </w:r>
      <w:r w:rsidR="00BC12B2" w:rsidRPr="00652FD0">
        <w:t xml:space="preserve">EU institutions, priorities of EU </w:t>
      </w:r>
      <w:r w:rsidR="00BD03DB" w:rsidRPr="00652FD0">
        <w:t>p</w:t>
      </w:r>
      <w:r w:rsidR="00BC12B2" w:rsidRPr="00652FD0">
        <w:t xml:space="preserve">residencies, </w:t>
      </w:r>
      <w:r w:rsidR="007043E3" w:rsidRPr="00652FD0">
        <w:t xml:space="preserve">and </w:t>
      </w:r>
      <w:r w:rsidRPr="00652FD0">
        <w:t xml:space="preserve">proposals from civil society organisations and EESC </w:t>
      </w:r>
      <w:r w:rsidR="00BD03DB" w:rsidRPr="00652FD0">
        <w:t>m</w:t>
      </w:r>
      <w:r w:rsidRPr="00652FD0">
        <w:t>embers</w:t>
      </w:r>
      <w:r w:rsidR="00BC12B2" w:rsidRPr="00652FD0">
        <w:t>, especially if an</w:t>
      </w:r>
      <w:r w:rsidRPr="00652FD0">
        <w:t xml:space="preserve"> event </w:t>
      </w:r>
      <w:r w:rsidR="00BC12B2" w:rsidRPr="00652FD0">
        <w:t xml:space="preserve">is </w:t>
      </w:r>
      <w:r w:rsidRPr="00652FD0">
        <w:t xml:space="preserve">organised in their country. </w:t>
      </w:r>
    </w:p>
    <w:p w14:paraId="7B2A7943" w14:textId="77777777" w:rsidR="00BA0F46" w:rsidRPr="00652FD0" w:rsidRDefault="00BA0F46">
      <w:pPr>
        <w:tabs>
          <w:tab w:val="left" w:pos="2127"/>
        </w:tabs>
      </w:pPr>
    </w:p>
    <w:p w14:paraId="277AF188" w14:textId="19A5DDDE" w:rsidR="00BA0F46" w:rsidRPr="00652FD0" w:rsidRDefault="00BA0F46">
      <w:pPr>
        <w:tabs>
          <w:tab w:val="left" w:pos="2127"/>
        </w:tabs>
      </w:pPr>
      <w:r w:rsidRPr="00652FD0">
        <w:t>The events should create an opportunity for various stakeholders to meet and exchange views on key European policies related to the labour market</w:t>
      </w:r>
      <w:r w:rsidR="00C520EE" w:rsidRPr="00652FD0">
        <w:t xml:space="preserve"> and skills </w:t>
      </w:r>
      <w:r w:rsidRPr="00652FD0">
        <w:t xml:space="preserve">and understand </w:t>
      </w:r>
      <w:r w:rsidR="00BD03DB" w:rsidRPr="00652FD0">
        <w:t xml:space="preserve">the </w:t>
      </w:r>
      <w:r w:rsidRPr="00652FD0">
        <w:t xml:space="preserve">EESC's positions on the topics discussed. These events will underline </w:t>
      </w:r>
      <w:r w:rsidR="00BD03DB" w:rsidRPr="00652FD0">
        <w:t xml:space="preserve">the </w:t>
      </w:r>
      <w:r w:rsidRPr="00652FD0">
        <w:t xml:space="preserve">EESC's key role as a representative of European organised civil society. </w:t>
      </w:r>
    </w:p>
    <w:p w14:paraId="62C40E8B" w14:textId="166ED14D" w:rsidR="00EF002A" w:rsidRPr="00652FD0" w:rsidRDefault="00EF002A">
      <w:pPr>
        <w:tabs>
          <w:tab w:val="left" w:pos="2127"/>
        </w:tabs>
      </w:pPr>
    </w:p>
    <w:p w14:paraId="3460328B" w14:textId="31F048E7" w:rsidR="00EF002A" w:rsidRPr="00652FD0" w:rsidRDefault="00EF002A">
      <w:pPr>
        <w:tabs>
          <w:tab w:val="left" w:pos="2127"/>
        </w:tabs>
      </w:pPr>
      <w:r w:rsidRPr="00652FD0">
        <w:t xml:space="preserve">They will be organised as much as possible in </w:t>
      </w:r>
      <w:r w:rsidRPr="00652FD0">
        <w:rPr>
          <w:b/>
        </w:rPr>
        <w:t>cooperation</w:t>
      </w:r>
      <w:r w:rsidRPr="00652FD0">
        <w:t xml:space="preserve"> with the European institutions, EU agencies, international organisations, EU-level civil society organisations and </w:t>
      </w:r>
      <w:r w:rsidR="00BD03DB" w:rsidRPr="00652FD0">
        <w:t xml:space="preserve">the </w:t>
      </w:r>
      <w:r w:rsidRPr="00652FD0">
        <w:t>EESC's sections, CCMI, observatories, the EESC's Liaison Group with European civil society organisations and networks and other EESC bodies.</w:t>
      </w:r>
    </w:p>
    <w:p w14:paraId="3290C15A" w14:textId="77777777" w:rsidR="00BA0F46" w:rsidRPr="00652FD0" w:rsidRDefault="00BA0F46"/>
    <w:p w14:paraId="76567674" w14:textId="7B073AD9" w:rsidR="00BA0F46" w:rsidRPr="00652FD0" w:rsidRDefault="00BA0F46">
      <w:r w:rsidRPr="00652FD0">
        <w:t xml:space="preserve">It is intended that at least three of the public events (LMO meetings) in the term of office will be held </w:t>
      </w:r>
      <w:r w:rsidRPr="00652FD0">
        <w:rPr>
          <w:b/>
        </w:rPr>
        <w:t>in EU Member States</w:t>
      </w:r>
      <w:r w:rsidRPr="00652FD0">
        <w:t>, if it is possible to organise them in close partnership with national organisations or institutions (such as national Economic and Social Councils, civil society organisations or public institutions) and in cooperation with EESC members from the host country.</w:t>
      </w:r>
      <w:r w:rsidR="00AC6CBA" w:rsidRPr="00652FD0">
        <w:t xml:space="preserve"> </w:t>
      </w:r>
    </w:p>
    <w:p w14:paraId="101AD9D4" w14:textId="77777777" w:rsidR="009F038F" w:rsidRPr="00652FD0" w:rsidRDefault="009F038F"/>
    <w:p w14:paraId="270626AA" w14:textId="54F85D47" w:rsidR="009F038F" w:rsidRPr="00652FD0" w:rsidRDefault="009F038F">
      <w:pPr>
        <w:pStyle w:val="ListParagraph"/>
        <w:numPr>
          <w:ilvl w:val="0"/>
          <w:numId w:val="45"/>
        </w:numPr>
        <w:rPr>
          <w:b/>
        </w:rPr>
      </w:pPr>
      <w:r w:rsidRPr="00652FD0">
        <w:rPr>
          <w:b/>
        </w:rPr>
        <w:t>Fact-finding missions / Working visits</w:t>
      </w:r>
    </w:p>
    <w:p w14:paraId="320610BD" w14:textId="77777777" w:rsidR="009F038F" w:rsidRPr="009462B5" w:rsidRDefault="009F038F">
      <w:pPr>
        <w:rPr>
          <w:bCs/>
        </w:rPr>
      </w:pPr>
    </w:p>
    <w:p w14:paraId="2C5A80A6" w14:textId="55E0B79C" w:rsidR="009F038F" w:rsidRPr="00652FD0" w:rsidRDefault="009F038F">
      <w:r w:rsidRPr="00652FD0">
        <w:t xml:space="preserve">To encourage exchanges of </w:t>
      </w:r>
      <w:r w:rsidR="00760E6D" w:rsidRPr="00652FD0">
        <w:t xml:space="preserve">information, </w:t>
      </w:r>
      <w:r w:rsidRPr="00652FD0">
        <w:t xml:space="preserve">experience and good practices with civil society organisations, national authorities or economic and social councils of Member States, </w:t>
      </w:r>
      <w:r w:rsidR="00760E6D" w:rsidRPr="00652FD0">
        <w:t xml:space="preserve">as well as with </w:t>
      </w:r>
      <w:r w:rsidRPr="00652FD0">
        <w:t xml:space="preserve">EU agencies, the </w:t>
      </w:r>
      <w:r w:rsidR="00760E6D" w:rsidRPr="00652FD0">
        <w:t>LMO</w:t>
      </w:r>
      <w:r w:rsidRPr="00652FD0">
        <w:t xml:space="preserve"> can organise fact-finding missions or working visits</w:t>
      </w:r>
      <w:r w:rsidR="00760E6D" w:rsidRPr="00652FD0">
        <w:t xml:space="preserve">, </w:t>
      </w:r>
      <w:r w:rsidRPr="00652FD0">
        <w:t xml:space="preserve">subject to the prior authorisation of the Bureau and of the CAF. </w:t>
      </w:r>
    </w:p>
    <w:p w14:paraId="77FF0623" w14:textId="77777777" w:rsidR="000A2629" w:rsidRPr="00652FD0" w:rsidRDefault="000A2629" w:rsidP="009462B5">
      <w:pPr>
        <w:jc w:val="left"/>
      </w:pPr>
    </w:p>
    <w:p w14:paraId="03DA2EF4" w14:textId="0784EB3F" w:rsidR="00EF4311" w:rsidRPr="00652FD0" w:rsidRDefault="00EF4311">
      <w:pPr>
        <w:pStyle w:val="ListParagraph"/>
        <w:numPr>
          <w:ilvl w:val="0"/>
          <w:numId w:val="45"/>
        </w:numPr>
        <w:rPr>
          <w:b/>
        </w:rPr>
      </w:pPr>
      <w:r w:rsidRPr="00652FD0">
        <w:rPr>
          <w:b/>
        </w:rPr>
        <w:t xml:space="preserve">A study from the </w:t>
      </w:r>
      <w:r w:rsidR="003D6320" w:rsidRPr="00652FD0">
        <w:rPr>
          <w:b/>
        </w:rPr>
        <w:t>perspective of social partners and civil society organisations</w:t>
      </w:r>
    </w:p>
    <w:p w14:paraId="6447EDD4" w14:textId="617B9C49" w:rsidR="00EF4311" w:rsidRPr="00652FD0" w:rsidRDefault="00EF4311" w:rsidP="009462B5">
      <w:pPr>
        <w:pStyle w:val="WW-Standard"/>
        <w:suppressAutoHyphens w:val="0"/>
        <w:contextualSpacing/>
        <w:textAlignment w:val="auto"/>
        <w:rPr>
          <w:szCs w:val="22"/>
        </w:rPr>
      </w:pPr>
    </w:p>
    <w:p w14:paraId="586F9AAC" w14:textId="11417667" w:rsidR="00EF4311" w:rsidRPr="00652FD0" w:rsidRDefault="00EF4311" w:rsidP="009462B5">
      <w:r w:rsidRPr="00652FD0">
        <w:t xml:space="preserve">The </w:t>
      </w:r>
      <w:r w:rsidR="00760E6D" w:rsidRPr="00652FD0">
        <w:t xml:space="preserve">LMO can carry out a </w:t>
      </w:r>
      <w:r w:rsidRPr="00652FD0">
        <w:t xml:space="preserve">study to illustrate the views of the social partners and organised civil society organisations on policies and implementation instruments related to </w:t>
      </w:r>
      <w:r w:rsidR="00E72DB2" w:rsidRPr="00652FD0">
        <w:t>a given</w:t>
      </w:r>
      <w:r w:rsidRPr="00652FD0">
        <w:t xml:space="preserve"> topic</w:t>
      </w:r>
      <w:r w:rsidR="007043E3" w:rsidRPr="00652FD0">
        <w:t>,</w:t>
      </w:r>
      <w:r w:rsidRPr="00652FD0">
        <w:t xml:space="preserve"> and assess the level of involvement of the social partners and civil society organisations in these policies and their initiatives.</w:t>
      </w:r>
    </w:p>
    <w:p w14:paraId="4C8DAE32" w14:textId="77777777" w:rsidR="00EF4311" w:rsidRPr="00652FD0" w:rsidRDefault="00EF4311" w:rsidP="009462B5">
      <w:pPr>
        <w:pStyle w:val="ListParagraph"/>
        <w:ind w:left="0"/>
      </w:pPr>
    </w:p>
    <w:p w14:paraId="72609BB6" w14:textId="7C495B73" w:rsidR="00EF4311" w:rsidRPr="00652FD0" w:rsidRDefault="00EF4311" w:rsidP="009462B5">
      <w:pPr>
        <w:pStyle w:val="ListParagraph"/>
        <w:ind w:left="0"/>
      </w:pPr>
      <w:r w:rsidRPr="00652FD0">
        <w:t xml:space="preserve">This </w:t>
      </w:r>
      <w:r w:rsidR="00760E6D" w:rsidRPr="00652FD0">
        <w:t xml:space="preserve">study </w:t>
      </w:r>
      <w:r w:rsidRPr="00652FD0">
        <w:t>will provide an opportunity for mutual learning and better understanding of national policies, good practices and challenges. It will give national social partners and other civil society organisations an opportunity to make comments and recommendations that will be discussed in the EESC and</w:t>
      </w:r>
      <w:r w:rsidR="00DF2C8B" w:rsidRPr="00652FD0">
        <w:t xml:space="preserve">, upon decision of the EESC assembly, </w:t>
      </w:r>
      <w:r w:rsidRPr="00652FD0">
        <w:t>put forward to the European institutions.</w:t>
      </w:r>
      <w:r w:rsidR="00DF2C8B" w:rsidRPr="00652FD0">
        <w:t xml:space="preserve"> </w:t>
      </w:r>
    </w:p>
    <w:p w14:paraId="7F42965D" w14:textId="77777777" w:rsidR="00EF4311" w:rsidRPr="00652FD0" w:rsidRDefault="00EF4311"/>
    <w:p w14:paraId="388F7ABA" w14:textId="77777777" w:rsidR="00EF4311" w:rsidRPr="00652FD0" w:rsidRDefault="00EF4311" w:rsidP="009462B5">
      <w:pPr>
        <w:pStyle w:val="T11Title2"/>
        <w:spacing w:line="288" w:lineRule="auto"/>
        <w:ind w:left="-720" w:firstLine="720"/>
        <w:jc w:val="both"/>
        <w:rPr>
          <w:rFonts w:ascii="Times New Roman" w:hAnsi="Times New Roman"/>
          <w:b w:val="0"/>
          <w:snapToGrid/>
          <w:sz w:val="22"/>
          <w:szCs w:val="22"/>
        </w:rPr>
      </w:pPr>
      <w:r w:rsidRPr="00652FD0">
        <w:rPr>
          <w:rFonts w:ascii="Times New Roman" w:hAnsi="Times New Roman"/>
          <w:b w:val="0"/>
          <w:snapToGrid/>
          <w:sz w:val="22"/>
          <w:szCs w:val="22"/>
        </w:rPr>
        <w:t>The study will be conducted by way of:</w:t>
      </w:r>
    </w:p>
    <w:p w14:paraId="7363FEAB" w14:textId="77777777" w:rsidR="00EF4311" w:rsidRPr="00652FD0" w:rsidRDefault="00EF4311" w:rsidP="009462B5">
      <w:pPr>
        <w:pStyle w:val="T11Title2"/>
        <w:spacing w:line="288" w:lineRule="auto"/>
        <w:ind w:left="-720" w:firstLine="720"/>
        <w:jc w:val="both"/>
        <w:rPr>
          <w:rFonts w:ascii="Times New Roman" w:hAnsi="Times New Roman"/>
          <w:b w:val="0"/>
          <w:snapToGrid/>
          <w:sz w:val="22"/>
          <w:szCs w:val="22"/>
        </w:rPr>
      </w:pPr>
    </w:p>
    <w:p w14:paraId="5E2DE2CD" w14:textId="6DB3C394" w:rsidR="00EF4311" w:rsidRPr="00652FD0" w:rsidRDefault="00EF4311" w:rsidP="009462B5">
      <w:pPr>
        <w:pStyle w:val="ListParagraph"/>
        <w:numPr>
          <w:ilvl w:val="0"/>
          <w:numId w:val="11"/>
        </w:numPr>
        <w:overflowPunct w:val="0"/>
        <w:autoSpaceDE w:val="0"/>
        <w:autoSpaceDN w:val="0"/>
        <w:adjustRightInd w:val="0"/>
        <w:ind w:left="714" w:hanging="357"/>
        <w:textAlignment w:val="baseline"/>
        <w:rPr>
          <w:b/>
        </w:rPr>
      </w:pPr>
      <w:r w:rsidRPr="00652FD0">
        <w:t xml:space="preserve">a </w:t>
      </w:r>
      <w:r w:rsidRPr="00652FD0">
        <w:rPr>
          <w:i/>
        </w:rPr>
        <w:t>questionnaire</w:t>
      </w:r>
      <w:r w:rsidRPr="00652FD0">
        <w:t xml:space="preserve"> that will be sent to the main social partners and civil society organisations of </w:t>
      </w:r>
      <w:r w:rsidR="00E72DB2" w:rsidRPr="00652FD0">
        <w:t xml:space="preserve">a selection of </w:t>
      </w:r>
      <w:r w:rsidRPr="00652FD0">
        <w:t xml:space="preserve">countries; </w:t>
      </w:r>
    </w:p>
    <w:p w14:paraId="2162B5E8" w14:textId="17680ED5" w:rsidR="00EF4311" w:rsidRPr="00652FD0" w:rsidRDefault="00EF4311" w:rsidP="009462B5">
      <w:pPr>
        <w:pStyle w:val="ListParagraph"/>
        <w:numPr>
          <w:ilvl w:val="0"/>
          <w:numId w:val="11"/>
        </w:numPr>
        <w:overflowPunct w:val="0"/>
        <w:autoSpaceDE w:val="0"/>
        <w:autoSpaceDN w:val="0"/>
        <w:adjustRightInd w:val="0"/>
        <w:ind w:left="714" w:hanging="357"/>
        <w:textAlignment w:val="baseline"/>
        <w:rPr>
          <w:b/>
        </w:rPr>
      </w:pPr>
      <w:r w:rsidRPr="00652FD0">
        <w:rPr>
          <w:i/>
        </w:rPr>
        <w:t>interviews on the ground</w:t>
      </w:r>
      <w:r w:rsidRPr="00652FD0">
        <w:t xml:space="preserve"> with representatives of the main umbrella trade unions and employers' organi</w:t>
      </w:r>
      <w:r w:rsidR="00BD03DB" w:rsidRPr="00652FD0">
        <w:t>s</w:t>
      </w:r>
      <w:r w:rsidRPr="00652FD0">
        <w:t xml:space="preserve">ations, other CSOs, public authorities, </w:t>
      </w:r>
      <w:r w:rsidR="007043E3" w:rsidRPr="00652FD0">
        <w:t xml:space="preserve">and </w:t>
      </w:r>
      <w:r w:rsidRPr="00652FD0">
        <w:t xml:space="preserve">national economic and social councils where relevant – during fact-finding missions carried out in a selection of six Member States. These </w:t>
      </w:r>
      <w:r w:rsidR="009A59B8" w:rsidRPr="00652FD0">
        <w:t xml:space="preserve">missions </w:t>
      </w:r>
      <w:r w:rsidRPr="00652FD0">
        <w:t>will be carried out by teams of three LMO / SOC members assisted by an administrator from the secretariat;</w:t>
      </w:r>
    </w:p>
    <w:p w14:paraId="62E93A2E" w14:textId="77777777" w:rsidR="00EF4311" w:rsidRPr="00652FD0" w:rsidRDefault="00EF4311" w:rsidP="009462B5">
      <w:pPr>
        <w:pStyle w:val="ListParagraph"/>
        <w:numPr>
          <w:ilvl w:val="0"/>
          <w:numId w:val="11"/>
        </w:numPr>
        <w:overflowPunct w:val="0"/>
        <w:autoSpaceDE w:val="0"/>
        <w:autoSpaceDN w:val="0"/>
        <w:adjustRightInd w:val="0"/>
        <w:ind w:left="714" w:hanging="357"/>
        <w:textAlignment w:val="baseline"/>
        <w:rPr>
          <w:b/>
        </w:rPr>
      </w:pPr>
      <w:r w:rsidRPr="00652FD0">
        <w:rPr>
          <w:i/>
        </w:rPr>
        <w:t>desk research</w:t>
      </w:r>
      <w:r w:rsidRPr="00652FD0">
        <w:t xml:space="preserve"> – collection of relevant documents from European and international institutions, agencies, think-tanks, ministries, national ESCs, social partners, civil society, etc.;</w:t>
      </w:r>
    </w:p>
    <w:p w14:paraId="2869D9B1" w14:textId="77777777" w:rsidR="00EF4311" w:rsidRPr="00652FD0" w:rsidRDefault="00EF4311" w:rsidP="009462B5">
      <w:pPr>
        <w:pStyle w:val="ListParagraph"/>
        <w:numPr>
          <w:ilvl w:val="0"/>
          <w:numId w:val="11"/>
        </w:numPr>
        <w:overflowPunct w:val="0"/>
        <w:autoSpaceDE w:val="0"/>
        <w:autoSpaceDN w:val="0"/>
        <w:adjustRightInd w:val="0"/>
        <w:ind w:left="714" w:hanging="357"/>
        <w:textAlignment w:val="baseline"/>
        <w:rPr>
          <w:b/>
        </w:rPr>
      </w:pPr>
      <w:r w:rsidRPr="00652FD0">
        <w:t xml:space="preserve">a </w:t>
      </w:r>
      <w:r w:rsidRPr="00652FD0">
        <w:rPr>
          <w:i/>
        </w:rPr>
        <w:t>kick-off and/or concluding conference</w:t>
      </w:r>
      <w:r w:rsidRPr="00652FD0">
        <w:t xml:space="preserve"> at the EESC.</w:t>
      </w:r>
    </w:p>
    <w:p w14:paraId="7FD1331D" w14:textId="77777777" w:rsidR="00EF4311" w:rsidRPr="00652FD0" w:rsidRDefault="00EF4311" w:rsidP="009462B5">
      <w:pPr>
        <w:pStyle w:val="ListParagraph"/>
        <w:ind w:left="0"/>
      </w:pPr>
    </w:p>
    <w:p w14:paraId="17A2DB3F" w14:textId="1E5E9767" w:rsidR="00EF4311" w:rsidRPr="00652FD0" w:rsidRDefault="00EF4311" w:rsidP="009462B5">
      <w:r w:rsidRPr="00652FD0">
        <w:t>The selection of Member States for the study will be made based on their specific situation as regards the topic, the aim of ensuring a range of situations (good practices, challenges, division of competences at national level, etc.) and geographical balance, on the information available and on discussions with representatives from the EESC, Commission and permanent representations to the EU.</w:t>
      </w:r>
    </w:p>
    <w:p w14:paraId="2DE316B2" w14:textId="7BEA810E" w:rsidR="008C25A3" w:rsidRPr="00652FD0" w:rsidRDefault="008C25A3" w:rsidP="009462B5"/>
    <w:p w14:paraId="766A4F1B" w14:textId="14D9CF62" w:rsidR="00760E6D" w:rsidRPr="00652FD0" w:rsidRDefault="00936D14">
      <w:pPr>
        <w:pStyle w:val="ListParagraph"/>
        <w:numPr>
          <w:ilvl w:val="0"/>
          <w:numId w:val="45"/>
        </w:numPr>
        <w:rPr>
          <w:b/>
        </w:rPr>
      </w:pPr>
      <w:r w:rsidRPr="00652FD0">
        <w:rPr>
          <w:b/>
        </w:rPr>
        <w:t>Infor</w:t>
      </w:r>
      <w:r w:rsidR="007E3E1A" w:rsidRPr="00652FD0">
        <w:rPr>
          <w:b/>
        </w:rPr>
        <w:t xml:space="preserve">mation </w:t>
      </w:r>
      <w:r w:rsidR="00E20C0E" w:rsidRPr="00652FD0">
        <w:rPr>
          <w:b/>
        </w:rPr>
        <w:t>documents</w:t>
      </w:r>
      <w:r w:rsidR="007E3E1A" w:rsidRPr="00652FD0">
        <w:rPr>
          <w:b/>
        </w:rPr>
        <w:t xml:space="preserve"> </w:t>
      </w:r>
    </w:p>
    <w:p w14:paraId="6769BDBC" w14:textId="77777777" w:rsidR="00760E6D" w:rsidRPr="00652FD0" w:rsidRDefault="00760E6D">
      <w:pPr>
        <w:rPr>
          <w:b/>
        </w:rPr>
      </w:pPr>
    </w:p>
    <w:p w14:paraId="326561EB" w14:textId="19237E0D" w:rsidR="00760E6D" w:rsidRPr="00652FD0" w:rsidRDefault="00415D5F" w:rsidP="009462B5">
      <w:pPr>
        <w:rPr>
          <w:b/>
          <w:bCs/>
          <w:color w:val="C00000"/>
        </w:rPr>
      </w:pPr>
      <w:r w:rsidRPr="00652FD0">
        <w:t xml:space="preserve">Pursuant to Rule of </w:t>
      </w:r>
      <w:r w:rsidR="00BD03DB" w:rsidRPr="00652FD0">
        <w:t>P</w:t>
      </w:r>
      <w:r w:rsidRPr="00652FD0">
        <w:t>rocedure 27</w:t>
      </w:r>
      <w:r w:rsidR="000F5859" w:rsidRPr="00652FD0">
        <w:t>.5</w:t>
      </w:r>
      <w:r w:rsidR="00267BDC" w:rsidRPr="00652FD0">
        <w:rPr>
          <w:rStyle w:val="FootnoteReference"/>
        </w:rPr>
        <w:footnoteReference w:id="14"/>
      </w:r>
      <w:r w:rsidRPr="00652FD0">
        <w:t>, t</w:t>
      </w:r>
      <w:r w:rsidR="00760E6D" w:rsidRPr="00652FD0">
        <w:t xml:space="preserve">he Observatory can </w:t>
      </w:r>
      <w:r w:rsidRPr="00652FD0">
        <w:t xml:space="preserve">draw up </w:t>
      </w:r>
      <w:r w:rsidR="00BD03DB" w:rsidRPr="00652FD0">
        <w:t>i</w:t>
      </w:r>
      <w:r w:rsidR="00E20C0E" w:rsidRPr="00652FD0">
        <w:t>nformation documents</w:t>
      </w:r>
      <w:r w:rsidR="00DF2C8B" w:rsidRPr="00652FD0">
        <w:t>, which may be forwarded to the European Parliament, the Council, the Commission or to any other European Union institution or body, if the assembly so decides.</w:t>
      </w:r>
    </w:p>
    <w:p w14:paraId="5DC1AF2A" w14:textId="77777777" w:rsidR="00EF4311" w:rsidRPr="00652FD0" w:rsidRDefault="00EF4311" w:rsidP="009462B5"/>
    <w:p w14:paraId="7C698119" w14:textId="01A78142" w:rsidR="00EF002A" w:rsidRPr="00652FD0" w:rsidRDefault="00EF002A" w:rsidP="009462B5">
      <w:pPr>
        <w:pStyle w:val="ListParagraph"/>
        <w:numPr>
          <w:ilvl w:val="0"/>
          <w:numId w:val="14"/>
        </w:numPr>
        <w:rPr>
          <w:b/>
          <w:bCs/>
        </w:rPr>
      </w:pPr>
      <w:r w:rsidRPr="00652FD0">
        <w:rPr>
          <w:b/>
          <w:bCs/>
        </w:rPr>
        <w:t>Cooperation and synergies</w:t>
      </w:r>
    </w:p>
    <w:p w14:paraId="1AC5FF05" w14:textId="77777777" w:rsidR="006F6B70" w:rsidRPr="00652FD0" w:rsidRDefault="006F6B70">
      <w:pPr>
        <w:pStyle w:val="WW-Standard"/>
        <w:rPr>
          <w:szCs w:val="22"/>
        </w:rPr>
      </w:pPr>
    </w:p>
    <w:p w14:paraId="2FAA4C2B" w14:textId="5F6988F2" w:rsidR="006F6B70" w:rsidRPr="00652FD0" w:rsidRDefault="006F6B70">
      <w:pPr>
        <w:pStyle w:val="WW-Standard"/>
      </w:pPr>
      <w:r w:rsidRPr="00652FD0">
        <w:rPr>
          <w:szCs w:val="22"/>
        </w:rPr>
        <w:t xml:space="preserve">Cooperation with EESC structures and external organisations is key for the LMO, </w:t>
      </w:r>
      <w:r w:rsidR="00BD03DB" w:rsidRPr="00652FD0">
        <w:rPr>
          <w:szCs w:val="22"/>
        </w:rPr>
        <w:t xml:space="preserve">in order </w:t>
      </w:r>
      <w:r w:rsidRPr="00652FD0">
        <w:rPr>
          <w:szCs w:val="22"/>
        </w:rPr>
        <w:t>to take a</w:t>
      </w:r>
      <w:r w:rsidR="009033C2" w:rsidRPr="00652FD0">
        <w:rPr>
          <w:szCs w:val="22"/>
        </w:rPr>
        <w:t>n overarching</w:t>
      </w:r>
      <w:r w:rsidRPr="00652FD0">
        <w:rPr>
          <w:szCs w:val="22"/>
        </w:rPr>
        <w:t xml:space="preserve"> approach</w:t>
      </w:r>
      <w:r w:rsidR="00AE5625" w:rsidRPr="00652FD0">
        <w:rPr>
          <w:szCs w:val="22"/>
        </w:rPr>
        <w:t xml:space="preserve"> and consider all policies' impact on the labour market and the situation of all groups of people, leaving no one behind. This cooperation allows the observatory to integrate </w:t>
      </w:r>
      <w:r w:rsidRPr="00652FD0">
        <w:rPr>
          <w:szCs w:val="22"/>
        </w:rPr>
        <w:t>the perspectives of</w:t>
      </w:r>
      <w:r w:rsidR="00AE5625" w:rsidRPr="00652FD0">
        <w:rPr>
          <w:szCs w:val="22"/>
        </w:rPr>
        <w:t xml:space="preserve"> other bodies and organisations, to </w:t>
      </w:r>
      <w:r w:rsidR="00AE5625" w:rsidRPr="00652FD0">
        <w:t xml:space="preserve">promote interdisciplinary dialogue, </w:t>
      </w:r>
      <w:r w:rsidR="00AE5625" w:rsidRPr="00652FD0">
        <w:rPr>
          <w:szCs w:val="22"/>
        </w:rPr>
        <w:t xml:space="preserve">strengthen the effectiveness and impact of the LMO and </w:t>
      </w:r>
      <w:r w:rsidR="00C52967" w:rsidRPr="00652FD0">
        <w:rPr>
          <w:szCs w:val="22"/>
        </w:rPr>
        <w:t xml:space="preserve">to </w:t>
      </w:r>
      <w:r w:rsidR="00AE5625" w:rsidRPr="00652FD0">
        <w:rPr>
          <w:szCs w:val="22"/>
        </w:rPr>
        <w:t>promot</w:t>
      </w:r>
      <w:r w:rsidR="00C52967" w:rsidRPr="00652FD0">
        <w:rPr>
          <w:szCs w:val="22"/>
        </w:rPr>
        <w:t xml:space="preserve">e </w:t>
      </w:r>
      <w:r w:rsidR="00BD03DB" w:rsidRPr="00652FD0">
        <w:rPr>
          <w:szCs w:val="22"/>
        </w:rPr>
        <w:t xml:space="preserve">the </w:t>
      </w:r>
      <w:r w:rsidR="00AE5625" w:rsidRPr="00652FD0">
        <w:rPr>
          <w:szCs w:val="22"/>
        </w:rPr>
        <w:t xml:space="preserve">EESC's work more widely. </w:t>
      </w:r>
    </w:p>
    <w:p w14:paraId="252938AD" w14:textId="77777777" w:rsidR="006F6B70" w:rsidRPr="00652FD0" w:rsidRDefault="006F6B70">
      <w:pPr>
        <w:pStyle w:val="WW-Standard"/>
      </w:pPr>
    </w:p>
    <w:p w14:paraId="6E974127" w14:textId="45FB2F9B" w:rsidR="00EF002A" w:rsidRPr="00652FD0" w:rsidRDefault="00EF002A">
      <w:pPr>
        <w:pStyle w:val="WW-Standard"/>
        <w:rPr>
          <w:szCs w:val="22"/>
        </w:rPr>
      </w:pPr>
      <w:r w:rsidRPr="00652FD0">
        <w:rPr>
          <w:szCs w:val="22"/>
        </w:rPr>
        <w:t>The Labour Market Observatory will seek synergies with</w:t>
      </w:r>
      <w:r w:rsidRPr="00652FD0">
        <w:rPr>
          <w:b/>
          <w:bCs/>
          <w:szCs w:val="22"/>
        </w:rPr>
        <w:t xml:space="preserve"> other EESC working structures</w:t>
      </w:r>
      <w:r w:rsidRPr="00652FD0">
        <w:rPr>
          <w:szCs w:val="22"/>
        </w:rPr>
        <w:t xml:space="preserve"> and avoid</w:t>
      </w:r>
      <w:r w:rsidR="00D6635C" w:rsidRPr="00652FD0">
        <w:rPr>
          <w:szCs w:val="22"/>
        </w:rPr>
        <w:t xml:space="preserve"> </w:t>
      </w:r>
      <w:r w:rsidRPr="00652FD0">
        <w:rPr>
          <w:szCs w:val="22"/>
        </w:rPr>
        <w:t>overlap</w:t>
      </w:r>
      <w:r w:rsidR="00D6635C" w:rsidRPr="00652FD0">
        <w:rPr>
          <w:szCs w:val="22"/>
        </w:rPr>
        <w:t xml:space="preserve"> with their work</w:t>
      </w:r>
      <w:r w:rsidRPr="00652FD0">
        <w:rPr>
          <w:szCs w:val="22"/>
        </w:rPr>
        <w:t xml:space="preserve">. In particular, the LMO will cooperate with </w:t>
      </w:r>
      <w:r w:rsidR="00760E6D" w:rsidRPr="00652FD0">
        <w:rPr>
          <w:szCs w:val="22"/>
        </w:rPr>
        <w:t xml:space="preserve">the </w:t>
      </w:r>
      <w:r w:rsidR="00760E6D" w:rsidRPr="00652FD0">
        <w:rPr>
          <w:b/>
          <w:bCs/>
          <w:szCs w:val="22"/>
        </w:rPr>
        <w:t>permanent groups of the SOC section</w:t>
      </w:r>
      <w:r w:rsidR="00760E6D" w:rsidRPr="00652FD0">
        <w:rPr>
          <w:szCs w:val="22"/>
        </w:rPr>
        <w:t xml:space="preserve"> as regards the situation of migrants and asylum seekers, Roma and persons with disabilities. It will also cooperate with </w:t>
      </w:r>
      <w:r w:rsidR="00760E6D" w:rsidRPr="00652FD0">
        <w:rPr>
          <w:b/>
          <w:bCs/>
          <w:szCs w:val="22"/>
        </w:rPr>
        <w:t xml:space="preserve">the </w:t>
      </w:r>
      <w:r w:rsidRPr="00652FD0">
        <w:rPr>
          <w:b/>
          <w:bCs/>
          <w:szCs w:val="22"/>
        </w:rPr>
        <w:t>Observatory of the Digital Transition and the Single Market (DSMO)</w:t>
      </w:r>
      <w:r w:rsidRPr="00652FD0">
        <w:rPr>
          <w:szCs w:val="22"/>
        </w:rPr>
        <w:t xml:space="preserve"> and </w:t>
      </w:r>
      <w:r w:rsidRPr="00652FD0">
        <w:rPr>
          <w:b/>
          <w:bCs/>
          <w:szCs w:val="22"/>
        </w:rPr>
        <w:t>the Sustainable Development Observatory (SDO)</w:t>
      </w:r>
      <w:r w:rsidRPr="00652FD0">
        <w:rPr>
          <w:szCs w:val="22"/>
        </w:rPr>
        <w:t>, with which it will jointly organise at least one common event during this term of office. Furthermore, meetings will be organised between the respective presidents of the three observatories to better coordinate work</w:t>
      </w:r>
      <w:r w:rsidR="00BD03DB" w:rsidRPr="00652FD0">
        <w:rPr>
          <w:szCs w:val="22"/>
        </w:rPr>
        <w:t>,</w:t>
      </w:r>
      <w:r w:rsidRPr="00652FD0">
        <w:rPr>
          <w:szCs w:val="22"/>
        </w:rPr>
        <w:t xml:space="preserve"> and the Labour Market Observatory will </w:t>
      </w:r>
      <w:r w:rsidR="00D6635C" w:rsidRPr="00652FD0">
        <w:rPr>
          <w:szCs w:val="22"/>
        </w:rPr>
        <w:t xml:space="preserve">invite members of the other observatories to </w:t>
      </w:r>
      <w:r w:rsidR="00BD03DB" w:rsidRPr="00652FD0">
        <w:rPr>
          <w:szCs w:val="22"/>
        </w:rPr>
        <w:t xml:space="preserve">the </w:t>
      </w:r>
      <w:r w:rsidR="00D6635C" w:rsidRPr="00652FD0">
        <w:rPr>
          <w:szCs w:val="22"/>
        </w:rPr>
        <w:t>LMO's meetings and events.</w:t>
      </w:r>
      <w:r w:rsidR="00C52967" w:rsidRPr="00652FD0">
        <w:rPr>
          <w:szCs w:val="22"/>
        </w:rPr>
        <w:t xml:space="preserve"> </w:t>
      </w:r>
      <w:r w:rsidR="00BD03DB" w:rsidRPr="00652FD0">
        <w:rPr>
          <w:szCs w:val="22"/>
        </w:rPr>
        <w:t>T</w:t>
      </w:r>
      <w:r w:rsidR="00C52967" w:rsidRPr="00652FD0">
        <w:rPr>
          <w:szCs w:val="22"/>
        </w:rPr>
        <w:t xml:space="preserve">he LMO will also </w:t>
      </w:r>
      <w:r w:rsidR="00C52967" w:rsidRPr="00652FD0">
        <w:t xml:space="preserve">work </w:t>
      </w:r>
      <w:r w:rsidR="00BD03DB" w:rsidRPr="00652FD0">
        <w:t xml:space="preserve">closely </w:t>
      </w:r>
      <w:r w:rsidR="00C52967" w:rsidRPr="00652FD0">
        <w:t xml:space="preserve">with </w:t>
      </w:r>
      <w:r w:rsidR="00BD03DB" w:rsidRPr="00652FD0">
        <w:t xml:space="preserve">the </w:t>
      </w:r>
      <w:r w:rsidR="00C52967" w:rsidRPr="00652FD0">
        <w:rPr>
          <w:b/>
          <w:bCs/>
        </w:rPr>
        <w:t xml:space="preserve">EESC's </w:t>
      </w:r>
      <w:r w:rsidR="00BD03DB" w:rsidRPr="00652FD0">
        <w:rPr>
          <w:b/>
          <w:bCs/>
        </w:rPr>
        <w:t>c</w:t>
      </w:r>
      <w:r w:rsidR="00C52967" w:rsidRPr="00652FD0">
        <w:rPr>
          <w:b/>
          <w:bCs/>
        </w:rPr>
        <w:t>ommunication directorate</w:t>
      </w:r>
      <w:r w:rsidR="00C52967" w:rsidRPr="00652FD0">
        <w:t xml:space="preserve">, to ensure appropriate communication </w:t>
      </w:r>
      <w:r w:rsidR="009033C2" w:rsidRPr="00652FD0">
        <w:t>on</w:t>
      </w:r>
      <w:r w:rsidR="00C52967" w:rsidRPr="00652FD0">
        <w:t xml:space="preserve"> </w:t>
      </w:r>
      <w:r w:rsidR="00BD03DB" w:rsidRPr="00652FD0">
        <w:t xml:space="preserve">the </w:t>
      </w:r>
      <w:r w:rsidR="00C52967" w:rsidRPr="00652FD0">
        <w:t>LMO's activities and contribute to the follow</w:t>
      </w:r>
      <w:r w:rsidR="009033C2" w:rsidRPr="00652FD0">
        <w:t>-</w:t>
      </w:r>
      <w:r w:rsidR="00C52967" w:rsidRPr="00652FD0">
        <w:t xml:space="preserve">up </w:t>
      </w:r>
      <w:r w:rsidR="009033C2" w:rsidRPr="00652FD0">
        <w:t>to</w:t>
      </w:r>
      <w:r w:rsidR="00C52967" w:rsidRPr="00652FD0">
        <w:t xml:space="preserve"> </w:t>
      </w:r>
      <w:r w:rsidR="00BD03DB" w:rsidRPr="00652FD0">
        <w:t xml:space="preserve">the </w:t>
      </w:r>
      <w:r w:rsidR="00C52967" w:rsidRPr="00652FD0">
        <w:t>EESC's opinions.</w:t>
      </w:r>
    </w:p>
    <w:p w14:paraId="3A66BEFC" w14:textId="77777777" w:rsidR="00EF002A" w:rsidRPr="00652FD0" w:rsidRDefault="00EF002A">
      <w:pPr>
        <w:pStyle w:val="WW-Standard"/>
        <w:rPr>
          <w:szCs w:val="22"/>
        </w:rPr>
      </w:pPr>
    </w:p>
    <w:p w14:paraId="61487058" w14:textId="3E49889C" w:rsidR="00E1109D" w:rsidRPr="00652FD0" w:rsidRDefault="00645805">
      <w:pPr>
        <w:pStyle w:val="WW-Standard"/>
      </w:pPr>
      <w:r w:rsidRPr="00652FD0">
        <w:rPr>
          <w:szCs w:val="22"/>
        </w:rPr>
        <w:t>The LMO</w:t>
      </w:r>
      <w:r w:rsidR="00EF002A" w:rsidRPr="00652FD0">
        <w:rPr>
          <w:szCs w:val="22"/>
        </w:rPr>
        <w:t xml:space="preserve"> will also continue its good cooperation with </w:t>
      </w:r>
      <w:r w:rsidR="00EF002A" w:rsidRPr="00652FD0">
        <w:rPr>
          <w:b/>
          <w:bCs/>
          <w:szCs w:val="22"/>
        </w:rPr>
        <w:t>the European institutions</w:t>
      </w:r>
      <w:r w:rsidR="00E1109D" w:rsidRPr="00652FD0">
        <w:rPr>
          <w:szCs w:val="22"/>
        </w:rPr>
        <w:t xml:space="preserve"> and </w:t>
      </w:r>
      <w:r w:rsidR="00EF002A" w:rsidRPr="00652FD0">
        <w:rPr>
          <w:szCs w:val="22"/>
        </w:rPr>
        <w:t>the specialised</w:t>
      </w:r>
      <w:r w:rsidR="00EF002A" w:rsidRPr="00652FD0">
        <w:rPr>
          <w:b/>
          <w:bCs/>
          <w:szCs w:val="22"/>
        </w:rPr>
        <w:t xml:space="preserve"> </w:t>
      </w:r>
      <w:r w:rsidR="00D6635C" w:rsidRPr="00652FD0">
        <w:rPr>
          <w:b/>
          <w:bCs/>
          <w:szCs w:val="22"/>
        </w:rPr>
        <w:t xml:space="preserve">EU </w:t>
      </w:r>
      <w:r w:rsidR="00EF002A" w:rsidRPr="00652FD0">
        <w:rPr>
          <w:b/>
          <w:bCs/>
          <w:szCs w:val="22"/>
        </w:rPr>
        <w:t>agencies</w:t>
      </w:r>
      <w:r w:rsidR="00EF002A" w:rsidRPr="00652FD0">
        <w:rPr>
          <w:szCs w:val="22"/>
        </w:rPr>
        <w:t>, such as the European Centre for the Development of Vocational Training (CEDEFOP), the European Agency for the Improvement of Living and Working Conditions (</w:t>
      </w:r>
      <w:proofErr w:type="spellStart"/>
      <w:r w:rsidR="00EF002A" w:rsidRPr="00652FD0">
        <w:rPr>
          <w:szCs w:val="22"/>
        </w:rPr>
        <w:t>Eurofound</w:t>
      </w:r>
      <w:proofErr w:type="spellEnd"/>
      <w:r w:rsidR="00EF002A" w:rsidRPr="00652FD0">
        <w:rPr>
          <w:szCs w:val="22"/>
        </w:rPr>
        <w:t xml:space="preserve">), the European Agency for Safety and Health at Work (EU-OSHA), the </w:t>
      </w:r>
      <w:r w:rsidR="00D6635C" w:rsidRPr="00652FD0">
        <w:rPr>
          <w:szCs w:val="22"/>
        </w:rPr>
        <w:t xml:space="preserve">European Institute for Gender Equality (EIGE) and the </w:t>
      </w:r>
      <w:r w:rsidR="00EF002A" w:rsidRPr="00652FD0">
        <w:rPr>
          <w:szCs w:val="22"/>
        </w:rPr>
        <w:t>European Labour Authority (ELA)</w:t>
      </w:r>
      <w:r w:rsidR="00E1109D" w:rsidRPr="00652FD0">
        <w:rPr>
          <w:szCs w:val="22"/>
        </w:rPr>
        <w:t xml:space="preserve">. </w:t>
      </w:r>
      <w:r w:rsidR="00E1109D" w:rsidRPr="00652FD0">
        <w:t>The Observatory will also try to organise at least three working visits to EU agencies during this term of office.</w:t>
      </w:r>
    </w:p>
    <w:p w14:paraId="3E4C04D1" w14:textId="330ACF50" w:rsidR="00E1109D" w:rsidRPr="00652FD0" w:rsidRDefault="00E1109D">
      <w:pPr>
        <w:pStyle w:val="WW-Standard"/>
        <w:rPr>
          <w:szCs w:val="22"/>
        </w:rPr>
      </w:pPr>
    </w:p>
    <w:p w14:paraId="75384075" w14:textId="78755310" w:rsidR="00E1109D" w:rsidRPr="00652FD0" w:rsidRDefault="00E1109D">
      <w:pPr>
        <w:pStyle w:val="WW-Standard"/>
      </w:pPr>
      <w:r w:rsidRPr="00652FD0">
        <w:rPr>
          <w:szCs w:val="22"/>
        </w:rPr>
        <w:t>The Labour Market Observatory will endeavour to enhance its cooperation with international organisations such as the International Labour Organi</w:t>
      </w:r>
      <w:r w:rsidR="00A154B8" w:rsidRPr="00652FD0">
        <w:rPr>
          <w:szCs w:val="22"/>
        </w:rPr>
        <w:t>z</w:t>
      </w:r>
      <w:r w:rsidRPr="00652FD0">
        <w:rPr>
          <w:szCs w:val="22"/>
        </w:rPr>
        <w:t>ation (</w:t>
      </w:r>
      <w:r w:rsidRPr="00652FD0">
        <w:rPr>
          <w:b/>
          <w:bCs/>
          <w:szCs w:val="22"/>
        </w:rPr>
        <w:t>ILO</w:t>
      </w:r>
      <w:r w:rsidRPr="00652FD0">
        <w:rPr>
          <w:szCs w:val="22"/>
        </w:rPr>
        <w:t>) and the Organi</w:t>
      </w:r>
      <w:r w:rsidR="000D28A2" w:rsidRPr="00652FD0">
        <w:rPr>
          <w:szCs w:val="22"/>
        </w:rPr>
        <w:t>s</w:t>
      </w:r>
      <w:r w:rsidRPr="00652FD0">
        <w:rPr>
          <w:szCs w:val="22"/>
        </w:rPr>
        <w:t>ation for Economic Co</w:t>
      </w:r>
      <w:r w:rsidR="000D28A2" w:rsidRPr="00652FD0">
        <w:rPr>
          <w:szCs w:val="22"/>
        </w:rPr>
        <w:t>-</w:t>
      </w:r>
      <w:r w:rsidRPr="00652FD0">
        <w:rPr>
          <w:szCs w:val="22"/>
        </w:rPr>
        <w:t>operation and Development (</w:t>
      </w:r>
      <w:r w:rsidRPr="00652FD0">
        <w:rPr>
          <w:b/>
          <w:bCs/>
          <w:szCs w:val="22"/>
        </w:rPr>
        <w:t>OECD</w:t>
      </w:r>
      <w:r w:rsidRPr="00652FD0">
        <w:rPr>
          <w:szCs w:val="22"/>
        </w:rPr>
        <w:t xml:space="preserve">) and </w:t>
      </w:r>
      <w:r w:rsidR="009033C2" w:rsidRPr="00652FD0">
        <w:rPr>
          <w:szCs w:val="22"/>
        </w:rPr>
        <w:t>relaunch</w:t>
      </w:r>
      <w:r w:rsidRPr="00652FD0">
        <w:rPr>
          <w:szCs w:val="22"/>
        </w:rPr>
        <w:t xml:space="preserve"> its contacts with </w:t>
      </w:r>
      <w:r w:rsidRPr="00652FD0">
        <w:t>the European Network on Regional Labour Market Monitoring (</w:t>
      </w:r>
      <w:r w:rsidRPr="00652FD0">
        <w:rPr>
          <w:b/>
          <w:bCs/>
        </w:rPr>
        <w:t>EN RLMM</w:t>
      </w:r>
      <w:r w:rsidRPr="00652FD0">
        <w:t>).</w:t>
      </w:r>
    </w:p>
    <w:p w14:paraId="75313003" w14:textId="49C27D2F" w:rsidR="00CA1868" w:rsidRDefault="00CA1868" w:rsidP="00EF002A">
      <w:pPr>
        <w:pStyle w:val="WW-Standard"/>
      </w:pPr>
    </w:p>
    <w:p w14:paraId="45494AEB" w14:textId="77777777" w:rsidR="003A6ABD" w:rsidRPr="00652FD0" w:rsidRDefault="003A6ABD" w:rsidP="00EF002A">
      <w:pPr>
        <w:pStyle w:val="WW-Standard"/>
      </w:pPr>
    </w:p>
    <w:p w14:paraId="373D5A95" w14:textId="0D405318" w:rsidR="00660604" w:rsidRPr="00652FD0" w:rsidRDefault="00660604" w:rsidP="00660604">
      <w:pPr>
        <w:rPr>
          <w:color w:val="0070C0"/>
          <w:sz w:val="28"/>
          <w:szCs w:val="28"/>
        </w:rPr>
      </w:pPr>
      <w:r w:rsidRPr="00652FD0">
        <w:rPr>
          <w:b/>
          <w:smallCaps/>
          <w:color w:val="0070C0"/>
          <w:sz w:val="28"/>
          <w:szCs w:val="28"/>
        </w:rPr>
        <w:t>Appendices</w:t>
      </w:r>
    </w:p>
    <w:p w14:paraId="306DB353" w14:textId="57B8C993" w:rsidR="00E91610" w:rsidRPr="00652FD0" w:rsidRDefault="00E91610" w:rsidP="009462B5">
      <w:r w:rsidRPr="00652FD0">
        <w:t>Appe</w:t>
      </w:r>
      <w:r w:rsidR="00A855F8" w:rsidRPr="00652FD0">
        <w:t>n</w:t>
      </w:r>
      <w:r w:rsidRPr="00652FD0">
        <w:t>dix 1</w:t>
      </w:r>
      <w:r w:rsidR="00660604" w:rsidRPr="00652FD0">
        <w:t xml:space="preserve"> </w:t>
      </w:r>
      <w:r w:rsidR="00645805" w:rsidRPr="00652FD0">
        <w:t>–</w:t>
      </w:r>
      <w:r w:rsidR="00660604" w:rsidRPr="00652FD0">
        <w:t xml:space="preserve"> L</w:t>
      </w:r>
      <w:r w:rsidR="004F57AF" w:rsidRPr="00652FD0">
        <w:t>ist</w:t>
      </w:r>
      <w:r w:rsidR="00645805" w:rsidRPr="00652FD0">
        <w:t xml:space="preserve"> </w:t>
      </w:r>
      <w:r w:rsidR="004F57AF" w:rsidRPr="00652FD0">
        <w:t>of LMO members</w:t>
      </w:r>
      <w:r w:rsidR="00645805" w:rsidRPr="00652FD0">
        <w:t xml:space="preserve"> and members of the Coordination </w:t>
      </w:r>
      <w:r w:rsidR="000D28A2" w:rsidRPr="00652FD0">
        <w:t>G</w:t>
      </w:r>
      <w:r w:rsidR="00645805" w:rsidRPr="00652FD0">
        <w:t>roup on the European Year of Skills</w:t>
      </w:r>
    </w:p>
    <w:p w14:paraId="071641C8" w14:textId="671A033D" w:rsidR="004F57AF" w:rsidRPr="00652FD0" w:rsidRDefault="00A855F8" w:rsidP="009462B5">
      <w:r w:rsidRPr="00652FD0">
        <w:t>Appendix 2</w:t>
      </w:r>
      <w:r w:rsidR="00660604" w:rsidRPr="00652FD0">
        <w:t xml:space="preserve"> </w:t>
      </w:r>
      <w:r w:rsidR="00CD5D82" w:rsidRPr="00652FD0">
        <w:t>–</w:t>
      </w:r>
      <w:r w:rsidR="00645805" w:rsidRPr="00652FD0">
        <w:t xml:space="preserve"> Planned activities of the Coordination </w:t>
      </w:r>
      <w:r w:rsidR="000D28A2" w:rsidRPr="00652FD0">
        <w:t>G</w:t>
      </w:r>
      <w:r w:rsidR="00645805" w:rsidRPr="00652FD0">
        <w:t>roup of the European Year of Skills</w:t>
      </w:r>
    </w:p>
    <w:p w14:paraId="5E4AF197" w14:textId="77777777" w:rsidR="00722771" w:rsidRPr="009462B5" w:rsidRDefault="00722771" w:rsidP="009462B5">
      <w:pPr>
        <w:rPr>
          <w:b/>
          <w:smallCaps/>
          <w:color w:val="0070C0"/>
        </w:rPr>
      </w:pPr>
    </w:p>
    <w:p w14:paraId="1FC5C593" w14:textId="77777777" w:rsidR="00EC0035" w:rsidRPr="009462B5" w:rsidRDefault="00EC0035">
      <w:pPr>
        <w:spacing w:after="160" w:line="259" w:lineRule="auto"/>
        <w:jc w:val="left"/>
        <w:rPr>
          <w:b/>
          <w:smallCaps/>
          <w:color w:val="0070C0"/>
        </w:rPr>
      </w:pPr>
      <w:r w:rsidRPr="009462B5">
        <w:rPr>
          <w:b/>
          <w:smallCaps/>
          <w:color w:val="0070C0"/>
        </w:rPr>
        <w:br w:type="page"/>
      </w:r>
    </w:p>
    <w:p w14:paraId="454BE513" w14:textId="48EBF93F" w:rsidR="00FF03F1" w:rsidRPr="00652FD0" w:rsidRDefault="00FF03F1">
      <w:pPr>
        <w:jc w:val="center"/>
        <w:rPr>
          <w:b/>
          <w:smallCaps/>
          <w:color w:val="0070C0"/>
          <w:sz w:val="32"/>
          <w:szCs w:val="32"/>
        </w:rPr>
      </w:pPr>
      <w:r w:rsidRPr="00652FD0">
        <w:rPr>
          <w:b/>
          <w:smallCaps/>
          <w:color w:val="0070C0"/>
          <w:sz w:val="32"/>
          <w:szCs w:val="32"/>
        </w:rPr>
        <w:lastRenderedPageBreak/>
        <w:t>Appendix 1</w:t>
      </w:r>
    </w:p>
    <w:p w14:paraId="4BAE7047" w14:textId="77777777" w:rsidR="00565ABF" w:rsidRPr="00652FD0" w:rsidRDefault="00565ABF" w:rsidP="009462B5">
      <w:pPr>
        <w:jc w:val="center"/>
        <w:rPr>
          <w:b/>
          <w:sz w:val="24"/>
          <w:szCs w:val="24"/>
        </w:rPr>
      </w:pPr>
    </w:p>
    <w:p w14:paraId="5ADB21AF" w14:textId="2C581F1D" w:rsidR="00FF03F1" w:rsidRPr="00652FD0" w:rsidRDefault="00FF03F1" w:rsidP="009462B5">
      <w:pPr>
        <w:jc w:val="center"/>
        <w:rPr>
          <w:b/>
          <w:sz w:val="24"/>
          <w:szCs w:val="24"/>
        </w:rPr>
      </w:pPr>
      <w:r w:rsidRPr="00652FD0">
        <w:rPr>
          <w:b/>
          <w:sz w:val="24"/>
          <w:szCs w:val="24"/>
        </w:rPr>
        <w:t>Presidency and Members 2023 - 2025</w:t>
      </w:r>
    </w:p>
    <w:p w14:paraId="026D99F8" w14:textId="12166DDD" w:rsidR="00FF03F1" w:rsidRPr="00652FD0" w:rsidRDefault="00FF03F1" w:rsidP="009462B5">
      <w:pPr>
        <w:jc w:val="center"/>
        <w:rPr>
          <w:b/>
          <w:sz w:val="28"/>
          <w:szCs w:val="28"/>
        </w:rPr>
      </w:pPr>
      <w:r w:rsidRPr="00652FD0">
        <w:rPr>
          <w:b/>
          <w:sz w:val="24"/>
          <w:szCs w:val="24"/>
        </w:rPr>
        <w:t>Labour Market Observatory</w:t>
      </w:r>
      <w:r w:rsidR="007D6208" w:rsidRPr="00652FD0">
        <w:rPr>
          <w:b/>
          <w:sz w:val="24"/>
          <w:szCs w:val="24"/>
        </w:rPr>
        <w:t xml:space="preserve"> </w:t>
      </w:r>
      <w:r w:rsidR="00EC0035">
        <w:rPr>
          <w:b/>
          <w:sz w:val="24"/>
          <w:szCs w:val="24"/>
        </w:rPr>
        <w:t>and</w:t>
      </w:r>
      <w:r w:rsidR="007D6208" w:rsidRPr="00652FD0">
        <w:rPr>
          <w:b/>
          <w:sz w:val="24"/>
          <w:szCs w:val="24"/>
        </w:rPr>
        <w:t xml:space="preserve"> C</w:t>
      </w:r>
      <w:r w:rsidRPr="00652FD0">
        <w:rPr>
          <w:b/>
          <w:sz w:val="24"/>
          <w:szCs w:val="24"/>
        </w:rPr>
        <w:t xml:space="preserve">oordination </w:t>
      </w:r>
      <w:r w:rsidR="009033C2" w:rsidRPr="00652FD0">
        <w:rPr>
          <w:b/>
          <w:sz w:val="24"/>
          <w:szCs w:val="24"/>
        </w:rPr>
        <w:t>G</w:t>
      </w:r>
      <w:r w:rsidR="007D6208" w:rsidRPr="00652FD0">
        <w:rPr>
          <w:b/>
          <w:sz w:val="24"/>
          <w:szCs w:val="24"/>
        </w:rPr>
        <w:t xml:space="preserve">roup </w:t>
      </w:r>
      <w:r w:rsidRPr="00652FD0">
        <w:rPr>
          <w:b/>
          <w:sz w:val="24"/>
          <w:szCs w:val="24"/>
        </w:rPr>
        <w:t>of the European Year of Skills</w:t>
      </w:r>
    </w:p>
    <w:p w14:paraId="41B85F77" w14:textId="77777777" w:rsidR="00FF03F1" w:rsidRPr="00652FD0" w:rsidRDefault="00FF03F1">
      <w:pPr>
        <w:jc w:val="center"/>
        <w:rPr>
          <w:b/>
          <w:sz w:val="28"/>
          <w:szCs w:val="28"/>
        </w:rPr>
      </w:pPr>
    </w:p>
    <w:tbl>
      <w:tblPr>
        <w:tblW w:w="907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2371"/>
        <w:gridCol w:w="3226"/>
        <w:gridCol w:w="2843"/>
      </w:tblGrid>
      <w:tr w:rsidR="00FF03F1" w:rsidRPr="00652FD0" w14:paraId="1906E865" w14:textId="77777777" w:rsidTr="009462B5">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59331DB1" w14:textId="77777777" w:rsidR="00FF03F1" w:rsidRPr="00652FD0" w:rsidRDefault="00FF03F1" w:rsidP="009462B5">
            <w:pPr>
              <w:pStyle w:val="NormalWeb"/>
              <w:spacing w:before="0" w:beforeAutospacing="0" w:after="0" w:afterAutospacing="0" w:line="288" w:lineRule="auto"/>
              <w:jc w:val="center"/>
              <w:rPr>
                <w:color w:val="FFFFFF" w:themeColor="background1"/>
                <w:sz w:val="20"/>
                <w:szCs w:val="20"/>
                <w:lang w:val="en-GB"/>
              </w:rPr>
            </w:pPr>
            <w:r w:rsidRPr="00652FD0">
              <w:rPr>
                <w:b/>
                <w:bCs/>
                <w:color w:val="FFFFFF" w:themeColor="background1"/>
                <w:sz w:val="20"/>
                <w:szCs w:val="20"/>
                <w:lang w:val="en-GB"/>
              </w:rPr>
              <w:t>LMO PRESIDENCY</w:t>
            </w:r>
          </w:p>
        </w:tc>
      </w:tr>
      <w:tr w:rsidR="007D6208" w:rsidRPr="00652FD0" w14:paraId="62775E15" w14:textId="77777777" w:rsidTr="009462B5">
        <w:trPr>
          <w:cantSplit/>
          <w:trHeight w:val="270"/>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390E1D0B" w14:textId="77777777" w:rsidR="00FF03F1" w:rsidRPr="00652FD0" w:rsidRDefault="00FF03F1" w:rsidP="009462B5">
            <w:pPr>
              <w:pStyle w:val="NormalWeb"/>
              <w:spacing w:before="0" w:beforeAutospacing="0" w:after="0" w:afterAutospacing="0" w:line="288" w:lineRule="auto"/>
              <w:jc w:val="center"/>
              <w:rPr>
                <w:b/>
                <w:sz w:val="20"/>
                <w:szCs w:val="20"/>
                <w:lang w:val="en-GB"/>
              </w:rPr>
            </w:pPr>
          </w:p>
        </w:tc>
        <w:tc>
          <w:tcPr>
            <w:tcW w:w="2371"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6D7D0B3B"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w:t>
            </w:r>
          </w:p>
        </w:tc>
        <w:tc>
          <w:tcPr>
            <w:tcW w:w="3226"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124C746"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AFDB78D"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III</w:t>
            </w:r>
          </w:p>
        </w:tc>
      </w:tr>
      <w:tr w:rsidR="007D6208" w:rsidRPr="00652FD0" w14:paraId="2E3A452F" w14:textId="77777777" w:rsidTr="009462B5">
        <w:trPr>
          <w:trHeight w:val="28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8613EDF" w14:textId="77777777" w:rsidR="00FF03F1" w:rsidRPr="00652FD0" w:rsidRDefault="00FF03F1" w:rsidP="009462B5">
            <w:pPr>
              <w:pStyle w:val="NormalWeb"/>
              <w:spacing w:before="0" w:beforeAutospacing="0" w:after="0" w:afterAutospacing="0" w:line="288" w:lineRule="auto"/>
              <w:jc w:val="center"/>
              <w:rPr>
                <w:color w:val="000000"/>
                <w:sz w:val="20"/>
                <w:szCs w:val="20"/>
                <w:lang w:val="en-GB"/>
              </w:rPr>
            </w:pP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65B5B26C" w14:textId="44E0924C" w:rsidR="00FF03F1" w:rsidRPr="009462B5" w:rsidRDefault="00671ED3" w:rsidP="009462B5">
            <w:pPr>
              <w:jc w:val="center"/>
            </w:pPr>
            <w:hyperlink r:id="rId12" w:history="1">
              <w:r w:rsidR="00FF03F1" w:rsidRPr="006275A4">
                <w:rPr>
                  <w:rStyle w:val="Hyperlink"/>
                  <w:b/>
                  <w:bCs/>
                </w:rPr>
                <w:t>Pilawski, Lech</w:t>
              </w:r>
            </w:hyperlink>
            <w:r w:rsidR="00FF03F1" w:rsidRPr="009462B5">
              <w:t xml:space="preserve"> (PL)</w:t>
            </w:r>
          </w:p>
          <w:p w14:paraId="068AC908" w14:textId="1ADA2D3E" w:rsidR="00FF03F1" w:rsidRPr="009462B5" w:rsidRDefault="00FF03F1" w:rsidP="009462B5">
            <w:pPr>
              <w:jc w:val="center"/>
              <w:rPr>
                <w:b/>
                <w:bCs/>
                <w:color w:val="FF0000"/>
              </w:rPr>
            </w:pPr>
            <w:r w:rsidRPr="00671ED3">
              <w:rPr>
                <w:b/>
                <w:bCs/>
              </w:rPr>
              <w:t>LMO</w:t>
            </w:r>
            <w:r w:rsidRPr="00671ED3">
              <w:t xml:space="preserve"> </w:t>
            </w:r>
            <w:r w:rsidRPr="00671ED3">
              <w:rPr>
                <w:b/>
                <w:bCs/>
              </w:rPr>
              <w:t>Vice-</w:t>
            </w:r>
            <w:r w:rsidR="009033C2" w:rsidRPr="00671ED3">
              <w:rPr>
                <w:b/>
                <w:bCs/>
              </w:rPr>
              <w:t>P</w:t>
            </w:r>
            <w:r w:rsidRPr="00671ED3">
              <w:rPr>
                <w:b/>
                <w:bCs/>
              </w:rPr>
              <w:t>resident</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4EEBAF" w14:textId="7DDA16D1" w:rsidR="00FF03F1" w:rsidRPr="006275A4" w:rsidRDefault="00671ED3" w:rsidP="009462B5">
            <w:pPr>
              <w:jc w:val="center"/>
              <w:rPr>
                <w:lang w:val="pt-PT"/>
              </w:rPr>
            </w:pPr>
            <w:hyperlink r:id="rId13" w:history="1">
              <w:r w:rsidR="00FF03F1" w:rsidRPr="006275A4">
                <w:rPr>
                  <w:rStyle w:val="Hyperlink"/>
                  <w:b/>
                  <w:bCs/>
                  <w:lang w:val="pt-PT"/>
                </w:rPr>
                <w:t>Trindade, Carlos Manuel</w:t>
              </w:r>
            </w:hyperlink>
            <w:r w:rsidR="00FF03F1" w:rsidRPr="006275A4">
              <w:rPr>
                <w:lang w:val="pt-PT"/>
              </w:rPr>
              <w:t xml:space="preserve"> (PT)</w:t>
            </w:r>
          </w:p>
          <w:p w14:paraId="0FB45FC2" w14:textId="77777777" w:rsidR="00FF03F1" w:rsidRPr="00671ED3" w:rsidRDefault="00FF03F1" w:rsidP="009462B5">
            <w:pPr>
              <w:jc w:val="center"/>
              <w:rPr>
                <w:b/>
                <w:bCs/>
                <w:color w:val="FF0000"/>
                <w:lang w:val="pt-PT"/>
              </w:rPr>
            </w:pPr>
            <w:r w:rsidRPr="00671ED3">
              <w:rPr>
                <w:b/>
                <w:bCs/>
                <w:lang w:val="pt-PT"/>
              </w:rPr>
              <w:t>LMO President</w:t>
            </w:r>
          </w:p>
        </w:tc>
        <w:bookmarkStart w:id="1" w:name="_Hlk150937373"/>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tcPr>
          <w:p w14:paraId="15CA5E62" w14:textId="517A8069" w:rsidR="00FF03F1" w:rsidRPr="009462B5" w:rsidRDefault="00671ED3" w:rsidP="009462B5">
            <w:pPr>
              <w:jc w:val="center"/>
            </w:pPr>
            <w:r w:rsidRPr="00671ED3">
              <w:rPr>
                <w:b/>
                <w:bCs/>
              </w:rPr>
              <w:fldChar w:fldCharType="begin"/>
            </w:r>
            <w:r w:rsidRPr="00671ED3">
              <w:rPr>
                <w:b/>
                <w:bCs/>
              </w:rPr>
              <w:instrText xml:space="preserve"> HYPERLINK "https://memberspage.eesc.europa.eu/members/2026956" </w:instrText>
            </w:r>
            <w:r w:rsidRPr="00671ED3">
              <w:rPr>
                <w:b/>
                <w:bCs/>
              </w:rPr>
              <w:fldChar w:fldCharType="separate"/>
            </w:r>
            <w:r w:rsidR="00B66AD8" w:rsidRPr="00671ED3">
              <w:rPr>
                <w:rStyle w:val="Hyperlink"/>
                <w:b/>
                <w:bCs/>
              </w:rPr>
              <w:t>Joó, Kinga</w:t>
            </w:r>
            <w:r w:rsidRPr="00671ED3">
              <w:rPr>
                <w:rStyle w:val="Hyperlink"/>
                <w:b/>
                <w:bCs/>
              </w:rPr>
              <w:fldChar w:fldCharType="end"/>
            </w:r>
            <w:bookmarkEnd w:id="1"/>
            <w:r w:rsidR="00FF03F1" w:rsidRPr="009462B5">
              <w:t xml:space="preserve"> (HU)</w:t>
            </w:r>
          </w:p>
          <w:p w14:paraId="0F93A554" w14:textId="31022F86" w:rsidR="00FF03F1" w:rsidRPr="00671ED3" w:rsidRDefault="00FF03F1" w:rsidP="009462B5">
            <w:pPr>
              <w:jc w:val="center"/>
              <w:rPr>
                <w:b/>
                <w:bCs/>
                <w:color w:val="FF0000"/>
              </w:rPr>
            </w:pPr>
            <w:r w:rsidRPr="00671ED3">
              <w:rPr>
                <w:b/>
                <w:bCs/>
              </w:rPr>
              <w:t>LMO Vice-</w:t>
            </w:r>
            <w:r w:rsidR="009033C2" w:rsidRPr="00671ED3">
              <w:rPr>
                <w:b/>
                <w:bCs/>
              </w:rPr>
              <w:t>P</w:t>
            </w:r>
            <w:r w:rsidRPr="00671ED3">
              <w:rPr>
                <w:b/>
                <w:bCs/>
              </w:rPr>
              <w:t>resident</w:t>
            </w:r>
          </w:p>
        </w:tc>
      </w:tr>
      <w:tr w:rsidR="00FF03F1" w:rsidRPr="00652FD0" w14:paraId="7FCD143F" w14:textId="77777777" w:rsidTr="009462B5">
        <w:trPr>
          <w:cantSplit/>
          <w:trHeight w:val="270"/>
          <w:tblHeader/>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shd w:val="clear" w:color="auto" w:fill="2F5496" w:themeFill="accent1" w:themeFillShade="BF"/>
            <w:tcMar>
              <w:top w:w="142" w:type="dxa"/>
              <w:bottom w:w="142" w:type="dxa"/>
            </w:tcMar>
            <w:vAlign w:val="center"/>
          </w:tcPr>
          <w:p w14:paraId="034B6E24" w14:textId="77777777" w:rsidR="00FF03F1" w:rsidRPr="00652FD0" w:rsidRDefault="00FF03F1" w:rsidP="009462B5">
            <w:pPr>
              <w:pStyle w:val="NormalWeb"/>
              <w:spacing w:before="0" w:beforeAutospacing="0" w:after="0" w:afterAutospacing="0" w:line="288" w:lineRule="auto"/>
              <w:jc w:val="center"/>
              <w:rPr>
                <w:color w:val="FFFFFF" w:themeColor="background1"/>
                <w:sz w:val="20"/>
                <w:szCs w:val="20"/>
                <w:lang w:val="en-GB"/>
              </w:rPr>
            </w:pPr>
            <w:r w:rsidRPr="00652FD0">
              <w:rPr>
                <w:b/>
                <w:bCs/>
                <w:color w:val="FFFFFF" w:themeColor="background1"/>
                <w:sz w:val="20"/>
                <w:szCs w:val="20"/>
                <w:lang w:val="en-GB"/>
              </w:rPr>
              <w:t>LMO MEMBERS</w:t>
            </w:r>
          </w:p>
        </w:tc>
      </w:tr>
      <w:tr w:rsidR="007D6208" w:rsidRPr="00652FD0" w14:paraId="1BDC5B92" w14:textId="77777777" w:rsidTr="009462B5">
        <w:trPr>
          <w:cantSplit/>
          <w:trHeight w:hRule="exact" w:val="454"/>
          <w:tblHeader/>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98EA56E" w14:textId="77777777" w:rsidR="00FF03F1" w:rsidRPr="00652FD0" w:rsidRDefault="00FF03F1" w:rsidP="009462B5">
            <w:pPr>
              <w:pStyle w:val="NormalWeb"/>
              <w:spacing w:before="0" w:beforeAutospacing="0" w:after="0" w:afterAutospacing="0" w:line="288" w:lineRule="auto"/>
              <w:jc w:val="center"/>
              <w:rPr>
                <w:b/>
                <w:sz w:val="20"/>
                <w:szCs w:val="20"/>
                <w:lang w:val="en-GB"/>
              </w:rPr>
            </w:pPr>
            <w:r w:rsidRPr="00652FD0">
              <w:rPr>
                <w:b/>
                <w:color w:val="000000"/>
                <w:sz w:val="20"/>
                <w:szCs w:val="20"/>
                <w:lang w:val="en-GB"/>
              </w:rPr>
              <w:t>MS</w:t>
            </w:r>
          </w:p>
        </w:tc>
        <w:tc>
          <w:tcPr>
            <w:tcW w:w="2371"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706D5722"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w:t>
            </w:r>
          </w:p>
        </w:tc>
        <w:tc>
          <w:tcPr>
            <w:tcW w:w="3226"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2DB49C07"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II</w:t>
            </w:r>
          </w:p>
        </w:tc>
        <w:tc>
          <w:tcPr>
            <w:tcW w:w="2843" w:type="dxa"/>
            <w:tcBorders>
              <w:top w:val="outset" w:sz="6" w:space="0" w:color="auto"/>
              <w:left w:val="outset" w:sz="6" w:space="0" w:color="auto"/>
              <w:bottom w:val="outset" w:sz="6" w:space="0" w:color="auto"/>
              <w:right w:val="outset" w:sz="6" w:space="0" w:color="auto"/>
            </w:tcBorders>
            <w:shd w:val="clear" w:color="auto" w:fill="FFFFFF" w:themeFill="background1"/>
            <w:tcMar>
              <w:top w:w="57" w:type="dxa"/>
              <w:bottom w:w="57" w:type="dxa"/>
            </w:tcMar>
            <w:vAlign w:val="center"/>
            <w:hideMark/>
          </w:tcPr>
          <w:p w14:paraId="04D288F2"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b/>
                <w:bCs/>
                <w:color w:val="000000"/>
                <w:sz w:val="20"/>
                <w:szCs w:val="20"/>
                <w:lang w:val="en-GB"/>
              </w:rPr>
              <w:t>GR III</w:t>
            </w:r>
          </w:p>
        </w:tc>
      </w:tr>
      <w:tr w:rsidR="007D6208" w:rsidRPr="00652FD0" w14:paraId="5EDCB520"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FB1B798"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AT</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3393E5D" w14:textId="5BC74513" w:rsidR="00FF03F1" w:rsidRPr="00652FD0" w:rsidRDefault="00671ED3" w:rsidP="009462B5">
            <w:pPr>
              <w:pStyle w:val="NormalWeb"/>
              <w:spacing w:before="0" w:beforeAutospacing="0" w:after="0" w:afterAutospacing="0" w:line="288" w:lineRule="auto"/>
              <w:jc w:val="center"/>
              <w:rPr>
                <w:sz w:val="20"/>
                <w:szCs w:val="20"/>
                <w:lang w:val="en-GB"/>
              </w:rPr>
            </w:pPr>
            <w:hyperlink r:id="rId14" w:history="1">
              <w:r w:rsidR="00FF03F1" w:rsidRPr="00652FD0">
                <w:rPr>
                  <w:rStyle w:val="Hyperlink"/>
                  <w:b/>
                  <w:bCs/>
                  <w:caps/>
                  <w:sz w:val="20"/>
                  <w:szCs w:val="20"/>
                  <w:lang w:val="en-GB"/>
                </w:rPr>
                <w:t>Schweng</w:t>
              </w:r>
              <w:r w:rsidR="00FF03F1" w:rsidRPr="00652FD0">
                <w:rPr>
                  <w:rStyle w:val="Hyperlink"/>
                  <w:b/>
                  <w:bCs/>
                  <w:sz w:val="20"/>
                  <w:szCs w:val="20"/>
                  <w:lang w:val="en-GB"/>
                </w:rPr>
                <w:t>, Christa</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3F18A" w14:textId="6DF28EA5" w:rsidR="00FF03F1" w:rsidRPr="00652FD0" w:rsidRDefault="00671ED3" w:rsidP="009462B5">
            <w:pPr>
              <w:pStyle w:val="NormalWeb"/>
              <w:spacing w:before="0" w:beforeAutospacing="0" w:after="0" w:afterAutospacing="0" w:line="288" w:lineRule="auto"/>
              <w:jc w:val="center"/>
              <w:rPr>
                <w:sz w:val="20"/>
                <w:szCs w:val="20"/>
                <w:lang w:val="en-GB"/>
              </w:rPr>
            </w:pPr>
            <w:hyperlink r:id="rId15" w:history="1">
              <w:r w:rsidR="00FF03F1" w:rsidRPr="00652FD0">
                <w:rPr>
                  <w:rStyle w:val="Hyperlink"/>
                  <w:b/>
                  <w:bCs/>
                  <w:caps/>
                  <w:sz w:val="20"/>
                  <w:szCs w:val="20"/>
                  <w:lang w:val="en-GB"/>
                </w:rPr>
                <w:t>Reisecker</w:t>
              </w:r>
              <w:r w:rsidR="00FF03F1" w:rsidRPr="00652FD0">
                <w:rPr>
                  <w:rStyle w:val="Hyperlink"/>
                  <w:b/>
                  <w:bCs/>
                  <w:sz w:val="20"/>
                  <w:szCs w:val="20"/>
                  <w:lang w:val="en-GB"/>
                </w:rPr>
                <w:t>, Sophia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B080CB7" w14:textId="686E3B69" w:rsidR="00FF03F1" w:rsidRPr="00652FD0" w:rsidRDefault="00FF03F1" w:rsidP="009462B5">
            <w:pPr>
              <w:pStyle w:val="NormalWeb"/>
              <w:spacing w:before="0" w:beforeAutospacing="0" w:after="0" w:afterAutospacing="0" w:line="288" w:lineRule="auto"/>
              <w:jc w:val="center"/>
              <w:rPr>
                <w:i/>
                <w:sz w:val="20"/>
                <w:szCs w:val="20"/>
                <w:lang w:val="en-GB"/>
              </w:rPr>
            </w:pPr>
            <w:r w:rsidRPr="00652FD0">
              <w:rPr>
                <w:rStyle w:val="Hyperlink"/>
                <w:b/>
                <w:bCs/>
                <w:caps/>
                <w:sz w:val="20"/>
                <w:szCs w:val="20"/>
                <w:lang w:val="en-GB"/>
              </w:rPr>
              <w:t>Schaffenrath</w:t>
            </w:r>
            <w:r w:rsidRPr="00652FD0">
              <w:rPr>
                <w:rStyle w:val="Hyperlink"/>
                <w:b/>
                <w:bCs/>
                <w:sz w:val="20"/>
                <w:szCs w:val="20"/>
                <w:lang w:val="en-GB"/>
              </w:rPr>
              <w:t>, Martin</w:t>
            </w:r>
          </w:p>
        </w:tc>
      </w:tr>
      <w:tr w:rsidR="007D6208" w:rsidRPr="00652FD0" w14:paraId="0D39A8D8"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41D7500"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9462B5">
              <w:rPr>
                <w:color w:val="000000"/>
                <w:sz w:val="20"/>
                <w:szCs w:val="20"/>
                <w:lang w:val="en-GB"/>
              </w:rPr>
              <w:t>BE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1E5BD1" w14:textId="77777777" w:rsidR="00FF03F1" w:rsidRPr="00652FD0" w:rsidRDefault="00671ED3" w:rsidP="009462B5">
            <w:pPr>
              <w:pStyle w:val="NormalWeb"/>
              <w:spacing w:before="0" w:beforeAutospacing="0" w:after="0" w:afterAutospacing="0" w:line="288" w:lineRule="auto"/>
              <w:jc w:val="center"/>
              <w:rPr>
                <w:sz w:val="20"/>
                <w:szCs w:val="20"/>
                <w:lang w:val="en-GB"/>
              </w:rPr>
            </w:pPr>
            <w:hyperlink r:id="rId16" w:history="1">
              <w:r w:rsidR="00FF03F1" w:rsidRPr="00652FD0">
                <w:rPr>
                  <w:rStyle w:val="Hyperlink"/>
                  <w:b/>
                  <w:bCs/>
                  <w:caps/>
                  <w:sz w:val="20"/>
                  <w:szCs w:val="20"/>
                  <w:lang w:val="en-GB"/>
                </w:rPr>
                <w:t>Soete</w:t>
              </w:r>
              <w:r w:rsidR="00FF03F1" w:rsidRPr="00652FD0">
                <w:rPr>
                  <w:rStyle w:val="Hyperlink"/>
                  <w:b/>
                  <w:bCs/>
                  <w:sz w:val="20"/>
                  <w:szCs w:val="20"/>
                  <w:lang w:val="en-GB"/>
                </w:rPr>
                <w:t>, Paul</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B6FB42" w14:textId="67EA2AD2" w:rsidR="00FF03F1" w:rsidRPr="00652FD0" w:rsidRDefault="00671ED3" w:rsidP="009462B5">
            <w:pPr>
              <w:pStyle w:val="NormalWeb"/>
              <w:spacing w:before="0" w:beforeAutospacing="0" w:after="0" w:afterAutospacing="0" w:line="288" w:lineRule="auto"/>
              <w:jc w:val="center"/>
              <w:rPr>
                <w:sz w:val="20"/>
                <w:szCs w:val="20"/>
                <w:lang w:val="en-GB"/>
              </w:rPr>
            </w:pPr>
            <w:hyperlink r:id="rId17" w:history="1">
              <w:r w:rsidR="00FF03F1" w:rsidRPr="00652FD0">
                <w:rPr>
                  <w:rStyle w:val="Hyperlink"/>
                  <w:b/>
                  <w:bCs/>
                  <w:caps/>
                  <w:sz w:val="20"/>
                  <w:szCs w:val="20"/>
                  <w:lang w:val="en-GB"/>
                </w:rPr>
                <w:t>Wyckmans</w:t>
              </w:r>
              <w:r w:rsidR="00FF03F1" w:rsidRPr="00652FD0">
                <w:rPr>
                  <w:rStyle w:val="Hyperlink"/>
                  <w:b/>
                  <w:bCs/>
                  <w:sz w:val="20"/>
                  <w:szCs w:val="20"/>
                  <w:lang w:val="en-GB"/>
                </w:rPr>
                <w:t>, Ferre</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8D20C96" w14:textId="77777777" w:rsidR="00FF03F1" w:rsidRPr="00652FD0" w:rsidRDefault="00FF03F1" w:rsidP="009462B5">
            <w:pPr>
              <w:jc w:val="center"/>
              <w:rPr>
                <w:sz w:val="20"/>
                <w:szCs w:val="20"/>
              </w:rPr>
            </w:pPr>
          </w:p>
        </w:tc>
      </w:tr>
      <w:tr w:rsidR="007D6208" w:rsidRPr="00652FD0" w14:paraId="0E5FC6D1"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80F0B7B"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BG</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438638B" w14:textId="77777777" w:rsidR="00FF03F1" w:rsidRPr="00652FD0" w:rsidRDefault="00FF03F1" w:rsidP="009462B5">
            <w:pPr>
              <w:jc w:val="center"/>
              <w:rPr>
                <w:sz w:val="20"/>
                <w:szCs w:val="20"/>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24FC10F" w14:textId="77777777" w:rsidR="00FF03F1" w:rsidRPr="00652FD0" w:rsidRDefault="00FF03F1" w:rsidP="009462B5">
            <w:pPr>
              <w:shd w:val="clear" w:color="auto" w:fill="FFFFFF"/>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8AE3624" w14:textId="77777777" w:rsidR="00FF03F1" w:rsidRPr="00652FD0" w:rsidRDefault="00671ED3" w:rsidP="009462B5">
            <w:pPr>
              <w:pStyle w:val="NormalWeb"/>
              <w:spacing w:before="0" w:beforeAutospacing="0" w:after="0" w:afterAutospacing="0" w:line="288" w:lineRule="auto"/>
              <w:jc w:val="center"/>
              <w:rPr>
                <w:sz w:val="20"/>
                <w:szCs w:val="20"/>
                <w:lang w:val="en-GB"/>
              </w:rPr>
            </w:pPr>
            <w:hyperlink r:id="rId18" w:history="1">
              <w:r w:rsidR="00FF03F1" w:rsidRPr="00652FD0">
                <w:rPr>
                  <w:rStyle w:val="Hyperlink"/>
                  <w:b/>
                  <w:bCs/>
                  <w:caps/>
                  <w:sz w:val="20"/>
                  <w:szCs w:val="20"/>
                  <w:lang w:val="en-GB"/>
                </w:rPr>
                <w:t>Dulevski</w:t>
              </w:r>
              <w:r w:rsidR="00FF03F1" w:rsidRPr="00652FD0">
                <w:rPr>
                  <w:rStyle w:val="Hyperlink"/>
                  <w:b/>
                  <w:bCs/>
                  <w:sz w:val="20"/>
                  <w:szCs w:val="20"/>
                  <w:lang w:val="en-GB"/>
                </w:rPr>
                <w:t>, Lalko</w:t>
              </w:r>
            </w:hyperlink>
          </w:p>
        </w:tc>
      </w:tr>
      <w:tr w:rsidR="007D6208" w:rsidRPr="00652FD0" w14:paraId="773AF529"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B5AFB33"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CY</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C637AA4" w14:textId="77777777" w:rsidR="00FF03F1" w:rsidRPr="00652FD0" w:rsidRDefault="00671ED3" w:rsidP="009462B5">
            <w:pPr>
              <w:pStyle w:val="NormalWeb"/>
              <w:spacing w:before="0" w:beforeAutospacing="0" w:after="0" w:afterAutospacing="0" w:line="288" w:lineRule="auto"/>
              <w:jc w:val="center"/>
              <w:rPr>
                <w:sz w:val="20"/>
                <w:szCs w:val="20"/>
                <w:lang w:val="en-GB"/>
              </w:rPr>
            </w:pPr>
            <w:hyperlink r:id="rId19" w:history="1">
              <w:r w:rsidR="00FF03F1" w:rsidRPr="00652FD0">
                <w:rPr>
                  <w:rStyle w:val="Hyperlink"/>
                  <w:b/>
                  <w:bCs/>
                  <w:caps/>
                  <w:sz w:val="20"/>
                  <w:szCs w:val="20"/>
                  <w:lang w:val="en-GB"/>
                </w:rPr>
                <w:t>Antoniou</w:t>
              </w:r>
              <w:r w:rsidR="00FF03F1" w:rsidRPr="00652FD0">
                <w:rPr>
                  <w:rStyle w:val="Hyperlink"/>
                  <w:b/>
                  <w:bCs/>
                  <w:sz w:val="20"/>
                  <w:szCs w:val="20"/>
                  <w:lang w:val="en-GB"/>
                </w:rPr>
                <w:t>, Michalis</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64B860" w14:textId="77777777" w:rsidR="00FF03F1" w:rsidRPr="00652FD0" w:rsidRDefault="00FF03F1" w:rsidP="009462B5">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0209B3" w14:textId="77777777" w:rsidR="00FF03F1" w:rsidRPr="00652FD0" w:rsidRDefault="00FF03F1" w:rsidP="009462B5">
            <w:pPr>
              <w:jc w:val="center"/>
              <w:rPr>
                <w:sz w:val="20"/>
                <w:szCs w:val="20"/>
              </w:rPr>
            </w:pPr>
          </w:p>
        </w:tc>
      </w:tr>
      <w:tr w:rsidR="007D6208" w:rsidRPr="00652FD0" w14:paraId="439D07D1"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BDC1DA2"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sz w:val="20"/>
                <w:szCs w:val="20"/>
                <w:lang w:val="en-GB"/>
              </w:rPr>
              <w:t>DE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698D85"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A66ED9A"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rStyle w:val="Hyperlink"/>
                <w:b/>
                <w:bCs/>
                <w:caps/>
                <w:sz w:val="20"/>
                <w:szCs w:val="20"/>
                <w:lang w:val="en-GB"/>
              </w:rPr>
              <w:t>Bartels</w:t>
            </w:r>
            <w:r w:rsidRPr="00652FD0">
              <w:rPr>
                <w:rStyle w:val="Hyperlink"/>
                <w:b/>
                <w:bCs/>
                <w:sz w:val="20"/>
                <w:szCs w:val="20"/>
                <w:lang w:val="en-GB"/>
              </w:rPr>
              <w:t>, Holger</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9B5EEF5" w14:textId="77777777" w:rsidR="00FF03F1" w:rsidRPr="00652FD0" w:rsidRDefault="00FF03F1" w:rsidP="009462B5">
            <w:pPr>
              <w:jc w:val="center"/>
              <w:rPr>
                <w:sz w:val="20"/>
                <w:szCs w:val="20"/>
              </w:rPr>
            </w:pPr>
          </w:p>
        </w:tc>
      </w:tr>
      <w:tr w:rsidR="007D6208" w:rsidRPr="00652FD0" w14:paraId="509695C1" w14:textId="77777777" w:rsidTr="009462B5">
        <w:trPr>
          <w:cantSplit/>
          <w:trHeight w:hRule="exact" w:val="721"/>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41BC75"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ES</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E7C50C"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E787C94" w14:textId="1D79A7E9" w:rsidR="00FF03F1" w:rsidRPr="00652FD0" w:rsidRDefault="00FF03F1" w:rsidP="009462B5">
            <w:pPr>
              <w:pStyle w:val="NormalWeb"/>
              <w:spacing w:before="0" w:beforeAutospacing="0" w:after="0" w:afterAutospacing="0" w:line="288" w:lineRule="auto"/>
              <w:ind w:left="340" w:right="340"/>
              <w:jc w:val="center"/>
              <w:rPr>
                <w:sz w:val="20"/>
                <w:szCs w:val="20"/>
                <w:lang w:val="en-GB"/>
              </w:rPr>
            </w:pPr>
            <w:r w:rsidRPr="00652FD0">
              <w:rPr>
                <w:rStyle w:val="Hyperlink"/>
                <w:b/>
                <w:bCs/>
                <w:caps/>
                <w:sz w:val="20"/>
                <w:szCs w:val="20"/>
                <w:lang w:val="en-GB"/>
              </w:rPr>
              <w:t>Barrera Chamorro</w:t>
            </w:r>
            <w:r w:rsidRPr="00652FD0">
              <w:rPr>
                <w:rStyle w:val="Hyperlink"/>
                <w:b/>
                <w:bCs/>
                <w:sz w:val="20"/>
                <w:szCs w:val="20"/>
                <w:lang w:val="en-GB"/>
              </w:rPr>
              <w:t>,</w:t>
            </w:r>
            <w:r w:rsidR="00D659B6">
              <w:rPr>
                <w:rStyle w:val="Hyperlink"/>
                <w:b/>
                <w:bCs/>
                <w:sz w:val="20"/>
                <w:szCs w:val="20"/>
                <w:lang w:val="en-GB"/>
              </w:rPr>
              <w:t xml:space="preserve"> </w:t>
            </w:r>
            <w:r w:rsidRPr="00652FD0">
              <w:rPr>
                <w:rStyle w:val="Hyperlink"/>
                <w:b/>
                <w:bCs/>
                <w:sz w:val="20"/>
                <w:szCs w:val="20"/>
                <w:lang w:val="en-GB"/>
              </w:rPr>
              <w:t>Maria del Carmen</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F50248A" w14:textId="77777777" w:rsidR="00FF03F1" w:rsidRPr="00652FD0" w:rsidRDefault="00FF03F1" w:rsidP="009462B5">
            <w:pPr>
              <w:jc w:val="center"/>
              <w:rPr>
                <w:sz w:val="20"/>
                <w:szCs w:val="20"/>
              </w:rPr>
            </w:pPr>
          </w:p>
        </w:tc>
      </w:tr>
      <w:tr w:rsidR="007D6208" w:rsidRPr="00652FD0" w14:paraId="566B854A" w14:textId="77777777" w:rsidTr="009462B5">
        <w:trPr>
          <w:cantSplit/>
          <w:trHeight w:hRule="exact" w:val="788"/>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FBDBDD"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FR</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82E8374" w14:textId="5F2B6584" w:rsidR="00FF03F1" w:rsidRPr="00652FD0" w:rsidRDefault="00671ED3" w:rsidP="009462B5">
            <w:pPr>
              <w:jc w:val="center"/>
              <w:rPr>
                <w:sz w:val="20"/>
                <w:szCs w:val="20"/>
              </w:rPr>
            </w:pPr>
            <w:hyperlink r:id="rId20" w:history="1">
              <w:r w:rsidR="00FF03F1" w:rsidRPr="00652FD0">
                <w:rPr>
                  <w:rStyle w:val="Hyperlink"/>
                  <w:rFonts w:eastAsiaTheme="minorHAnsi"/>
                  <w:b/>
                  <w:bCs/>
                  <w:sz w:val="20"/>
                  <w:szCs w:val="20"/>
                  <w:lang w:eastAsia="fr-BE"/>
                </w:rPr>
                <w:t>G</w:t>
              </w:r>
              <w:r w:rsidR="00EC0035" w:rsidRPr="00652FD0">
                <w:rPr>
                  <w:rStyle w:val="Hyperlink"/>
                  <w:rFonts w:eastAsiaTheme="minorHAnsi"/>
                  <w:b/>
                  <w:bCs/>
                  <w:sz w:val="20"/>
                  <w:szCs w:val="20"/>
                  <w:lang w:eastAsia="fr-BE"/>
                </w:rPr>
                <w:t>ONDARD</w:t>
              </w:r>
              <w:r w:rsidR="00FF03F1" w:rsidRPr="00652FD0">
                <w:rPr>
                  <w:rStyle w:val="Hyperlink"/>
                  <w:rFonts w:eastAsiaTheme="minorHAnsi"/>
                  <w:b/>
                  <w:bCs/>
                  <w:sz w:val="20"/>
                  <w:szCs w:val="20"/>
                  <w:lang w:eastAsia="fr-BE"/>
                </w:rPr>
                <w:t>-</w:t>
              </w:r>
              <w:r w:rsidR="00FF03F1" w:rsidRPr="00652FD0">
                <w:rPr>
                  <w:rStyle w:val="Hyperlink"/>
                  <w:rFonts w:eastAsiaTheme="minorHAnsi"/>
                  <w:b/>
                  <w:bCs/>
                  <w:caps/>
                  <w:sz w:val="20"/>
                  <w:szCs w:val="20"/>
                  <w:lang w:eastAsia="fr-BE"/>
                </w:rPr>
                <w:t>Argenti</w:t>
              </w:r>
              <w:r w:rsidR="00FF03F1" w:rsidRPr="00652FD0">
                <w:rPr>
                  <w:rStyle w:val="Hyperlink"/>
                  <w:rFonts w:eastAsiaTheme="minorHAnsi"/>
                  <w:b/>
                  <w:bCs/>
                  <w:sz w:val="20"/>
                  <w:szCs w:val="20"/>
                  <w:lang w:eastAsia="fr-BE"/>
                </w:rPr>
                <w:t>, Marie-Françoise</w:t>
              </w:r>
            </w:hyperlink>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B75CEA2"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185005C" w14:textId="77777777" w:rsidR="00FF03F1" w:rsidRPr="00652FD0" w:rsidRDefault="00FF03F1" w:rsidP="009462B5">
            <w:pPr>
              <w:jc w:val="center"/>
              <w:rPr>
                <w:sz w:val="20"/>
                <w:szCs w:val="20"/>
              </w:rPr>
            </w:pPr>
          </w:p>
        </w:tc>
      </w:tr>
      <w:tr w:rsidR="007D6208" w:rsidRPr="00652FD0" w14:paraId="33F20D38"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5E546BD" w14:textId="77777777" w:rsidR="00FF03F1" w:rsidRPr="00652FD0" w:rsidRDefault="00FF03F1" w:rsidP="009462B5">
            <w:pPr>
              <w:pStyle w:val="NormalWeb"/>
              <w:spacing w:before="0" w:beforeAutospacing="0" w:after="0" w:afterAutospacing="0" w:line="288" w:lineRule="auto"/>
              <w:jc w:val="center"/>
              <w:rPr>
                <w:color w:val="000000"/>
                <w:sz w:val="20"/>
                <w:szCs w:val="20"/>
                <w:lang w:val="en-GB"/>
              </w:rPr>
            </w:pPr>
            <w:r w:rsidRPr="00652FD0">
              <w:rPr>
                <w:color w:val="000000"/>
                <w:sz w:val="20"/>
                <w:szCs w:val="20"/>
                <w:lang w:val="en-GB"/>
              </w:rPr>
              <w:t>HR</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7D7BF36" w14:textId="77777777" w:rsidR="00FF03F1" w:rsidRPr="009462B5" w:rsidRDefault="00FF03F1" w:rsidP="009462B5">
            <w:pPr>
              <w:jc w:val="center"/>
              <w:rPr>
                <w:rStyle w:val="Hyperlink"/>
                <w:rFonts w:eastAsiaTheme="minorHAnsi"/>
                <w:b/>
                <w:bCs/>
                <w:sz w:val="20"/>
                <w:szCs w:val="20"/>
                <w:lang w:eastAsia="fr-BE"/>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ACF72E1" w14:textId="77777777" w:rsidR="00FF03F1" w:rsidRPr="00652FD0" w:rsidRDefault="00FF03F1" w:rsidP="009462B5">
            <w:pPr>
              <w:jc w:val="center"/>
              <w:rPr>
                <w:color w:val="000000" w:themeColor="text1"/>
                <w:sz w:val="20"/>
                <w:szCs w:val="20"/>
              </w:rPr>
            </w:pPr>
            <w:r w:rsidRPr="00652FD0">
              <w:rPr>
                <w:rStyle w:val="Hyperlink"/>
                <w:rFonts w:eastAsiaTheme="minorHAnsi"/>
                <w:b/>
                <w:bCs/>
                <w:caps/>
                <w:sz w:val="20"/>
                <w:szCs w:val="20"/>
                <w:lang w:eastAsia="fr-BE"/>
              </w:rPr>
              <w:t>Milićević</w:t>
            </w:r>
            <w:r w:rsidRPr="00652FD0">
              <w:rPr>
                <w:rStyle w:val="Hyperlink"/>
                <w:rFonts w:eastAsiaTheme="minorHAnsi"/>
                <w:b/>
                <w:bCs/>
                <w:sz w:val="20"/>
                <w:szCs w:val="20"/>
                <w:lang w:eastAsia="fr-BE"/>
              </w:rPr>
              <w:t>-</w:t>
            </w:r>
            <w:r w:rsidRPr="00652FD0">
              <w:rPr>
                <w:rStyle w:val="Hyperlink"/>
                <w:rFonts w:eastAsiaTheme="minorHAnsi"/>
                <w:b/>
                <w:bCs/>
                <w:caps/>
                <w:sz w:val="20"/>
                <w:szCs w:val="20"/>
                <w:lang w:eastAsia="fr-BE"/>
              </w:rPr>
              <w:t>Pezelj</w:t>
            </w:r>
            <w:r w:rsidRPr="00652FD0">
              <w:rPr>
                <w:rStyle w:val="Hyperlink"/>
                <w:rFonts w:eastAsiaTheme="minorHAnsi"/>
                <w:b/>
                <w:bCs/>
                <w:sz w:val="20"/>
                <w:szCs w:val="20"/>
                <w:lang w:eastAsia="fr-BE"/>
              </w:rPr>
              <w:t>, Anica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376E9BE" w14:textId="77777777" w:rsidR="00FF03F1" w:rsidRPr="00652FD0" w:rsidRDefault="00FF03F1" w:rsidP="009462B5">
            <w:pPr>
              <w:jc w:val="center"/>
              <w:rPr>
                <w:sz w:val="20"/>
                <w:szCs w:val="20"/>
              </w:rPr>
            </w:pPr>
          </w:p>
        </w:tc>
      </w:tr>
      <w:tr w:rsidR="007D6208" w:rsidRPr="00652FD0" w14:paraId="3FC2B8D9"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7F1E619"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HU</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615353B"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Vadász</w:t>
            </w:r>
            <w:r w:rsidRPr="00652FD0">
              <w:rPr>
                <w:rStyle w:val="Hyperlink"/>
                <w:rFonts w:eastAsiaTheme="minorHAnsi"/>
                <w:b/>
                <w:bCs/>
                <w:sz w:val="20"/>
                <w:szCs w:val="20"/>
                <w:lang w:eastAsia="fr-BE"/>
              </w:rPr>
              <w:t>, Borbála</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6C95949" w14:textId="77777777" w:rsidR="00FF03F1" w:rsidRPr="00652FD0" w:rsidRDefault="00FF03F1" w:rsidP="009462B5">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57334F0"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r>
      <w:tr w:rsidR="007D6208" w:rsidRPr="00652FD0" w14:paraId="1FB004B7"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C3A389F" w14:textId="77777777" w:rsidR="00FF03F1" w:rsidRPr="00652FD0" w:rsidRDefault="00FF03F1" w:rsidP="009462B5">
            <w:pPr>
              <w:pStyle w:val="NormalWeb"/>
              <w:spacing w:before="0" w:beforeAutospacing="0" w:after="0" w:afterAutospacing="0" w:line="288" w:lineRule="auto"/>
              <w:jc w:val="center"/>
              <w:rPr>
                <w:color w:val="000000"/>
                <w:sz w:val="20"/>
                <w:szCs w:val="20"/>
                <w:lang w:val="en-GB"/>
              </w:rPr>
            </w:pPr>
            <w:r w:rsidRPr="009462B5">
              <w:rPr>
                <w:color w:val="000000"/>
                <w:sz w:val="20"/>
                <w:szCs w:val="20"/>
                <w:lang w:val="en-GB"/>
              </w:rPr>
              <w:t>IE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509AF2CB"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3613713"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238AD23C"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McLoughlin</w:t>
            </w:r>
            <w:r w:rsidRPr="00652FD0">
              <w:rPr>
                <w:rStyle w:val="Hyperlink"/>
                <w:b/>
                <w:bCs/>
                <w:sz w:val="20"/>
                <w:szCs w:val="20"/>
              </w:rPr>
              <w:t>, Michael</w:t>
            </w:r>
          </w:p>
        </w:tc>
      </w:tr>
      <w:tr w:rsidR="007D6208" w:rsidRPr="00652FD0" w14:paraId="21B7EB19"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EB1ADCF"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IT</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165A30F"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32D4D83" w14:textId="21093627" w:rsidR="00FF03F1" w:rsidRPr="00652FD0" w:rsidRDefault="00FF03F1" w:rsidP="009462B5">
            <w:pPr>
              <w:jc w:val="center"/>
              <w:rPr>
                <w:sz w:val="20"/>
                <w:szCs w:val="20"/>
              </w:rPr>
            </w:pPr>
            <w:r w:rsidRPr="00652FD0">
              <w:rPr>
                <w:rStyle w:val="Hyperlink"/>
                <w:rFonts w:eastAsiaTheme="minorHAnsi"/>
                <w:b/>
                <w:bCs/>
                <w:caps/>
                <w:sz w:val="20"/>
                <w:szCs w:val="20"/>
                <w:lang w:eastAsia="fr-BE"/>
              </w:rPr>
              <w:t>Merlo</w:t>
            </w:r>
            <w:r w:rsidRPr="00652FD0">
              <w:rPr>
                <w:rStyle w:val="Hyperlink"/>
                <w:b/>
                <w:bCs/>
                <w:sz w:val="20"/>
                <w:szCs w:val="20"/>
              </w:rPr>
              <w:t>, Nicoletta</w:t>
            </w: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C039D57"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Marcantonio</w:t>
            </w:r>
            <w:r w:rsidRPr="00652FD0">
              <w:rPr>
                <w:rStyle w:val="Hyperlink"/>
                <w:b/>
                <w:bCs/>
                <w:sz w:val="20"/>
                <w:szCs w:val="20"/>
              </w:rPr>
              <w:t>, Giovanni</w:t>
            </w:r>
          </w:p>
        </w:tc>
      </w:tr>
      <w:tr w:rsidR="007D6208" w:rsidRPr="00652FD0" w14:paraId="1A7C388D"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7C2E56A"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PL</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7AE7EA59"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6969DF8" w14:textId="6F2C9DC6" w:rsidR="00FF03F1" w:rsidRPr="00652FD0" w:rsidRDefault="00671ED3" w:rsidP="009462B5">
            <w:pPr>
              <w:pStyle w:val="NormalWeb"/>
              <w:spacing w:before="0" w:beforeAutospacing="0" w:after="0" w:afterAutospacing="0" w:line="288" w:lineRule="auto"/>
              <w:jc w:val="center"/>
              <w:rPr>
                <w:sz w:val="20"/>
                <w:szCs w:val="20"/>
                <w:lang w:val="en-GB"/>
              </w:rPr>
            </w:pPr>
            <w:hyperlink r:id="rId21" w:history="1">
              <w:r w:rsidR="00FF03F1" w:rsidRPr="00652FD0">
                <w:rPr>
                  <w:rStyle w:val="Hyperlink"/>
                  <w:rFonts w:eastAsiaTheme="minorHAnsi"/>
                  <w:b/>
                  <w:bCs/>
                  <w:caps/>
                  <w:sz w:val="20"/>
                  <w:szCs w:val="20"/>
                </w:rPr>
                <w:t>Gardias</w:t>
              </w:r>
              <w:r w:rsidR="00FF03F1" w:rsidRPr="00652FD0">
                <w:rPr>
                  <w:rStyle w:val="Hyperlink"/>
                  <w:b/>
                  <w:bCs/>
                  <w:sz w:val="20"/>
                  <w:szCs w:val="20"/>
                </w:rPr>
                <w:t>, Dorota</w:t>
              </w:r>
            </w:hyperlink>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B371061"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Ochędzan</w:t>
            </w:r>
            <w:r w:rsidRPr="00652FD0">
              <w:rPr>
                <w:rStyle w:val="Hyperlink"/>
                <w:b/>
                <w:bCs/>
                <w:sz w:val="20"/>
                <w:szCs w:val="20"/>
              </w:rPr>
              <w:t>, Justyna Kalina</w:t>
            </w:r>
          </w:p>
        </w:tc>
      </w:tr>
      <w:tr w:rsidR="007D6208" w:rsidRPr="00652FD0" w14:paraId="089B02B2"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2A922E80"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RO</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450E9D98"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Preda</w:t>
            </w:r>
            <w:r w:rsidRPr="00652FD0">
              <w:rPr>
                <w:rStyle w:val="Hyperlink"/>
                <w:b/>
                <w:bCs/>
                <w:sz w:val="20"/>
                <w:szCs w:val="20"/>
              </w:rPr>
              <w:t>, Bogdan</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5CC0B9CB" w14:textId="77777777" w:rsidR="00FF03F1" w:rsidRPr="00652FD0" w:rsidRDefault="00FF03F1" w:rsidP="009462B5">
            <w:pPr>
              <w:pStyle w:val="NormalWeb"/>
              <w:spacing w:before="0" w:beforeAutospacing="0" w:after="0" w:afterAutospacing="0" w:line="288" w:lineRule="auto"/>
              <w:jc w:val="center"/>
              <w:rPr>
                <w:sz w:val="20"/>
                <w:szCs w:val="20"/>
                <w:lang w:val="en-GB"/>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8A477F6" w14:textId="77777777" w:rsidR="00FF03F1" w:rsidRPr="00652FD0" w:rsidRDefault="00FF03F1" w:rsidP="009462B5">
            <w:pPr>
              <w:jc w:val="center"/>
              <w:rPr>
                <w:sz w:val="20"/>
                <w:szCs w:val="20"/>
              </w:rPr>
            </w:pPr>
          </w:p>
        </w:tc>
      </w:tr>
      <w:tr w:rsidR="007D6208" w:rsidRPr="00652FD0" w14:paraId="3F1DF865"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3DC31079" w14:textId="77777777" w:rsidR="00FF03F1" w:rsidRPr="00652FD0" w:rsidRDefault="00FF03F1" w:rsidP="009462B5">
            <w:pPr>
              <w:pStyle w:val="NormalWeb"/>
              <w:spacing w:before="0" w:beforeAutospacing="0" w:after="0" w:afterAutospacing="0" w:line="288" w:lineRule="auto"/>
              <w:jc w:val="center"/>
              <w:rPr>
                <w:sz w:val="20"/>
                <w:szCs w:val="20"/>
                <w:lang w:val="en-GB"/>
              </w:rPr>
            </w:pPr>
            <w:r w:rsidRPr="00652FD0">
              <w:rPr>
                <w:color w:val="000000"/>
                <w:sz w:val="20"/>
                <w:szCs w:val="20"/>
                <w:lang w:val="en-GB"/>
              </w:rPr>
              <w:t>SE</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hideMark/>
          </w:tcPr>
          <w:p w14:paraId="01B14B3F" w14:textId="1DAD9E0E" w:rsidR="00FF03F1" w:rsidRPr="00652FD0" w:rsidRDefault="00FF03F1" w:rsidP="009462B5">
            <w:pPr>
              <w:jc w:val="center"/>
              <w:rPr>
                <w:sz w:val="20"/>
                <w:szCs w:val="20"/>
              </w:rPr>
            </w:pPr>
            <w:r w:rsidRPr="00652FD0">
              <w:rPr>
                <w:rStyle w:val="Hyperlink"/>
                <w:rFonts w:eastAsiaTheme="minorHAnsi"/>
                <w:b/>
                <w:bCs/>
                <w:caps/>
                <w:sz w:val="20"/>
                <w:szCs w:val="20"/>
                <w:lang w:eastAsia="fr-BE"/>
              </w:rPr>
              <w:t>Ardhe</w:t>
            </w:r>
            <w:r w:rsidRPr="00652FD0">
              <w:rPr>
                <w:rStyle w:val="Hyperlink"/>
                <w:b/>
                <w:bCs/>
                <w:sz w:val="20"/>
                <w:szCs w:val="20"/>
              </w:rPr>
              <w:t>, Christian</w:t>
            </w: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09A07426" w14:textId="77777777" w:rsidR="00FF03F1" w:rsidRPr="00652FD0" w:rsidRDefault="00FF03F1" w:rsidP="009462B5">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hideMark/>
          </w:tcPr>
          <w:p w14:paraId="6B949B7D" w14:textId="77777777" w:rsidR="00FF03F1" w:rsidRPr="00652FD0" w:rsidRDefault="00FF03F1" w:rsidP="009462B5">
            <w:pPr>
              <w:jc w:val="center"/>
              <w:rPr>
                <w:sz w:val="20"/>
                <w:szCs w:val="20"/>
              </w:rPr>
            </w:pPr>
            <w:r w:rsidRPr="00652FD0">
              <w:rPr>
                <w:rStyle w:val="Hyperlink"/>
                <w:rFonts w:eastAsiaTheme="minorHAnsi"/>
                <w:b/>
                <w:bCs/>
                <w:caps/>
                <w:sz w:val="20"/>
                <w:szCs w:val="20"/>
                <w:lang w:eastAsia="fr-BE"/>
              </w:rPr>
              <w:t>Andersson</w:t>
            </w:r>
            <w:r w:rsidRPr="00652FD0">
              <w:rPr>
                <w:rStyle w:val="Hyperlink"/>
                <w:b/>
                <w:bCs/>
                <w:sz w:val="20"/>
                <w:szCs w:val="20"/>
              </w:rPr>
              <w:t>, Jan Torsten</w:t>
            </w:r>
          </w:p>
        </w:tc>
      </w:tr>
      <w:tr w:rsidR="007D6208" w:rsidRPr="00652FD0" w14:paraId="785427B2" w14:textId="77777777" w:rsidTr="009462B5">
        <w:trPr>
          <w:cantSplit/>
          <w:trHeight w:hRule="exact" w:val="425"/>
          <w:tblCellSpacing w:w="0" w:type="dxa"/>
          <w:jc w:val="center"/>
        </w:trPr>
        <w:tc>
          <w:tcPr>
            <w:tcW w:w="632"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7BCF1E45" w14:textId="77777777" w:rsidR="00FF03F1" w:rsidRPr="00652FD0" w:rsidRDefault="00FF03F1" w:rsidP="009462B5">
            <w:pPr>
              <w:pStyle w:val="NormalWeb"/>
              <w:spacing w:before="0" w:beforeAutospacing="0" w:after="0" w:afterAutospacing="0" w:line="288" w:lineRule="auto"/>
              <w:jc w:val="center"/>
              <w:rPr>
                <w:color w:val="000000"/>
                <w:sz w:val="20"/>
                <w:szCs w:val="20"/>
                <w:lang w:val="en-GB"/>
              </w:rPr>
            </w:pPr>
            <w:r w:rsidRPr="00652FD0">
              <w:rPr>
                <w:color w:val="000000"/>
                <w:sz w:val="20"/>
                <w:szCs w:val="20"/>
                <w:lang w:val="en-GB"/>
              </w:rPr>
              <w:t>SI</w:t>
            </w:r>
          </w:p>
        </w:tc>
        <w:tc>
          <w:tcPr>
            <w:tcW w:w="2371" w:type="dxa"/>
            <w:tcBorders>
              <w:top w:val="outset" w:sz="6" w:space="0" w:color="auto"/>
              <w:left w:val="outset" w:sz="6" w:space="0" w:color="auto"/>
              <w:bottom w:val="outset" w:sz="6" w:space="0" w:color="auto"/>
              <w:right w:val="outset" w:sz="6" w:space="0" w:color="auto"/>
            </w:tcBorders>
            <w:shd w:val="clear" w:color="auto" w:fill="FFFFFF"/>
            <w:tcMar>
              <w:top w:w="28" w:type="dxa"/>
              <w:bottom w:w="28" w:type="dxa"/>
            </w:tcMar>
            <w:vAlign w:val="center"/>
          </w:tcPr>
          <w:p w14:paraId="53C92644" w14:textId="77777777" w:rsidR="00FF03F1" w:rsidRPr="00652FD0" w:rsidRDefault="00FF03F1" w:rsidP="009462B5">
            <w:pPr>
              <w:pStyle w:val="NormalWeb"/>
              <w:spacing w:before="0" w:beforeAutospacing="0" w:after="0" w:afterAutospacing="0" w:line="288" w:lineRule="auto"/>
              <w:jc w:val="center"/>
              <w:rPr>
                <w:rStyle w:val="Hyperlink"/>
                <w:b/>
                <w:bCs/>
                <w:sz w:val="20"/>
                <w:szCs w:val="20"/>
                <w:lang w:val="en-GB"/>
              </w:rPr>
            </w:pPr>
          </w:p>
        </w:tc>
        <w:tc>
          <w:tcPr>
            <w:tcW w:w="3226"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66CDD970" w14:textId="77777777" w:rsidR="00FF03F1" w:rsidRPr="00652FD0" w:rsidRDefault="00FF03F1" w:rsidP="009462B5">
            <w:pPr>
              <w:jc w:val="center"/>
              <w:rPr>
                <w:sz w:val="20"/>
                <w:szCs w:val="20"/>
              </w:rPr>
            </w:pPr>
          </w:p>
        </w:tc>
        <w:tc>
          <w:tcPr>
            <w:tcW w:w="2843" w:type="dxa"/>
            <w:tcBorders>
              <w:top w:val="outset" w:sz="6" w:space="0" w:color="auto"/>
              <w:left w:val="outset" w:sz="6" w:space="0" w:color="auto"/>
              <w:bottom w:val="outset" w:sz="6" w:space="0" w:color="auto"/>
              <w:right w:val="outset" w:sz="6" w:space="0" w:color="auto"/>
            </w:tcBorders>
            <w:shd w:val="clear" w:color="auto" w:fill="FFFFFF"/>
            <w:tcMar>
              <w:top w:w="57" w:type="dxa"/>
              <w:bottom w:w="57" w:type="dxa"/>
            </w:tcMar>
            <w:vAlign w:val="center"/>
          </w:tcPr>
          <w:p w14:paraId="021B9C9F" w14:textId="796F3C99" w:rsidR="00FF03F1" w:rsidRPr="00652FD0" w:rsidRDefault="00FF03F1" w:rsidP="009462B5">
            <w:pPr>
              <w:jc w:val="center"/>
              <w:rPr>
                <w:rStyle w:val="Hyperlink"/>
                <w:b/>
                <w:bCs/>
                <w:sz w:val="20"/>
                <w:szCs w:val="20"/>
              </w:rPr>
            </w:pPr>
            <w:r w:rsidRPr="00652FD0">
              <w:rPr>
                <w:rStyle w:val="Hyperlink"/>
                <w:rFonts w:eastAsiaTheme="minorHAnsi"/>
                <w:b/>
                <w:bCs/>
                <w:caps/>
                <w:sz w:val="20"/>
                <w:szCs w:val="20"/>
                <w:lang w:eastAsia="fr-BE"/>
              </w:rPr>
              <w:t>Repanšek</w:t>
            </w:r>
            <w:r w:rsidRPr="00652FD0">
              <w:rPr>
                <w:rStyle w:val="Hyperlink"/>
                <w:b/>
                <w:bCs/>
                <w:sz w:val="20"/>
                <w:szCs w:val="20"/>
              </w:rPr>
              <w:t>, Neža</w:t>
            </w:r>
          </w:p>
        </w:tc>
      </w:tr>
    </w:tbl>
    <w:p w14:paraId="0D0A129F" w14:textId="56791E6C" w:rsidR="00CA1868" w:rsidRPr="00652FD0" w:rsidRDefault="00CA1868" w:rsidP="00FF03F1">
      <w:pPr>
        <w:spacing w:line="276" w:lineRule="auto"/>
        <w:jc w:val="center"/>
      </w:pPr>
    </w:p>
    <w:p w14:paraId="7F910C11" w14:textId="565D456E" w:rsidR="00D659B6" w:rsidRDefault="00D659B6">
      <w:pPr>
        <w:spacing w:after="160" w:line="259" w:lineRule="auto"/>
        <w:jc w:val="left"/>
      </w:pPr>
      <w:r>
        <w:br w:type="page"/>
      </w:r>
    </w:p>
    <w:p w14:paraId="5A929D24" w14:textId="45A34FC9" w:rsidR="00CA1868" w:rsidRPr="00652FD0" w:rsidRDefault="00CA1868" w:rsidP="009462B5">
      <w:pPr>
        <w:spacing w:line="276" w:lineRule="auto"/>
      </w:pPr>
    </w:p>
    <w:tbl>
      <w:tblPr>
        <w:tblW w:w="9072"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385623" w:themeFill="accent6" w:themeFillShade="80"/>
        <w:tblCellMar>
          <w:left w:w="0" w:type="dxa"/>
          <w:right w:w="0" w:type="dxa"/>
        </w:tblCellMar>
        <w:tblLook w:val="04A0" w:firstRow="1" w:lastRow="0" w:firstColumn="1" w:lastColumn="0" w:noHBand="0" w:noVBand="1"/>
      </w:tblPr>
      <w:tblGrid>
        <w:gridCol w:w="9072"/>
      </w:tblGrid>
      <w:tr w:rsidR="00FF03F1" w:rsidRPr="00652FD0" w14:paraId="7F661F10" w14:textId="77777777" w:rsidTr="009462B5">
        <w:trPr>
          <w:cantSplit/>
          <w:trHeight w:val="270"/>
          <w:tblHeader/>
          <w:tblCellSpacing w:w="0" w:type="dxa"/>
          <w:jc w:val="center"/>
        </w:trPr>
        <w:tc>
          <w:tcPr>
            <w:tcW w:w="9356" w:type="dxa"/>
            <w:shd w:val="clear" w:color="auto" w:fill="385623" w:themeFill="accent6" w:themeFillShade="80"/>
            <w:tcMar>
              <w:top w:w="57" w:type="dxa"/>
              <w:bottom w:w="57" w:type="dxa"/>
            </w:tcMar>
            <w:vAlign w:val="center"/>
          </w:tcPr>
          <w:p w14:paraId="53B26F56" w14:textId="77777777" w:rsidR="00FF03F1" w:rsidRPr="00652FD0" w:rsidRDefault="00FF03F1" w:rsidP="009462B5">
            <w:pPr>
              <w:pStyle w:val="NormalWeb"/>
              <w:spacing w:line="288" w:lineRule="auto"/>
              <w:jc w:val="center"/>
              <w:rPr>
                <w:color w:val="FFFFFF" w:themeColor="background1"/>
                <w:sz w:val="22"/>
                <w:szCs w:val="22"/>
                <w:lang w:val="en-GB"/>
              </w:rPr>
            </w:pPr>
            <w:r w:rsidRPr="00652FD0">
              <w:rPr>
                <w:b/>
                <w:bCs/>
                <w:color w:val="FFFFFF" w:themeColor="background1"/>
                <w:sz w:val="28"/>
                <w:szCs w:val="28"/>
                <w:lang w:val="en-GB"/>
              </w:rPr>
              <w:t>Sub-group on the European Year of Skills</w:t>
            </w:r>
          </w:p>
        </w:tc>
      </w:tr>
    </w:tbl>
    <w:p w14:paraId="0BC2AD70" w14:textId="77777777" w:rsidR="00FF03F1" w:rsidRPr="00652FD0" w:rsidRDefault="00FF03F1" w:rsidP="009462B5">
      <w:pPr>
        <w:jc w:val="left"/>
        <w:rPr>
          <w:b/>
          <w:bCs/>
          <w:color w:val="FF0000"/>
          <w:sz w:val="24"/>
          <w:szCs w:val="24"/>
        </w:rPr>
      </w:pPr>
    </w:p>
    <w:p w14:paraId="468468A5" w14:textId="7401CD1D" w:rsidR="00FF03F1" w:rsidRPr="00652FD0" w:rsidRDefault="00FF03F1" w:rsidP="009462B5">
      <w:pPr>
        <w:jc w:val="left"/>
      </w:pPr>
      <w:r w:rsidRPr="006275A4">
        <w:rPr>
          <w:b/>
          <w:bCs/>
        </w:rPr>
        <w:t xml:space="preserve">President: </w:t>
      </w:r>
      <w:r w:rsidRPr="006275A4">
        <w:rPr>
          <w:b/>
          <w:bCs/>
          <w:caps/>
        </w:rPr>
        <w:t>McLoughlin</w:t>
      </w:r>
      <w:r w:rsidRPr="006275A4">
        <w:rPr>
          <w:b/>
          <w:bCs/>
        </w:rPr>
        <w:t>, Michael</w:t>
      </w:r>
      <w:r w:rsidRPr="006275A4">
        <w:t xml:space="preserve"> </w:t>
      </w:r>
      <w:r w:rsidRPr="00652FD0">
        <w:t>(</w:t>
      </w:r>
      <w:r w:rsidR="009033C2" w:rsidRPr="00652FD0">
        <w:t>G</w:t>
      </w:r>
      <w:r w:rsidRPr="00652FD0">
        <w:t>r 3, IE, LMO member)</w:t>
      </w:r>
    </w:p>
    <w:p w14:paraId="60AF5C4E" w14:textId="0426C933" w:rsidR="00FF03F1" w:rsidRPr="00652FD0" w:rsidRDefault="00FF03F1" w:rsidP="009462B5">
      <w:r w:rsidRPr="006275A4">
        <w:rPr>
          <w:b/>
          <w:bCs/>
        </w:rPr>
        <w:t>Rapporteur</w:t>
      </w:r>
      <w:r w:rsidRPr="006275A4">
        <w:t xml:space="preserve"> </w:t>
      </w:r>
      <w:r w:rsidRPr="00652FD0">
        <w:t xml:space="preserve">of </w:t>
      </w:r>
      <w:r w:rsidR="005D1BAD" w:rsidRPr="00652FD0">
        <w:t xml:space="preserve">the </w:t>
      </w:r>
      <w:r w:rsidRPr="00652FD0">
        <w:t xml:space="preserve">EESC's </w:t>
      </w:r>
      <w:hyperlink r:id="rId22" w:history="1">
        <w:r w:rsidRPr="009462B5">
          <w:rPr>
            <w:rStyle w:val="Hyperlink"/>
            <w:color w:val="0000CC"/>
          </w:rPr>
          <w:t>opinion</w:t>
        </w:r>
      </w:hyperlink>
      <w:r w:rsidRPr="00652FD0">
        <w:t xml:space="preserve"> on the European Year of Skills 2023: </w:t>
      </w:r>
      <w:r w:rsidRPr="006275A4">
        <w:rPr>
          <w:b/>
          <w:bCs/>
          <w:caps/>
        </w:rPr>
        <w:t>Babrauskienė</w:t>
      </w:r>
      <w:r w:rsidRPr="006275A4">
        <w:rPr>
          <w:b/>
          <w:bCs/>
        </w:rPr>
        <w:t>, Tatjana</w:t>
      </w:r>
      <w:r w:rsidRPr="006275A4">
        <w:t xml:space="preserve"> </w:t>
      </w:r>
      <w:r w:rsidRPr="00652FD0">
        <w:t>(</w:t>
      </w:r>
      <w:r w:rsidR="009033C2" w:rsidRPr="00652FD0">
        <w:t>G</w:t>
      </w:r>
      <w:r w:rsidRPr="00652FD0">
        <w:t>r 2, LT, non-LMO member, member of SOC, NAT, REX)</w:t>
      </w:r>
    </w:p>
    <w:p w14:paraId="4274F86C" w14:textId="77777777" w:rsidR="00FF03F1" w:rsidRPr="00652FD0" w:rsidRDefault="00FF03F1" w:rsidP="009462B5">
      <w:pPr>
        <w:jc w:val="left"/>
      </w:pPr>
    </w:p>
    <w:p w14:paraId="1C6B2A24" w14:textId="77777777" w:rsidR="00FF03F1" w:rsidRPr="00652FD0" w:rsidRDefault="00FF03F1" w:rsidP="009462B5">
      <w:pPr>
        <w:jc w:val="left"/>
      </w:pPr>
      <w:r w:rsidRPr="00652FD0">
        <w:t>The Sub-group on the European Year of Skills is formed of:</w:t>
      </w:r>
    </w:p>
    <w:p w14:paraId="563C77ED" w14:textId="77777777" w:rsidR="00FF03F1" w:rsidRPr="00652FD0" w:rsidRDefault="00FF03F1" w:rsidP="009462B5">
      <w:pPr>
        <w:jc w:val="left"/>
      </w:pPr>
    </w:p>
    <w:p w14:paraId="68D1988F" w14:textId="289552EF" w:rsidR="00FF03F1" w:rsidRPr="00652FD0" w:rsidRDefault="00FF03F1" w:rsidP="009462B5">
      <w:pPr>
        <w:pStyle w:val="ListParagraph"/>
        <w:numPr>
          <w:ilvl w:val="0"/>
          <w:numId w:val="48"/>
        </w:numPr>
        <w:jc w:val="left"/>
      </w:pPr>
      <w:r w:rsidRPr="00652FD0">
        <w:t xml:space="preserve">6 LMO members (see info above): </w:t>
      </w:r>
      <w:r w:rsidR="005D1BAD" w:rsidRPr="00652FD0">
        <w:t>G</w:t>
      </w:r>
      <w:r w:rsidRPr="00652FD0">
        <w:t xml:space="preserve">r 1: </w:t>
      </w:r>
      <w:r w:rsidRPr="00652FD0">
        <w:rPr>
          <w:b/>
          <w:bCs/>
        </w:rPr>
        <w:t>PILAWSKI, Lech</w:t>
      </w:r>
      <w:r w:rsidRPr="00652FD0">
        <w:t xml:space="preserve">; </w:t>
      </w:r>
      <w:r w:rsidRPr="00652FD0">
        <w:rPr>
          <w:b/>
          <w:bCs/>
        </w:rPr>
        <w:t>VADÁSZ, Borbála</w:t>
      </w:r>
      <w:r w:rsidRPr="00652FD0">
        <w:t xml:space="preserve">; </w:t>
      </w:r>
      <w:r w:rsidR="00A12CC3">
        <w:br/>
      </w:r>
      <w:r w:rsidR="005D1BAD" w:rsidRPr="00652FD0">
        <w:t>G</w:t>
      </w:r>
      <w:r w:rsidRPr="00652FD0">
        <w:t xml:space="preserve">r 2: </w:t>
      </w:r>
      <w:r w:rsidRPr="00652FD0">
        <w:rPr>
          <w:b/>
          <w:bCs/>
        </w:rPr>
        <w:t>BARRERA CHAMORRO, Maria del Carmen</w:t>
      </w:r>
      <w:r w:rsidRPr="00652FD0">
        <w:t xml:space="preserve">; </w:t>
      </w:r>
      <w:r w:rsidRPr="00652FD0">
        <w:rPr>
          <w:b/>
          <w:bCs/>
        </w:rPr>
        <w:t>MERLO, Nicoletta</w:t>
      </w:r>
      <w:r w:rsidRPr="00652FD0">
        <w:t xml:space="preserve">; </w:t>
      </w:r>
      <w:r w:rsidR="00A12CC3">
        <w:br/>
      </w:r>
      <w:r w:rsidR="005D1BAD" w:rsidRPr="00652FD0">
        <w:t>G</w:t>
      </w:r>
      <w:r w:rsidRPr="00652FD0">
        <w:t xml:space="preserve">r 3: </w:t>
      </w:r>
      <w:r w:rsidRPr="00652FD0">
        <w:rPr>
          <w:b/>
          <w:bCs/>
        </w:rPr>
        <w:t>JOÓ, Kinga</w:t>
      </w:r>
      <w:r w:rsidRPr="00652FD0">
        <w:t xml:space="preserve">; </w:t>
      </w:r>
      <w:r w:rsidRPr="00652FD0">
        <w:rPr>
          <w:b/>
          <w:bCs/>
        </w:rPr>
        <w:t>MCLOUGHLIN, Michael</w:t>
      </w:r>
      <w:r w:rsidR="00A12CC3">
        <w:rPr>
          <w:b/>
          <w:bCs/>
        </w:rPr>
        <w:t xml:space="preserve"> </w:t>
      </w:r>
      <w:r w:rsidRPr="00652FD0">
        <w:t>(</w:t>
      </w:r>
      <w:r w:rsidR="005D1BAD" w:rsidRPr="00652FD0">
        <w:t>p</w:t>
      </w:r>
      <w:r w:rsidRPr="00652FD0">
        <w:t>resident)</w:t>
      </w:r>
    </w:p>
    <w:p w14:paraId="4BD6A181" w14:textId="039B581F" w:rsidR="00FF03F1" w:rsidRPr="00652FD0" w:rsidRDefault="00FF03F1" w:rsidP="009462B5">
      <w:pPr>
        <w:pStyle w:val="ListParagraph"/>
        <w:numPr>
          <w:ilvl w:val="0"/>
          <w:numId w:val="48"/>
        </w:numPr>
        <w:jc w:val="left"/>
      </w:pPr>
      <w:r w:rsidRPr="00652FD0">
        <w:t xml:space="preserve">3 non-LMO members: </w:t>
      </w:r>
      <w:r w:rsidR="005D1BAD" w:rsidRPr="00652FD0">
        <w:t>G</w:t>
      </w:r>
      <w:r w:rsidRPr="00652FD0">
        <w:t xml:space="preserve">r 1: </w:t>
      </w:r>
      <w:r w:rsidRPr="00652FD0">
        <w:rPr>
          <w:b/>
          <w:bCs/>
        </w:rPr>
        <w:t>CHOIX, Bruno</w:t>
      </w:r>
      <w:r w:rsidRPr="00652FD0">
        <w:t xml:space="preserve"> (FR - INT, TEN, CCMI); </w:t>
      </w:r>
      <w:r w:rsidR="00A12CC3">
        <w:br/>
      </w:r>
      <w:r w:rsidR="005D1BAD" w:rsidRPr="00652FD0">
        <w:t>G</w:t>
      </w:r>
      <w:r w:rsidRPr="00652FD0">
        <w:t xml:space="preserve">r 2: </w:t>
      </w:r>
      <w:r w:rsidRPr="00652FD0">
        <w:rPr>
          <w:b/>
          <w:bCs/>
        </w:rPr>
        <w:t>BABRAUSKIENĖ, Tatjana</w:t>
      </w:r>
      <w:r w:rsidRPr="00652FD0">
        <w:t xml:space="preserve"> (LT - SOC, NAT, REX); </w:t>
      </w:r>
      <w:r w:rsidR="00A12CC3">
        <w:br/>
      </w:r>
      <w:r w:rsidR="005D1BAD" w:rsidRPr="00652FD0">
        <w:t>G</w:t>
      </w:r>
      <w:r w:rsidRPr="00652FD0">
        <w:t xml:space="preserve">r 3: </w:t>
      </w:r>
      <w:r w:rsidRPr="00652FD0">
        <w:rPr>
          <w:b/>
          <w:bCs/>
        </w:rPr>
        <w:t>SINKEVIČIŪTĖ, Elena</w:t>
      </w:r>
      <w:r w:rsidRPr="00652FD0">
        <w:t xml:space="preserve"> (LT - SOC, REX, TEN, EESC Bureau) </w:t>
      </w:r>
    </w:p>
    <w:p w14:paraId="03FEBFDD" w14:textId="7D8AB932" w:rsidR="00FF03F1" w:rsidRPr="00652FD0" w:rsidRDefault="00FF03F1">
      <w:pPr>
        <w:jc w:val="center"/>
      </w:pPr>
    </w:p>
    <w:p w14:paraId="4A5DF509" w14:textId="77777777" w:rsidR="007D6208" w:rsidRPr="00652FD0" w:rsidRDefault="007D6208" w:rsidP="00FF03F1">
      <w:pPr>
        <w:jc w:val="center"/>
        <w:rPr>
          <w:b/>
          <w:smallCaps/>
          <w:color w:val="0070C0"/>
          <w:sz w:val="28"/>
          <w:szCs w:val="28"/>
        </w:rPr>
      </w:pPr>
    </w:p>
    <w:p w14:paraId="3A2B93DB" w14:textId="77777777" w:rsidR="00D659B6" w:rsidRDefault="00D659B6">
      <w:pPr>
        <w:spacing w:after="160" w:line="259" w:lineRule="auto"/>
        <w:jc w:val="left"/>
        <w:rPr>
          <w:b/>
          <w:smallCaps/>
          <w:color w:val="0070C0"/>
          <w:sz w:val="28"/>
          <w:szCs w:val="28"/>
        </w:rPr>
      </w:pPr>
      <w:r>
        <w:rPr>
          <w:b/>
          <w:smallCaps/>
          <w:color w:val="0070C0"/>
          <w:sz w:val="28"/>
          <w:szCs w:val="28"/>
        </w:rPr>
        <w:br w:type="page"/>
      </w:r>
    </w:p>
    <w:p w14:paraId="74D31D95" w14:textId="5A0DED7C" w:rsidR="00FF03F1" w:rsidRDefault="00FF03F1" w:rsidP="00D659B6">
      <w:pPr>
        <w:jc w:val="center"/>
        <w:rPr>
          <w:b/>
          <w:smallCaps/>
          <w:color w:val="0070C0"/>
          <w:sz w:val="28"/>
          <w:szCs w:val="28"/>
        </w:rPr>
      </w:pPr>
      <w:r w:rsidRPr="00652FD0">
        <w:rPr>
          <w:b/>
          <w:smallCaps/>
          <w:color w:val="0070C0"/>
          <w:sz w:val="28"/>
          <w:szCs w:val="28"/>
        </w:rPr>
        <w:lastRenderedPageBreak/>
        <w:t>Appendix 2</w:t>
      </w:r>
    </w:p>
    <w:p w14:paraId="635C9A9E" w14:textId="77777777" w:rsidR="00D659B6" w:rsidRPr="00652FD0" w:rsidRDefault="00D659B6">
      <w:pPr>
        <w:jc w:val="center"/>
        <w:rPr>
          <w:b/>
          <w:smallCaps/>
          <w:color w:val="0070C0"/>
          <w:sz w:val="28"/>
          <w:szCs w:val="28"/>
        </w:rPr>
      </w:pPr>
    </w:p>
    <w:p w14:paraId="24152938" w14:textId="799040B3" w:rsidR="00FF03F1" w:rsidRPr="00652FD0" w:rsidRDefault="00FF03F1">
      <w:pPr>
        <w:jc w:val="center"/>
        <w:rPr>
          <w:b/>
          <w:smallCaps/>
          <w:color w:val="0070C0"/>
          <w:sz w:val="28"/>
          <w:szCs w:val="28"/>
        </w:rPr>
      </w:pPr>
      <w:r w:rsidRPr="00652FD0">
        <w:rPr>
          <w:b/>
          <w:smallCaps/>
          <w:color w:val="0070C0"/>
          <w:sz w:val="28"/>
          <w:szCs w:val="28"/>
        </w:rPr>
        <w:t xml:space="preserve">Planned activities of the Coordination group on </w:t>
      </w:r>
      <w:r w:rsidR="00D659B6">
        <w:rPr>
          <w:b/>
          <w:smallCaps/>
          <w:color w:val="0070C0"/>
          <w:sz w:val="28"/>
          <w:szCs w:val="28"/>
        </w:rPr>
        <w:br/>
      </w:r>
      <w:r w:rsidRPr="00652FD0">
        <w:rPr>
          <w:b/>
          <w:smallCaps/>
          <w:color w:val="0070C0"/>
          <w:sz w:val="28"/>
          <w:szCs w:val="28"/>
        </w:rPr>
        <w:t>the European Year of Skills</w:t>
      </w:r>
    </w:p>
    <w:p w14:paraId="1689F583" w14:textId="33D98D0F" w:rsidR="00FF03F1" w:rsidRPr="00652FD0" w:rsidRDefault="00FF03F1">
      <w:pPr>
        <w:rPr>
          <w:b/>
        </w:rPr>
      </w:pPr>
    </w:p>
    <w:p w14:paraId="5BCEB82C" w14:textId="7C3E7617" w:rsidR="00FF03F1" w:rsidRPr="00652FD0" w:rsidRDefault="00FF03F1">
      <w:pPr>
        <w:rPr>
          <w:b/>
        </w:rPr>
      </w:pPr>
      <w:r w:rsidRPr="00652FD0">
        <w:rPr>
          <w:b/>
        </w:rPr>
        <w:t xml:space="preserve">The EESC </w:t>
      </w:r>
      <w:r w:rsidR="00BB59CF" w:rsidRPr="00652FD0">
        <w:rPr>
          <w:b/>
        </w:rPr>
        <w:t>C</w:t>
      </w:r>
      <w:r w:rsidRPr="00652FD0">
        <w:rPr>
          <w:b/>
        </w:rPr>
        <w:t xml:space="preserve">oordination </w:t>
      </w:r>
      <w:r w:rsidR="00BB59CF" w:rsidRPr="00652FD0">
        <w:rPr>
          <w:b/>
        </w:rPr>
        <w:t>G</w:t>
      </w:r>
      <w:r w:rsidRPr="00652FD0">
        <w:rPr>
          <w:b/>
        </w:rPr>
        <w:t>roup on the European Year of Skills 2023:</w:t>
      </w:r>
    </w:p>
    <w:p w14:paraId="7E7826BE" w14:textId="77777777" w:rsidR="00FF03F1" w:rsidRPr="00652FD0" w:rsidRDefault="00FF03F1">
      <w:pPr>
        <w:rPr>
          <w:b/>
        </w:rPr>
      </w:pPr>
    </w:p>
    <w:p w14:paraId="247C598F" w14:textId="1302A8CA" w:rsidR="00FF03F1" w:rsidRPr="00652FD0" w:rsidRDefault="00FF03F1" w:rsidP="009462B5">
      <w:pPr>
        <w:pStyle w:val="ListParagraph"/>
        <w:numPr>
          <w:ilvl w:val="0"/>
          <w:numId w:val="49"/>
        </w:numPr>
        <w:spacing w:after="160"/>
      </w:pPr>
      <w:r w:rsidRPr="00652FD0">
        <w:t xml:space="preserve">will provide </w:t>
      </w:r>
      <w:r w:rsidRPr="00652FD0">
        <w:rPr>
          <w:b/>
          <w:bCs/>
        </w:rPr>
        <w:t xml:space="preserve">information, comments and suggestions </w:t>
      </w:r>
      <w:r w:rsidR="009033C2" w:rsidRPr="00652FD0">
        <w:rPr>
          <w:b/>
          <w:bCs/>
        </w:rPr>
        <w:t xml:space="preserve">on how </w:t>
      </w:r>
      <w:r w:rsidR="00BB59CF" w:rsidRPr="00652FD0">
        <w:rPr>
          <w:b/>
          <w:bCs/>
        </w:rPr>
        <w:t>to improve</w:t>
      </w:r>
      <w:r w:rsidRPr="00652FD0">
        <w:rPr>
          <w:b/>
          <w:bCs/>
        </w:rPr>
        <w:t xml:space="preserve"> skills policies</w:t>
      </w:r>
      <w:r w:rsidRPr="00652FD0">
        <w:t>, requesting an own-initiative opinion (by June 2024)</w:t>
      </w:r>
      <w:r w:rsidR="005D1BAD" w:rsidRPr="00652FD0">
        <w:t>. The aim is to:</w:t>
      </w:r>
    </w:p>
    <w:p w14:paraId="51849A2A" w14:textId="6812013C" w:rsidR="00FF03F1" w:rsidRPr="00652FD0" w:rsidRDefault="00BB59CF" w:rsidP="009462B5">
      <w:pPr>
        <w:pStyle w:val="ListParagraph"/>
        <w:numPr>
          <w:ilvl w:val="0"/>
          <w:numId w:val="40"/>
        </w:numPr>
        <w:spacing w:after="160"/>
        <w:rPr>
          <w:i/>
        </w:rPr>
      </w:pPr>
      <w:r w:rsidRPr="00652FD0">
        <w:rPr>
          <w:i/>
        </w:rPr>
        <w:t>ensure</w:t>
      </w:r>
      <w:r w:rsidR="00FF03F1" w:rsidRPr="00652FD0">
        <w:rPr>
          <w:i/>
        </w:rPr>
        <w:t xml:space="preserve"> better cooperation between all policy and decision-makers and all relevant stakeholders, including European institutions and agencies, national governments, the social partners, the civil society organisations and networks, public employment services, education and training providers and companies</w:t>
      </w:r>
      <w:r w:rsidR="005D1BAD" w:rsidRPr="00652FD0">
        <w:rPr>
          <w:i/>
        </w:rPr>
        <w:t>;</w:t>
      </w:r>
    </w:p>
    <w:p w14:paraId="671B2794" w14:textId="729DDAC7" w:rsidR="00FF03F1" w:rsidRPr="00652FD0" w:rsidRDefault="00FF03F1" w:rsidP="009462B5">
      <w:pPr>
        <w:pStyle w:val="ListParagraph"/>
        <w:numPr>
          <w:ilvl w:val="0"/>
          <w:numId w:val="40"/>
        </w:numPr>
        <w:spacing w:after="160"/>
        <w:rPr>
          <w:i/>
        </w:rPr>
      </w:pPr>
      <w:r w:rsidRPr="00652FD0">
        <w:rPr>
          <w:i/>
        </w:rPr>
        <w:t xml:space="preserve">enhance </w:t>
      </w:r>
      <w:r w:rsidR="005D1BAD" w:rsidRPr="00652FD0">
        <w:rPr>
          <w:i/>
        </w:rPr>
        <w:t xml:space="preserve">the </w:t>
      </w:r>
      <w:r w:rsidRPr="00652FD0">
        <w:rPr>
          <w:i/>
        </w:rPr>
        <w:t>EESC</w:t>
      </w:r>
      <w:r w:rsidR="005D1BAD" w:rsidRPr="00652FD0">
        <w:rPr>
          <w:i/>
        </w:rPr>
        <w:t>'s</w:t>
      </w:r>
      <w:r w:rsidRPr="00652FD0">
        <w:rPr>
          <w:i/>
        </w:rPr>
        <w:t xml:space="preserve"> role in raising awareness of the importance of skills development, for individuals, companies and society, and the need to embrace a culture of lifelong learning to increase not only companies</w:t>
      </w:r>
      <w:r w:rsidR="005D1BAD" w:rsidRPr="00652FD0">
        <w:rPr>
          <w:i/>
        </w:rPr>
        <w:t>'</w:t>
      </w:r>
      <w:r w:rsidRPr="00652FD0">
        <w:rPr>
          <w:i/>
        </w:rPr>
        <w:t xml:space="preserve"> and states</w:t>
      </w:r>
      <w:r w:rsidR="005D1BAD" w:rsidRPr="00652FD0">
        <w:rPr>
          <w:i/>
        </w:rPr>
        <w:t>'</w:t>
      </w:r>
      <w:r w:rsidRPr="00652FD0">
        <w:rPr>
          <w:i/>
        </w:rPr>
        <w:t xml:space="preserve"> willingness to invest in adult learning but also citizens</w:t>
      </w:r>
      <w:r w:rsidR="005D1BAD" w:rsidRPr="00652FD0">
        <w:rPr>
          <w:i/>
        </w:rPr>
        <w:t>'</w:t>
      </w:r>
      <w:r w:rsidRPr="00652FD0">
        <w:rPr>
          <w:i/>
        </w:rPr>
        <w:t xml:space="preserve"> willingness to enrol in training</w:t>
      </w:r>
      <w:r w:rsidR="005D1BAD" w:rsidRPr="00652FD0">
        <w:rPr>
          <w:i/>
        </w:rPr>
        <w:t>;</w:t>
      </w:r>
    </w:p>
    <w:p w14:paraId="17CA4F4E" w14:textId="4491F268" w:rsidR="00FF03F1" w:rsidRPr="00652FD0" w:rsidRDefault="00FF03F1" w:rsidP="009462B5">
      <w:pPr>
        <w:pStyle w:val="ListParagraph"/>
        <w:numPr>
          <w:ilvl w:val="0"/>
          <w:numId w:val="40"/>
        </w:numPr>
        <w:spacing w:after="160"/>
        <w:rPr>
          <w:i/>
        </w:rPr>
      </w:pPr>
      <w:r w:rsidRPr="00652FD0">
        <w:rPr>
          <w:i/>
        </w:rPr>
        <w:t>promot</w:t>
      </w:r>
      <w:r w:rsidR="005D1BAD" w:rsidRPr="00652FD0">
        <w:rPr>
          <w:i/>
        </w:rPr>
        <w:t>e</w:t>
      </w:r>
      <w:r w:rsidRPr="00652FD0">
        <w:rPr>
          <w:i/>
        </w:rPr>
        <w:t xml:space="preserve"> skills development as a tool to support social inclusion. Through adult learning, individuals who did not succeed in initial education, or who are returning to the labour market after years of absence due to care responsibilities, can be given a second chance. Skilled citizens enjoy not only better job opportunities but also broader possibilities to engage fully in society, being active citizens</w:t>
      </w:r>
      <w:r w:rsidR="005D1BAD" w:rsidRPr="00652FD0">
        <w:rPr>
          <w:i/>
        </w:rPr>
        <w:t>;</w:t>
      </w:r>
    </w:p>
    <w:p w14:paraId="47512473" w14:textId="2E0F1002" w:rsidR="00FF03F1" w:rsidRPr="00652FD0" w:rsidRDefault="00FF03F1" w:rsidP="009462B5">
      <w:pPr>
        <w:pStyle w:val="ListParagraph"/>
        <w:numPr>
          <w:ilvl w:val="0"/>
          <w:numId w:val="40"/>
        </w:numPr>
        <w:spacing w:after="160"/>
        <w:rPr>
          <w:i/>
        </w:rPr>
      </w:pPr>
      <w:r w:rsidRPr="00652FD0">
        <w:rPr>
          <w:i/>
        </w:rPr>
        <w:t>support particular target groups, such as young people not in employment or education or training (NEETs) and migrants (for instance, to facilitate the recognition of qualifications). Particular attention should also be paid to those at risk of poverty or social exclusion</w:t>
      </w:r>
      <w:r w:rsidR="000D28A2" w:rsidRPr="00652FD0">
        <w:rPr>
          <w:i/>
        </w:rPr>
        <w:t xml:space="preserve"> </w:t>
      </w:r>
      <w:r w:rsidR="000D28A2" w:rsidRPr="00652FD0">
        <w:rPr>
          <w:rFonts w:ascii="Calibri" w:hAnsi="Calibri" w:cs="Calibri"/>
        </w:rPr>
        <w:t>–</w:t>
      </w:r>
      <w:r w:rsidR="000D28A2" w:rsidRPr="00652FD0">
        <w:rPr>
          <w:i/>
        </w:rPr>
        <w:t xml:space="preserve"> </w:t>
      </w:r>
      <w:r w:rsidRPr="00652FD0">
        <w:rPr>
          <w:i/>
        </w:rPr>
        <w:t>for example, through initiatives to develop their basic digital skills, in light of the 2030 EU target that 80</w:t>
      </w:r>
      <w:r w:rsidR="005D1BAD" w:rsidRPr="00652FD0">
        <w:rPr>
          <w:i/>
        </w:rPr>
        <w:t>%</w:t>
      </w:r>
      <w:r w:rsidRPr="00652FD0">
        <w:rPr>
          <w:i/>
        </w:rPr>
        <w:t xml:space="preserve"> of EU citizens </w:t>
      </w:r>
      <w:r w:rsidR="009033C2" w:rsidRPr="00652FD0">
        <w:rPr>
          <w:i/>
        </w:rPr>
        <w:t xml:space="preserve">should </w:t>
      </w:r>
      <w:r w:rsidRPr="00652FD0">
        <w:rPr>
          <w:i/>
        </w:rPr>
        <w:t>cross this threshold (little over half do now)</w:t>
      </w:r>
      <w:r w:rsidR="005D1BAD" w:rsidRPr="00652FD0">
        <w:rPr>
          <w:i/>
        </w:rPr>
        <w:t>;</w:t>
      </w:r>
    </w:p>
    <w:p w14:paraId="0EF023B3" w14:textId="4AD15585" w:rsidR="00FF03F1" w:rsidRPr="00652FD0" w:rsidRDefault="00FF03F1" w:rsidP="009462B5">
      <w:pPr>
        <w:pStyle w:val="ListParagraph"/>
        <w:numPr>
          <w:ilvl w:val="0"/>
          <w:numId w:val="40"/>
        </w:numPr>
        <w:spacing w:after="160"/>
        <w:rPr>
          <w:i/>
        </w:rPr>
      </w:pPr>
      <w:r w:rsidRPr="00652FD0">
        <w:rPr>
          <w:i/>
        </w:rPr>
        <w:t>address the gender gap in science, technology, engineering and mathematics (STEM). Only 19</w:t>
      </w:r>
      <w:r w:rsidR="009033C2" w:rsidRPr="00652FD0">
        <w:rPr>
          <w:i/>
        </w:rPr>
        <w:t>%</w:t>
      </w:r>
      <w:r w:rsidRPr="00652FD0">
        <w:rPr>
          <w:i/>
        </w:rPr>
        <w:t xml:space="preserve"> of specialists in information and communication technologies (ICT) and about one third of graduates in STEM are women. New initiatives are needed to tackle this under-representation of women in STEM-related professions. If the EU is to reach another 2030 goal, that 20 million ICT specialists be employed (as </w:t>
      </w:r>
      <w:r w:rsidR="005D1BAD" w:rsidRPr="00652FD0">
        <w:rPr>
          <w:i/>
        </w:rPr>
        <w:t>opposed to</w:t>
      </w:r>
      <w:r w:rsidRPr="00652FD0">
        <w:rPr>
          <w:i/>
        </w:rPr>
        <w:t xml:space="preserve"> just 7.8 million in 2019), increasing women</w:t>
      </w:r>
      <w:r w:rsidR="005D1BAD" w:rsidRPr="00652FD0">
        <w:rPr>
          <w:i/>
        </w:rPr>
        <w:t>'</w:t>
      </w:r>
      <w:r w:rsidRPr="00652FD0">
        <w:rPr>
          <w:i/>
        </w:rPr>
        <w:t>s representation will be key.</w:t>
      </w:r>
    </w:p>
    <w:p w14:paraId="2D964E4A" w14:textId="77777777" w:rsidR="00FF03F1" w:rsidRPr="00652FD0" w:rsidRDefault="00FF03F1">
      <w:pPr>
        <w:pStyle w:val="ListParagraph"/>
        <w:rPr>
          <w:i/>
        </w:rPr>
      </w:pPr>
    </w:p>
    <w:p w14:paraId="7A463290" w14:textId="7177DABE" w:rsidR="00FF03F1" w:rsidRPr="00652FD0" w:rsidRDefault="00FF03F1" w:rsidP="009462B5">
      <w:pPr>
        <w:pStyle w:val="ListParagraph"/>
        <w:numPr>
          <w:ilvl w:val="0"/>
          <w:numId w:val="50"/>
        </w:numPr>
        <w:spacing w:after="160"/>
      </w:pPr>
      <w:r w:rsidRPr="00652FD0">
        <w:rPr>
          <w:b/>
          <w:bCs/>
        </w:rPr>
        <w:t xml:space="preserve">will follow up the EESC opinion on </w:t>
      </w:r>
      <w:r w:rsidRPr="00652FD0">
        <w:rPr>
          <w:b/>
          <w:bCs/>
          <w:i/>
          <w:iCs/>
        </w:rPr>
        <w:t>the European Year of Skills 2023</w:t>
      </w:r>
      <w:r w:rsidRPr="00652FD0">
        <w:t xml:space="preserve"> (</w:t>
      </w:r>
      <w:hyperlink r:id="rId23" w:history="1">
        <w:r w:rsidRPr="00652FD0">
          <w:rPr>
            <w:rStyle w:val="Hyperlink"/>
          </w:rPr>
          <w:t>SOC/749</w:t>
        </w:r>
      </w:hyperlink>
      <w:r w:rsidRPr="00652FD0">
        <w:t xml:space="preserve">), promoting the idea to finally implement </w:t>
      </w:r>
      <w:r w:rsidRPr="00652FD0">
        <w:rPr>
          <w:b/>
          <w:bCs/>
        </w:rPr>
        <w:t>a skills guarantee</w:t>
      </w:r>
      <w:r w:rsidRPr="00652FD0">
        <w:t xml:space="preserve"> offer</w:t>
      </w:r>
      <w:r w:rsidR="005D1BAD" w:rsidRPr="00652FD0">
        <w:t>ing</w:t>
      </w:r>
      <w:r w:rsidRPr="00652FD0">
        <w:t xml:space="preserve"> the right to access quality and inclusive training for all, and to promote engagement in collective bargaining and capacity building to lay down the provisions and conditions for paid educational leave, allowing people to participate fully in society and successfully manage transitions in society and in labour markets.</w:t>
      </w:r>
    </w:p>
    <w:p w14:paraId="720EBBAA" w14:textId="77777777" w:rsidR="00FF03F1" w:rsidRPr="00652FD0" w:rsidRDefault="00FF03F1">
      <w:pPr>
        <w:pStyle w:val="ListParagraph"/>
        <w:ind w:left="360"/>
      </w:pPr>
    </w:p>
    <w:p w14:paraId="3A42649D" w14:textId="60CEB81B" w:rsidR="00FF03F1" w:rsidRPr="00652FD0" w:rsidRDefault="00FF03F1" w:rsidP="009462B5">
      <w:pPr>
        <w:pStyle w:val="ListParagraph"/>
        <w:numPr>
          <w:ilvl w:val="0"/>
          <w:numId w:val="50"/>
        </w:numPr>
        <w:spacing w:after="160"/>
      </w:pPr>
      <w:r w:rsidRPr="00652FD0">
        <w:t>will make concrete proposals for</w:t>
      </w:r>
      <w:r w:rsidR="005D1BAD" w:rsidRPr="00652FD0">
        <w:t>,</w:t>
      </w:r>
      <w:r w:rsidRPr="00652FD0">
        <w:t xml:space="preserve"> and will monitor</w:t>
      </w:r>
      <w:r w:rsidR="005D1BAD" w:rsidRPr="00652FD0">
        <w:t>,</w:t>
      </w:r>
      <w:r w:rsidRPr="00652FD0">
        <w:t xml:space="preserve"> </w:t>
      </w:r>
      <w:r w:rsidRPr="00652FD0">
        <w:rPr>
          <w:b/>
          <w:bCs/>
        </w:rPr>
        <w:t>EU level and national meetings and events</w:t>
      </w:r>
      <w:r w:rsidRPr="00652FD0">
        <w:t xml:space="preserve">, where EESC members can be actively involved; </w:t>
      </w:r>
    </w:p>
    <w:p w14:paraId="201ABE9E" w14:textId="77777777" w:rsidR="00FF03F1" w:rsidRPr="00652FD0" w:rsidRDefault="00FF03F1">
      <w:pPr>
        <w:pStyle w:val="ListParagraph"/>
        <w:ind w:left="360"/>
      </w:pPr>
    </w:p>
    <w:p w14:paraId="3D0F763C" w14:textId="1E0F8E4E" w:rsidR="00FF03F1" w:rsidRPr="00652FD0" w:rsidRDefault="00FF03F1" w:rsidP="009462B5">
      <w:pPr>
        <w:pStyle w:val="ListParagraph"/>
        <w:numPr>
          <w:ilvl w:val="0"/>
          <w:numId w:val="50"/>
        </w:numPr>
        <w:spacing w:after="160"/>
      </w:pPr>
      <w:r w:rsidRPr="00652FD0">
        <w:t xml:space="preserve">will </w:t>
      </w:r>
      <w:r w:rsidRPr="00652FD0">
        <w:rPr>
          <w:b/>
          <w:bCs/>
        </w:rPr>
        <w:t xml:space="preserve">encourage </w:t>
      </w:r>
      <w:r w:rsidR="005D1BAD" w:rsidRPr="00652FD0">
        <w:rPr>
          <w:b/>
          <w:bCs/>
        </w:rPr>
        <w:t xml:space="preserve">the </w:t>
      </w:r>
      <w:r w:rsidRPr="00652FD0">
        <w:rPr>
          <w:b/>
          <w:bCs/>
        </w:rPr>
        <w:t>EESC's sections and the CCMI</w:t>
      </w:r>
      <w:r w:rsidRPr="00652FD0">
        <w:t xml:space="preserve"> to organise debates in the context of the European Year of Skills, in their </w:t>
      </w:r>
      <w:r w:rsidR="009033C2" w:rsidRPr="00652FD0">
        <w:t xml:space="preserve">specific </w:t>
      </w:r>
      <w:r w:rsidRPr="00652FD0">
        <w:t xml:space="preserve">areas of work; </w:t>
      </w:r>
    </w:p>
    <w:p w14:paraId="1537B68A" w14:textId="77777777" w:rsidR="00FF03F1" w:rsidRPr="00652FD0" w:rsidRDefault="00FF03F1">
      <w:pPr>
        <w:pStyle w:val="ListParagraph"/>
        <w:ind w:left="360"/>
      </w:pPr>
    </w:p>
    <w:p w14:paraId="15627E56" w14:textId="020C2687" w:rsidR="00FF03F1" w:rsidRPr="00652FD0" w:rsidRDefault="00FF03F1" w:rsidP="009462B5">
      <w:pPr>
        <w:pStyle w:val="ListParagraph"/>
        <w:numPr>
          <w:ilvl w:val="0"/>
          <w:numId w:val="50"/>
        </w:numPr>
        <w:spacing w:after="160"/>
      </w:pPr>
      <w:r w:rsidRPr="00652FD0">
        <w:t xml:space="preserve">will continue, and if possible, enhance, the </w:t>
      </w:r>
      <w:r w:rsidRPr="00652FD0">
        <w:rPr>
          <w:b/>
          <w:bCs/>
        </w:rPr>
        <w:t xml:space="preserve">cooperation with </w:t>
      </w:r>
      <w:proofErr w:type="spellStart"/>
      <w:r w:rsidRPr="00652FD0">
        <w:rPr>
          <w:b/>
          <w:bCs/>
        </w:rPr>
        <w:t>Cedefop</w:t>
      </w:r>
      <w:proofErr w:type="spellEnd"/>
      <w:r w:rsidRPr="00652FD0">
        <w:t xml:space="preserve">, and will contribute to the joint policy learning forum on upskilling pathways aimed at supporting low skilled and low-qualified adults to upskill and integrate </w:t>
      </w:r>
      <w:r w:rsidR="000D28A2" w:rsidRPr="00652FD0">
        <w:t>in</w:t>
      </w:r>
      <w:r w:rsidRPr="00652FD0">
        <w:t xml:space="preserve">to the labour market; </w:t>
      </w:r>
    </w:p>
    <w:p w14:paraId="7E95778A" w14:textId="77777777" w:rsidR="00FF03F1" w:rsidRPr="00652FD0" w:rsidRDefault="00FF03F1">
      <w:pPr>
        <w:pStyle w:val="ListParagraph"/>
        <w:ind w:left="360"/>
      </w:pPr>
    </w:p>
    <w:p w14:paraId="4717E238" w14:textId="415C78B9" w:rsidR="00FF03F1" w:rsidRPr="00652FD0" w:rsidRDefault="00FF03F1" w:rsidP="009462B5">
      <w:pPr>
        <w:pStyle w:val="ListParagraph"/>
        <w:numPr>
          <w:ilvl w:val="0"/>
          <w:numId w:val="50"/>
        </w:numPr>
        <w:spacing w:after="160"/>
      </w:pPr>
      <w:r w:rsidRPr="00652FD0">
        <w:t>will ask the E</w:t>
      </w:r>
      <w:r w:rsidR="005D1BAD" w:rsidRPr="00652FD0">
        <w:t xml:space="preserve">uropean </w:t>
      </w:r>
      <w:r w:rsidRPr="00652FD0">
        <w:t>C</w:t>
      </w:r>
      <w:r w:rsidR="005D1BAD" w:rsidRPr="00652FD0">
        <w:t>ommission</w:t>
      </w:r>
      <w:r w:rsidRPr="00652FD0">
        <w:t xml:space="preserve"> to invite </w:t>
      </w:r>
      <w:r w:rsidR="005D1BAD" w:rsidRPr="00652FD0">
        <w:t xml:space="preserve">the </w:t>
      </w:r>
      <w:r w:rsidRPr="00652FD0">
        <w:t xml:space="preserve">EESC to the </w:t>
      </w:r>
      <w:r w:rsidRPr="00652FD0">
        <w:rPr>
          <w:b/>
          <w:bCs/>
        </w:rPr>
        <w:t>EYS23 coordinators</w:t>
      </w:r>
      <w:r w:rsidR="005D1BAD" w:rsidRPr="00652FD0">
        <w:rPr>
          <w:b/>
          <w:bCs/>
        </w:rPr>
        <w:t>'</w:t>
      </w:r>
      <w:r w:rsidRPr="00652FD0">
        <w:rPr>
          <w:b/>
          <w:bCs/>
        </w:rPr>
        <w:t xml:space="preserve"> meetings</w:t>
      </w:r>
      <w:r w:rsidRPr="00652FD0">
        <w:t xml:space="preserve"> to exchange views and ensure better cooperation at national level; </w:t>
      </w:r>
    </w:p>
    <w:p w14:paraId="7A4E4632" w14:textId="77777777" w:rsidR="00FF03F1" w:rsidRPr="00652FD0" w:rsidRDefault="00FF03F1">
      <w:pPr>
        <w:pStyle w:val="ListParagraph"/>
        <w:ind w:left="360"/>
      </w:pPr>
    </w:p>
    <w:p w14:paraId="27E7F3C9" w14:textId="12E5F5AB" w:rsidR="00FF03F1" w:rsidRPr="00652FD0" w:rsidRDefault="00FF03F1" w:rsidP="009462B5">
      <w:pPr>
        <w:pStyle w:val="ListParagraph"/>
        <w:numPr>
          <w:ilvl w:val="0"/>
          <w:numId w:val="50"/>
        </w:numPr>
        <w:spacing w:after="160"/>
      </w:pPr>
      <w:r w:rsidRPr="00652FD0">
        <w:t xml:space="preserve">will </w:t>
      </w:r>
      <w:r w:rsidRPr="00652FD0">
        <w:rPr>
          <w:b/>
          <w:bCs/>
        </w:rPr>
        <w:t>support the EESC president in his activities</w:t>
      </w:r>
      <w:r w:rsidRPr="00652FD0">
        <w:t xml:space="preserve"> related to the European Year of Skills and in organising a public event on skills;</w:t>
      </w:r>
    </w:p>
    <w:p w14:paraId="0880372C" w14:textId="77777777" w:rsidR="00FF03F1" w:rsidRPr="00652FD0" w:rsidRDefault="00FF03F1">
      <w:pPr>
        <w:pStyle w:val="ListParagraph"/>
        <w:ind w:left="360"/>
      </w:pPr>
    </w:p>
    <w:p w14:paraId="39D13B99" w14:textId="24CAF09A" w:rsidR="00FF03F1" w:rsidRPr="00652FD0" w:rsidRDefault="00FF03F1" w:rsidP="009462B5">
      <w:pPr>
        <w:pStyle w:val="ListParagraph"/>
        <w:numPr>
          <w:ilvl w:val="0"/>
          <w:numId w:val="50"/>
        </w:numPr>
        <w:spacing w:after="160"/>
      </w:pPr>
      <w:r w:rsidRPr="00652FD0">
        <w:t xml:space="preserve">will use all available </w:t>
      </w:r>
      <w:r w:rsidRPr="00652FD0">
        <w:rPr>
          <w:b/>
          <w:bCs/>
        </w:rPr>
        <w:t>communication</w:t>
      </w:r>
      <w:r w:rsidRPr="00652FD0">
        <w:t xml:space="preserve"> tools to </w:t>
      </w:r>
      <w:r w:rsidR="005D1BAD" w:rsidRPr="00652FD0">
        <w:t>raise the profile</w:t>
      </w:r>
      <w:r w:rsidRPr="00652FD0">
        <w:t xml:space="preserve"> of the EESC</w:t>
      </w:r>
      <w:r w:rsidR="005D1BAD" w:rsidRPr="00652FD0">
        <w:t>'s</w:t>
      </w:r>
      <w:r w:rsidRPr="00652FD0">
        <w:t xml:space="preserve"> activities in </w:t>
      </w:r>
      <w:r w:rsidR="005D1BAD" w:rsidRPr="00652FD0">
        <w:t xml:space="preserve">the </w:t>
      </w:r>
      <w:r w:rsidR="00BB59CF" w:rsidRPr="00652FD0">
        <w:t xml:space="preserve">area of </w:t>
      </w:r>
      <w:r w:rsidRPr="00652FD0">
        <w:t xml:space="preserve">skills; </w:t>
      </w:r>
    </w:p>
    <w:p w14:paraId="2AE8214B" w14:textId="77777777" w:rsidR="00FF03F1" w:rsidRPr="00652FD0" w:rsidRDefault="00FF03F1">
      <w:pPr>
        <w:pStyle w:val="ListParagraph"/>
        <w:ind w:left="360"/>
      </w:pPr>
    </w:p>
    <w:p w14:paraId="26520361" w14:textId="187D0583" w:rsidR="00FF03F1" w:rsidRPr="00652FD0" w:rsidRDefault="00FF03F1" w:rsidP="009462B5">
      <w:pPr>
        <w:pStyle w:val="ListParagraph"/>
        <w:numPr>
          <w:ilvl w:val="0"/>
          <w:numId w:val="50"/>
        </w:numPr>
        <w:spacing w:after="160"/>
      </w:pPr>
      <w:r w:rsidRPr="00652FD0">
        <w:t xml:space="preserve">will request </w:t>
      </w:r>
      <w:r w:rsidR="005D1BAD" w:rsidRPr="00652FD0">
        <w:t xml:space="preserve">that </w:t>
      </w:r>
      <w:r w:rsidRPr="00652FD0">
        <w:t xml:space="preserve">an </w:t>
      </w:r>
      <w:r w:rsidRPr="00652FD0">
        <w:rPr>
          <w:b/>
          <w:bCs/>
        </w:rPr>
        <w:t>Information Report</w:t>
      </w:r>
      <w:r w:rsidRPr="00652FD0">
        <w:t xml:space="preserve"> </w:t>
      </w:r>
      <w:r w:rsidR="005D1BAD" w:rsidRPr="00652FD0">
        <w:t xml:space="preserve">be drawn up </w:t>
      </w:r>
      <w:r w:rsidRPr="00652FD0">
        <w:t xml:space="preserve">(finalised in June 2024) on </w:t>
      </w:r>
      <w:r w:rsidR="005D1BAD" w:rsidRPr="00652FD0">
        <w:t xml:space="preserve">the </w:t>
      </w:r>
      <w:r w:rsidRPr="00652FD0">
        <w:t>EESC's involvement in the European Year of Skills (activities and outcomes, positive and negative experiences, cooperation and etc.) in order to improve the future coordination of the EU thematic years.</w:t>
      </w:r>
    </w:p>
    <w:p w14:paraId="33585E81" w14:textId="77777777" w:rsidR="00FF03F1" w:rsidRPr="00652FD0" w:rsidRDefault="00FF03F1">
      <w:pPr>
        <w:rPr>
          <w:b/>
        </w:rPr>
      </w:pPr>
    </w:p>
    <w:p w14:paraId="602E5287" w14:textId="5BF956D4" w:rsidR="00FF03F1" w:rsidRPr="00652FD0" w:rsidRDefault="00FF03F1">
      <w:pPr>
        <w:rPr>
          <w:b/>
        </w:rPr>
      </w:pPr>
      <w:r w:rsidRPr="00652FD0">
        <w:rPr>
          <w:b/>
        </w:rPr>
        <w:t>Skills policy is not an old policy from the past but</w:t>
      </w:r>
      <w:r w:rsidR="005D1BAD" w:rsidRPr="00652FD0">
        <w:rPr>
          <w:b/>
        </w:rPr>
        <w:t>,</w:t>
      </w:r>
      <w:r w:rsidRPr="00652FD0">
        <w:rPr>
          <w:b/>
        </w:rPr>
        <w:t xml:space="preserve"> especially due to </w:t>
      </w:r>
      <w:r w:rsidR="005D1BAD" w:rsidRPr="00652FD0">
        <w:rPr>
          <w:b/>
        </w:rPr>
        <w:t xml:space="preserve">the </w:t>
      </w:r>
      <w:r w:rsidRPr="00652FD0">
        <w:rPr>
          <w:b/>
        </w:rPr>
        <w:t>green and digital transition</w:t>
      </w:r>
      <w:r w:rsidR="005D1BAD" w:rsidRPr="00652FD0">
        <w:rPr>
          <w:b/>
        </w:rPr>
        <w:t>,</w:t>
      </w:r>
      <w:r w:rsidRPr="00652FD0">
        <w:rPr>
          <w:b/>
        </w:rPr>
        <w:t xml:space="preserve"> is a dynamic policy that </w:t>
      </w:r>
      <w:r w:rsidR="005D1BAD" w:rsidRPr="00652FD0">
        <w:rPr>
          <w:b/>
        </w:rPr>
        <w:t xml:space="preserve">will </w:t>
      </w:r>
      <w:r w:rsidRPr="00652FD0">
        <w:rPr>
          <w:b/>
        </w:rPr>
        <w:t>determine the future of Europe.</w:t>
      </w:r>
    </w:p>
    <w:p w14:paraId="6C20F2CF" w14:textId="77777777" w:rsidR="00FF03F1" w:rsidRPr="00652FD0" w:rsidRDefault="00FF03F1"/>
    <w:p w14:paraId="4B7C4EF4" w14:textId="77777777" w:rsidR="00D659B6" w:rsidRDefault="00D659B6">
      <w:pPr>
        <w:overflowPunct w:val="0"/>
        <w:autoSpaceDE w:val="0"/>
        <w:autoSpaceDN w:val="0"/>
        <w:adjustRightInd w:val="0"/>
        <w:jc w:val="center"/>
        <w:textAlignment w:val="baseline"/>
        <w:rPr>
          <w:lang w:val="nl-BE"/>
        </w:rPr>
      </w:pPr>
      <w:r>
        <w:rPr>
          <w:lang w:val="nl-BE"/>
        </w:rPr>
        <w:t>_____________</w:t>
      </w:r>
    </w:p>
    <w:p w14:paraId="7AEDBD54" w14:textId="77777777" w:rsidR="00D659B6" w:rsidRPr="00AE57B9" w:rsidRDefault="00D659B6">
      <w:pPr>
        <w:rPr>
          <w:lang w:val="nl-BE"/>
        </w:rPr>
      </w:pPr>
    </w:p>
    <w:p w14:paraId="6982C373" w14:textId="79123B5D" w:rsidR="00A47A86" w:rsidRPr="00652FD0" w:rsidRDefault="00A47A86"/>
    <w:sectPr w:rsidR="00A47A86" w:rsidRPr="00652FD0" w:rsidSect="009462B5">
      <w:footerReference w:type="default" r:id="rId24"/>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DFEE" w14:textId="77777777" w:rsidR="00CD0EC4" w:rsidRDefault="00CD0EC4" w:rsidP="001F3661">
      <w:pPr>
        <w:spacing w:line="240" w:lineRule="auto"/>
      </w:pPr>
      <w:r>
        <w:separator/>
      </w:r>
    </w:p>
  </w:endnote>
  <w:endnote w:type="continuationSeparator" w:id="0">
    <w:p w14:paraId="0C72582A" w14:textId="77777777" w:rsidR="00CD0EC4" w:rsidRDefault="00CD0EC4" w:rsidP="001F3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Frutiger 55">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2B9C" w14:textId="5AC455AD" w:rsidR="00DE420E" w:rsidRPr="002310A0" w:rsidRDefault="002310A0" w:rsidP="002310A0">
    <w:pPr>
      <w:pStyle w:val="Footer"/>
    </w:pPr>
    <w:r>
      <w:t xml:space="preserve">EESC-2023-03340-00-00-TCD-TRA (EN) </w:t>
    </w:r>
    <w:r>
      <w:fldChar w:fldCharType="begin"/>
    </w:r>
    <w:r>
      <w:instrText xml:space="preserve"> PAGE  \* Arabic  \* MERGEFORMAT </w:instrText>
    </w:r>
    <w:r>
      <w:fldChar w:fldCharType="separate"/>
    </w:r>
    <w:r w:rsidR="00B42C68">
      <w:rPr>
        <w:noProof/>
      </w:rPr>
      <w:t>1</w:t>
    </w:r>
    <w:r>
      <w:fldChar w:fldCharType="end"/>
    </w:r>
    <w:r>
      <w:t>/</w:t>
    </w:r>
    <w:r>
      <w:fldChar w:fldCharType="begin"/>
    </w:r>
    <w:r>
      <w:instrText xml:space="preserve"> NUMPAGES </w:instrText>
    </w:r>
    <w:r>
      <w:fldChar w:fldCharType="separate"/>
    </w:r>
    <w:r w:rsidR="00B42C6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E3E4" w14:textId="77777777" w:rsidR="00CD0EC4" w:rsidRDefault="00CD0EC4" w:rsidP="001F3661">
      <w:pPr>
        <w:spacing w:line="240" w:lineRule="auto"/>
      </w:pPr>
      <w:r>
        <w:separator/>
      </w:r>
    </w:p>
  </w:footnote>
  <w:footnote w:type="continuationSeparator" w:id="0">
    <w:p w14:paraId="5AF2B3EF" w14:textId="77777777" w:rsidR="00CD0EC4" w:rsidRDefault="00CD0EC4" w:rsidP="001F3661">
      <w:pPr>
        <w:spacing w:line="240" w:lineRule="auto"/>
      </w:pPr>
      <w:r>
        <w:continuationSeparator/>
      </w:r>
    </w:p>
  </w:footnote>
  <w:footnote w:id="1">
    <w:p w14:paraId="24D9B7EB" w14:textId="1B0E6BE7" w:rsidR="001F3661" w:rsidRPr="000D28A2" w:rsidRDefault="001F3661" w:rsidP="009462B5">
      <w:pPr>
        <w:pStyle w:val="FootnoteText"/>
        <w:rPr>
          <w:szCs w:val="16"/>
        </w:rPr>
      </w:pPr>
      <w:r w:rsidRPr="001B6E6F">
        <w:rPr>
          <w:rStyle w:val="FootnoteReference"/>
          <w:szCs w:val="16"/>
        </w:rPr>
        <w:footnoteRef/>
      </w:r>
      <w:r w:rsidRPr="001B6E6F">
        <w:rPr>
          <w:szCs w:val="16"/>
        </w:rPr>
        <w:tab/>
      </w:r>
      <w:r w:rsidRPr="000D28A2">
        <w:rPr>
          <w:szCs w:val="16"/>
        </w:rPr>
        <w:t>Decision of the EESC Bureau of 10 July 2007, R/CESE 921/2007 rev.</w:t>
      </w:r>
    </w:p>
  </w:footnote>
  <w:footnote w:id="2">
    <w:p w14:paraId="22805202" w14:textId="3B3B9200" w:rsidR="004421B6" w:rsidRPr="00C72671" w:rsidRDefault="004421B6" w:rsidP="009462B5">
      <w:pPr>
        <w:pStyle w:val="FootnoteText"/>
      </w:pPr>
      <w:r w:rsidRPr="000D28A2">
        <w:rPr>
          <w:rStyle w:val="FootnoteReference"/>
        </w:rPr>
        <w:footnoteRef/>
      </w:r>
      <w:r w:rsidR="00645805" w:rsidRPr="00C72671">
        <w:tab/>
      </w:r>
      <w:r w:rsidRPr="00C72671">
        <w:t>Footnote to be added once the SOC priorities are published</w:t>
      </w:r>
      <w:r w:rsidR="003E1512">
        <w:t>.</w:t>
      </w:r>
    </w:p>
  </w:footnote>
  <w:footnote w:id="3">
    <w:p w14:paraId="06A7F4FF" w14:textId="775CD9A5" w:rsidR="00E72DB2" w:rsidRPr="001F5912" w:rsidRDefault="00E72DB2" w:rsidP="009462B5">
      <w:pPr>
        <w:pStyle w:val="FootnoteText"/>
      </w:pPr>
      <w:r w:rsidRPr="000D28A2">
        <w:rPr>
          <w:rStyle w:val="FootnoteReference"/>
        </w:rPr>
        <w:footnoteRef/>
      </w:r>
      <w:r w:rsidR="00645805" w:rsidRPr="00BB59CF">
        <w:tab/>
      </w:r>
      <w:r w:rsidRPr="00C72671">
        <w:t xml:space="preserve">See </w:t>
      </w:r>
      <w:r w:rsidRPr="00C72671">
        <w:rPr>
          <w:i/>
          <w:iCs/>
        </w:rPr>
        <w:t>Stand up for democracy/speak up for Europe</w:t>
      </w:r>
      <w:r w:rsidRPr="00C72671">
        <w:t xml:space="preserve"> - EESC PRESIDENT OLIVER RÖPKE – 2023/2025 </w:t>
      </w:r>
      <w:hyperlink r:id="rId1" w:history="1">
        <w:r w:rsidRPr="00C72671">
          <w:rPr>
            <w:rStyle w:val="Hyperlink"/>
          </w:rPr>
          <w:t>Manifesto</w:t>
        </w:r>
      </w:hyperlink>
      <w:r w:rsidR="003E1512" w:rsidRPr="009462B5">
        <w:t>.</w:t>
      </w:r>
    </w:p>
  </w:footnote>
  <w:footnote w:id="4">
    <w:p w14:paraId="61D6FADD" w14:textId="5AADCAF7" w:rsidR="00291147" w:rsidRPr="00C72671" w:rsidRDefault="00291147" w:rsidP="009462B5">
      <w:pPr>
        <w:pStyle w:val="FootnoteText"/>
      </w:pPr>
      <w:r w:rsidRPr="000D28A2">
        <w:rPr>
          <w:rStyle w:val="FootnoteReference"/>
        </w:rPr>
        <w:footnoteRef/>
      </w:r>
      <w:r w:rsidR="00645805" w:rsidRPr="001F5912">
        <w:tab/>
      </w:r>
      <w:r w:rsidRPr="00C72671">
        <w:t xml:space="preserve">See </w:t>
      </w:r>
      <w:hyperlink r:id="rId2" w:history="1">
        <w:r w:rsidRPr="00C72671">
          <w:rPr>
            <w:rStyle w:val="Hyperlink"/>
          </w:rPr>
          <w:t>https://www.consilium.europa.eu/en/policies/platform-work-eu/</w:t>
        </w:r>
      </w:hyperlink>
      <w:r w:rsidR="003E1512" w:rsidRPr="009462B5">
        <w:t>.</w:t>
      </w:r>
      <w:r w:rsidR="00645805" w:rsidRPr="00C72671">
        <w:t xml:space="preserve"> </w:t>
      </w:r>
      <w:r w:rsidR="00645805" w:rsidRPr="000D28A2">
        <w:t xml:space="preserve">The importance of digital platforms, </w:t>
      </w:r>
      <w:r w:rsidR="00BE4698" w:rsidRPr="00BB59CF">
        <w:t xml:space="preserve">with </w:t>
      </w:r>
      <w:r w:rsidR="00645805" w:rsidRPr="000D28A2">
        <w:t xml:space="preserve">some 500 </w:t>
      </w:r>
      <w:r w:rsidR="00BE4698" w:rsidRPr="000D28A2">
        <w:t xml:space="preserve">now </w:t>
      </w:r>
      <w:r w:rsidR="00645805" w:rsidRPr="000D28A2">
        <w:t xml:space="preserve">operating in the EU, has grown in </w:t>
      </w:r>
      <w:r w:rsidR="00BE4698" w:rsidRPr="000D28A2">
        <w:t>recent</w:t>
      </w:r>
      <w:r w:rsidR="00645805" w:rsidRPr="000D28A2">
        <w:t xml:space="preserve"> years, becoming an engine for innovation and employment growth. More than 28 million people currently work on platforms and this number is expected to </w:t>
      </w:r>
      <w:r w:rsidR="00BE4698" w:rsidRPr="000D28A2">
        <w:t>rise to</w:t>
      </w:r>
      <w:r w:rsidR="00645805" w:rsidRPr="000D28A2">
        <w:t xml:space="preserve"> 43 million in 2025</w:t>
      </w:r>
      <w:r w:rsidR="00BE4698" w:rsidRPr="000D28A2">
        <w:t>.</w:t>
      </w:r>
    </w:p>
  </w:footnote>
  <w:footnote w:id="5">
    <w:p w14:paraId="29F1B58E" w14:textId="1913DC2E" w:rsidR="00291147" w:rsidRPr="00C72671" w:rsidRDefault="00291147" w:rsidP="009462B5">
      <w:pPr>
        <w:pStyle w:val="FootnoteText"/>
      </w:pPr>
      <w:r w:rsidRPr="000D28A2">
        <w:rPr>
          <w:rStyle w:val="FootnoteReference"/>
        </w:rPr>
        <w:footnoteRef/>
      </w:r>
      <w:r w:rsidR="00645805" w:rsidRPr="00BB59CF">
        <w:tab/>
      </w:r>
      <w:r w:rsidRPr="00BB59CF">
        <w:t xml:space="preserve">See </w:t>
      </w:r>
      <w:hyperlink r:id="rId3" w:history="1">
        <w:r w:rsidR="00E07FC5" w:rsidRPr="00BB59CF">
          <w:rPr>
            <w:rStyle w:val="Hyperlink"/>
          </w:rPr>
          <w:t>https://www.consilium.europa.eu/fr/meetings/epsco/2023/06/12-13/</w:t>
        </w:r>
      </w:hyperlink>
      <w:r w:rsidR="003E1512">
        <w:t>.</w:t>
      </w:r>
    </w:p>
  </w:footnote>
  <w:footnote w:id="6">
    <w:p w14:paraId="3BA87A07" w14:textId="59D6DF50" w:rsidR="0003227E" w:rsidRPr="001F5912" w:rsidRDefault="0003227E">
      <w:pPr>
        <w:pStyle w:val="FootnoteText"/>
      </w:pPr>
      <w:r w:rsidRPr="000D28A2">
        <w:rPr>
          <w:rStyle w:val="FootnoteReference"/>
        </w:rPr>
        <w:footnoteRef/>
      </w:r>
      <w:r w:rsidRPr="000D28A2">
        <w:tab/>
      </w:r>
      <w:r w:rsidRPr="00C72671">
        <w:t xml:space="preserve">See </w:t>
      </w:r>
      <w:hyperlink r:id="rId4" w:anchor="navItem-1" w:history="1">
        <w:r w:rsidRPr="00C72671">
          <w:rPr>
            <w:rStyle w:val="Hyperlink"/>
          </w:rPr>
          <w:t>https://ec.europa.eu/social/main.jsp?langId=en&amp;catId=89&amp;newsId=10299&amp;furtherNews=yes#navItem-1</w:t>
        </w:r>
      </w:hyperlink>
      <w:r w:rsidR="003E1512">
        <w:t>.</w:t>
      </w:r>
    </w:p>
  </w:footnote>
  <w:footnote w:id="7">
    <w:p w14:paraId="7530F22D" w14:textId="3198F5D9" w:rsidR="00C23579" w:rsidRPr="001F5912" w:rsidRDefault="00C23579" w:rsidP="00F83C1B">
      <w:pPr>
        <w:pStyle w:val="FootnoteText"/>
        <w:spacing w:after="0"/>
      </w:pPr>
      <w:r w:rsidRPr="000D28A2">
        <w:rPr>
          <w:rStyle w:val="FootnoteReference"/>
        </w:rPr>
        <w:footnoteRef/>
      </w:r>
      <w:r w:rsidR="007D6208" w:rsidRPr="00BB59CF">
        <w:tab/>
      </w:r>
      <w:hyperlink r:id="rId5" w:history="1">
        <w:r w:rsidR="007D6208" w:rsidRPr="009462B5">
          <w:rPr>
            <w:rStyle w:val="Hyperlink"/>
            <w:color w:val="0000CC"/>
          </w:rPr>
          <w:t>https://data.consilium.europa.eu/doc/document/ST-9650-2023-INIT/en/pdf</w:t>
        </w:r>
      </w:hyperlink>
      <w:r w:rsidR="00DE0136">
        <w:t>.</w:t>
      </w:r>
    </w:p>
  </w:footnote>
  <w:footnote w:id="8">
    <w:p w14:paraId="35CA6ADD" w14:textId="541C55C8" w:rsidR="00C23579" w:rsidRPr="001F5912" w:rsidRDefault="00C23579" w:rsidP="009462B5">
      <w:pPr>
        <w:pStyle w:val="FootnoteText"/>
      </w:pPr>
      <w:r w:rsidRPr="000D28A2">
        <w:rPr>
          <w:rStyle w:val="FootnoteReference"/>
        </w:rPr>
        <w:footnoteRef/>
      </w:r>
      <w:r w:rsidR="000A2629" w:rsidRPr="00BB59CF">
        <w:tab/>
      </w:r>
      <w:r w:rsidRPr="001F5912">
        <w:t xml:space="preserve">EESC opinion </w:t>
      </w:r>
      <w:hyperlink r:id="rId6" w:history="1">
        <w:r w:rsidRPr="009462B5">
          <w:rPr>
            <w:rStyle w:val="Hyperlink"/>
            <w:color w:val="0000CC"/>
          </w:rPr>
          <w:t>SOC/746</w:t>
        </w:r>
      </w:hyperlink>
      <w:r w:rsidRPr="001F5912">
        <w:t xml:space="preserve"> on </w:t>
      </w:r>
      <w:r w:rsidRPr="001F5912">
        <w:rPr>
          <w:i/>
          <w:iCs/>
        </w:rPr>
        <w:t xml:space="preserve">Democracy at work, </w:t>
      </w:r>
      <w:r w:rsidRPr="000D28A2">
        <w:t>adopted in April 2023</w:t>
      </w:r>
      <w:r w:rsidR="00EC0035">
        <w:t>.</w:t>
      </w:r>
    </w:p>
  </w:footnote>
  <w:footnote w:id="9">
    <w:p w14:paraId="589E1433" w14:textId="33C30D5B" w:rsidR="00C23579" w:rsidRPr="001F5912" w:rsidRDefault="00C23579" w:rsidP="009462B5">
      <w:pPr>
        <w:pStyle w:val="FootnoteText"/>
      </w:pPr>
      <w:r w:rsidRPr="000D28A2">
        <w:rPr>
          <w:rStyle w:val="FootnoteReference"/>
        </w:rPr>
        <w:footnoteRef/>
      </w:r>
      <w:r w:rsidRPr="000D28A2">
        <w:tab/>
      </w:r>
      <w:hyperlink r:id="rId7" w:history="1">
        <w:r w:rsidRPr="009462B5">
          <w:rPr>
            <w:rStyle w:val="Hyperlink"/>
            <w:color w:val="0000CC"/>
          </w:rPr>
          <w:t>The Porto Social Commitment</w:t>
        </w:r>
      </w:hyperlink>
      <w:r w:rsidRPr="000D28A2">
        <w:t>, signed at the Porto Social Summit on 7 May 2021</w:t>
      </w:r>
      <w:r w:rsidR="00EC0035">
        <w:t>.</w:t>
      </w:r>
    </w:p>
  </w:footnote>
  <w:footnote w:id="10">
    <w:p w14:paraId="67025A45" w14:textId="5CE41F31" w:rsidR="00BA79F2" w:rsidRPr="00C72671" w:rsidRDefault="00BA79F2" w:rsidP="009462B5">
      <w:pPr>
        <w:pStyle w:val="FootnoteText"/>
      </w:pPr>
      <w:r w:rsidRPr="000D28A2">
        <w:rPr>
          <w:rStyle w:val="FootnoteReference"/>
        </w:rPr>
        <w:footnoteRef/>
      </w:r>
      <w:r w:rsidRPr="000D28A2">
        <w:tab/>
        <w:t xml:space="preserve">EESC </w:t>
      </w:r>
      <w:r w:rsidRPr="00BB59CF">
        <w:t xml:space="preserve">resolution </w:t>
      </w:r>
      <w:hyperlink r:id="rId8" w:history="1">
        <w:r w:rsidRPr="009462B5">
          <w:rPr>
            <w:rStyle w:val="Hyperlink"/>
            <w:i/>
            <w:iCs/>
            <w:color w:val="0000CC"/>
          </w:rPr>
          <w:t>The long-lasting legacy of the European Year of Youth: youth mainstreaming and empowerment</w:t>
        </w:r>
      </w:hyperlink>
      <w:r w:rsidRPr="000D28A2">
        <w:t xml:space="preserve">; EESC opinion </w:t>
      </w:r>
      <w:hyperlink r:id="rId9" w:history="1">
        <w:r w:rsidRPr="009462B5">
          <w:rPr>
            <w:rStyle w:val="Hyperlink"/>
            <w:i/>
            <w:iCs/>
            <w:color w:val="0000CC"/>
          </w:rPr>
          <w:t>The EU Youth Test</w:t>
        </w:r>
      </w:hyperlink>
      <w:r w:rsidRPr="000D28A2">
        <w:t xml:space="preserve">; EESC </w:t>
      </w:r>
      <w:r w:rsidRPr="00BB59CF">
        <w:t xml:space="preserve">opinion </w:t>
      </w:r>
      <w:hyperlink r:id="rId10" w:history="1">
        <w:r w:rsidRPr="009462B5">
          <w:rPr>
            <w:rStyle w:val="Hyperlink"/>
            <w:i/>
            <w:iCs/>
            <w:color w:val="0000CC"/>
          </w:rPr>
          <w:t>Towards structured youth engagement on climate and sustainability in the EU decision-making process</w:t>
        </w:r>
      </w:hyperlink>
      <w:r w:rsidR="00992206" w:rsidRPr="000D28A2">
        <w:t xml:space="preserve">; </w:t>
      </w:r>
      <w:r w:rsidR="00992206" w:rsidRPr="00BB59CF">
        <w:t xml:space="preserve">EESC study </w:t>
      </w:r>
      <w:hyperlink r:id="rId11" w:history="1">
        <w:r w:rsidR="00992206" w:rsidRPr="009462B5">
          <w:rPr>
            <w:rStyle w:val="Hyperlink"/>
            <w:i/>
            <w:iCs/>
            <w:color w:val="0000CC"/>
          </w:rPr>
          <w:t>Structured youth engagement in the aftermath of the European Year of Youth 2022: mapping local, national, EU and international good practices</w:t>
        </w:r>
        <w:r w:rsidR="00992206" w:rsidRPr="009462B5">
          <w:rPr>
            <w:rStyle w:val="Hyperlink"/>
            <w:color w:val="0000CC"/>
          </w:rPr>
          <w:t xml:space="preserve"> (ongoing)</w:t>
        </w:r>
      </w:hyperlink>
      <w:r w:rsidR="00EC0035" w:rsidRPr="009462B5">
        <w:t>.</w:t>
      </w:r>
    </w:p>
  </w:footnote>
  <w:footnote w:id="11">
    <w:p w14:paraId="585FD66B" w14:textId="368D916A" w:rsidR="00C52967" w:rsidRPr="00C72671" w:rsidRDefault="00C52967" w:rsidP="009462B5">
      <w:pPr>
        <w:pStyle w:val="FootnoteText"/>
      </w:pPr>
      <w:r w:rsidRPr="000D28A2">
        <w:rPr>
          <w:rStyle w:val="FootnoteReference"/>
        </w:rPr>
        <w:footnoteRef/>
      </w:r>
      <w:r w:rsidR="00572E56" w:rsidRPr="00BB59CF">
        <w:tab/>
      </w:r>
      <w:r w:rsidRPr="00C72671">
        <w:t xml:space="preserve">EESC Bureau decision of </w:t>
      </w:r>
      <w:r w:rsidR="00572E56" w:rsidRPr="00C72671">
        <w:t xml:space="preserve">13 </w:t>
      </w:r>
      <w:r w:rsidRPr="00C72671">
        <w:t>June 2023</w:t>
      </w:r>
      <w:r w:rsidR="00572E56" w:rsidRPr="00C72671">
        <w:t xml:space="preserve">, on </w:t>
      </w:r>
      <w:r w:rsidR="00572E56" w:rsidRPr="00C72671">
        <w:rPr>
          <w:i/>
          <w:iCs/>
        </w:rPr>
        <w:t>Youth engagement at the EESC – Follow-up to the President's manifesto</w:t>
      </w:r>
      <w:r w:rsidR="00572E56" w:rsidRPr="00C72671">
        <w:t xml:space="preserve">, the resolution </w:t>
      </w:r>
      <w:proofErr w:type="gramStart"/>
      <w:r w:rsidR="00572E56" w:rsidRPr="00C72671">
        <w:rPr>
          <w:i/>
          <w:iCs/>
        </w:rPr>
        <w:t>The</w:t>
      </w:r>
      <w:proofErr w:type="gramEnd"/>
      <w:r w:rsidR="00572E56" w:rsidRPr="00C72671">
        <w:rPr>
          <w:i/>
          <w:iCs/>
        </w:rPr>
        <w:t xml:space="preserve"> long-lasting legacy of the European Year of Youth</w:t>
      </w:r>
      <w:r w:rsidR="00572E56" w:rsidRPr="00C72671">
        <w:t xml:space="preserve"> and the opinion </w:t>
      </w:r>
      <w:r w:rsidR="00572E56" w:rsidRPr="00C72671">
        <w:rPr>
          <w:i/>
          <w:iCs/>
        </w:rPr>
        <w:t>The EU Youth Test</w:t>
      </w:r>
      <w:r w:rsidR="00EC0035" w:rsidRPr="009462B5">
        <w:t>.</w:t>
      </w:r>
    </w:p>
  </w:footnote>
  <w:footnote w:id="12">
    <w:p w14:paraId="349322A1" w14:textId="70105796" w:rsidR="00C52967" w:rsidRPr="00C72671" w:rsidRDefault="00C52967" w:rsidP="009462B5">
      <w:pPr>
        <w:pStyle w:val="FootnoteText"/>
      </w:pPr>
      <w:r w:rsidRPr="000D28A2">
        <w:rPr>
          <w:rStyle w:val="FootnoteReference"/>
        </w:rPr>
        <w:footnoteRef/>
      </w:r>
      <w:r w:rsidR="00572E56" w:rsidRPr="00BB59CF">
        <w:tab/>
      </w:r>
      <w:r w:rsidR="00572E56" w:rsidRPr="00C72671">
        <w:t xml:space="preserve">EESC Bureau decision of 13 June 2023, on </w:t>
      </w:r>
      <w:r w:rsidR="00572E56" w:rsidRPr="00C72671">
        <w:rPr>
          <w:i/>
          <w:iCs/>
        </w:rPr>
        <w:t>Youth engagement at the EESC – Follow-up to the President's manifesto</w:t>
      </w:r>
      <w:r w:rsidR="00572E56" w:rsidRPr="00C72671">
        <w:t xml:space="preserve">, the resolution </w:t>
      </w:r>
      <w:proofErr w:type="gramStart"/>
      <w:r w:rsidR="00572E56" w:rsidRPr="00C72671">
        <w:t>The</w:t>
      </w:r>
      <w:proofErr w:type="gramEnd"/>
      <w:r w:rsidR="00572E56" w:rsidRPr="00C72671">
        <w:t xml:space="preserve"> long-lasting legacy of the European Year of Youth and the opinion The EU Youth Test</w:t>
      </w:r>
      <w:r w:rsidR="00EC0035">
        <w:t>.</w:t>
      </w:r>
    </w:p>
  </w:footnote>
  <w:footnote w:id="13">
    <w:p w14:paraId="2CB6D132" w14:textId="2FB4F0BE" w:rsidR="00603A8D" w:rsidRPr="00BB59CF" w:rsidRDefault="00603A8D" w:rsidP="009462B5">
      <w:pPr>
        <w:pStyle w:val="FootnoteText"/>
      </w:pPr>
      <w:r w:rsidRPr="000D28A2">
        <w:rPr>
          <w:rStyle w:val="FootnoteReference"/>
        </w:rPr>
        <w:footnoteRef/>
      </w:r>
      <w:r w:rsidRPr="000D28A2">
        <w:tab/>
      </w:r>
      <w:r w:rsidRPr="00BB59CF">
        <w:t>Decision of the EESC Bureau of 18 April 2018, EESC-2018-01200-00-02-PV-TRA</w:t>
      </w:r>
      <w:r w:rsidR="00EC0035">
        <w:t>.</w:t>
      </w:r>
    </w:p>
  </w:footnote>
  <w:footnote w:id="14">
    <w:p w14:paraId="7AAC14AB" w14:textId="5A0937C6" w:rsidR="00267BDC" w:rsidRPr="001F5912" w:rsidRDefault="00267BDC" w:rsidP="00267BDC">
      <w:pPr>
        <w:pStyle w:val="FootnoteText"/>
      </w:pPr>
      <w:r w:rsidRPr="000D28A2">
        <w:rPr>
          <w:rStyle w:val="FootnoteReference"/>
        </w:rPr>
        <w:footnoteRef/>
      </w:r>
      <w:r w:rsidRPr="00BB59CF">
        <w:tab/>
      </w:r>
      <w:r w:rsidRPr="00C72671">
        <w:t xml:space="preserve">See Rule of Procedure 27 and the Implementing Provisions </w:t>
      </w:r>
      <w:hyperlink r:id="rId12" w:history="1">
        <w:r w:rsidRPr="009462B5">
          <w:rPr>
            <w:rStyle w:val="Hyperlink"/>
            <w:color w:val="0000CC"/>
          </w:rPr>
          <w:t>https://www.eesc.europa.eu/en/about/rules-procedure-and-code-conduct-members-eesc</w:t>
        </w:r>
      </w:hyperlink>
      <w:r w:rsidR="00EC003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901"/>
    <w:multiLevelType w:val="hybridMultilevel"/>
    <w:tmpl w:val="DBC49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C4184"/>
    <w:multiLevelType w:val="multilevel"/>
    <w:tmpl w:val="60C2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64EE7"/>
    <w:multiLevelType w:val="hybridMultilevel"/>
    <w:tmpl w:val="80769D18"/>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C75878"/>
    <w:multiLevelType w:val="hybridMultilevel"/>
    <w:tmpl w:val="9C82B0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C7B22"/>
    <w:multiLevelType w:val="hybridMultilevel"/>
    <w:tmpl w:val="F044E914"/>
    <w:lvl w:ilvl="0" w:tplc="E4D458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F12BDE"/>
    <w:multiLevelType w:val="hybridMultilevel"/>
    <w:tmpl w:val="1ADA7CB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C5553C"/>
    <w:multiLevelType w:val="hybridMultilevel"/>
    <w:tmpl w:val="CD92E6C6"/>
    <w:lvl w:ilvl="0" w:tplc="312A60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5B64CF"/>
    <w:multiLevelType w:val="hybridMultilevel"/>
    <w:tmpl w:val="CBB21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3D6A"/>
    <w:multiLevelType w:val="hybridMultilevel"/>
    <w:tmpl w:val="92E4C4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8F9427D"/>
    <w:multiLevelType w:val="hybridMultilevel"/>
    <w:tmpl w:val="F994425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05107"/>
    <w:multiLevelType w:val="hybridMultilevel"/>
    <w:tmpl w:val="705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612B5D"/>
    <w:multiLevelType w:val="hybridMultilevel"/>
    <w:tmpl w:val="70ACCFBA"/>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4D1670"/>
    <w:multiLevelType w:val="hybridMultilevel"/>
    <w:tmpl w:val="D9DC8F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7F422E"/>
    <w:multiLevelType w:val="hybridMultilevel"/>
    <w:tmpl w:val="594E5E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775614"/>
    <w:multiLevelType w:val="hybridMultilevel"/>
    <w:tmpl w:val="1B10B4C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24197FE2"/>
    <w:multiLevelType w:val="hybridMultilevel"/>
    <w:tmpl w:val="1534D4F6"/>
    <w:lvl w:ilvl="0" w:tplc="9386FA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1063"/>
    <w:multiLevelType w:val="hybridMultilevel"/>
    <w:tmpl w:val="27321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BE56E8"/>
    <w:multiLevelType w:val="hybridMultilevel"/>
    <w:tmpl w:val="B636C58E"/>
    <w:lvl w:ilvl="0" w:tplc="740ECB1E">
      <w:start w:val="11"/>
      <w:numFmt w:val="bullet"/>
      <w:lvlText w:val="-"/>
      <w:lvlJc w:val="left"/>
      <w:pPr>
        <w:ind w:left="420" w:hanging="360"/>
      </w:pPr>
      <w:rPr>
        <w:rFonts w:ascii="Times New Roman" w:eastAsia="Times New Roman" w:hAnsi="Times New Roman"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18" w15:restartNumberingAfterBreak="0">
    <w:nsid w:val="308E7471"/>
    <w:multiLevelType w:val="hybridMultilevel"/>
    <w:tmpl w:val="52921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A249A"/>
    <w:multiLevelType w:val="hybridMultilevel"/>
    <w:tmpl w:val="D0389AC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83A19"/>
    <w:multiLevelType w:val="hybridMultilevel"/>
    <w:tmpl w:val="39F85CD8"/>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3F2FA4"/>
    <w:multiLevelType w:val="hybridMultilevel"/>
    <w:tmpl w:val="A01AA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8A0E44"/>
    <w:multiLevelType w:val="hybridMultilevel"/>
    <w:tmpl w:val="DF0C8D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9353B0"/>
    <w:multiLevelType w:val="hybridMultilevel"/>
    <w:tmpl w:val="845662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B307148"/>
    <w:multiLevelType w:val="hybridMultilevel"/>
    <w:tmpl w:val="6448AE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3CF82D8A"/>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D0E117E"/>
    <w:multiLevelType w:val="hybridMultilevel"/>
    <w:tmpl w:val="B5F282E4"/>
    <w:lvl w:ilvl="0" w:tplc="6108F34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3D442A2F"/>
    <w:multiLevelType w:val="hybridMultilevel"/>
    <w:tmpl w:val="4682731E"/>
    <w:lvl w:ilvl="0" w:tplc="CF360274">
      <w:start w:val="1"/>
      <w:numFmt w:val="upperRoman"/>
      <w:lvlText w:val="%1."/>
      <w:lvlJc w:val="left"/>
      <w:pPr>
        <w:ind w:left="720" w:hanging="360"/>
      </w:pPr>
      <w:rPr>
        <w:rFonts w:ascii="Times New Roman Bold" w:hAnsi="Times New Roman Bold" w:hint="default"/>
        <w:b/>
        <w:i w:val="0"/>
        <w:caps w:val="0"/>
        <w:strike w:val="0"/>
        <w:dstrike w:val="0"/>
        <w:vanish w:val="0"/>
        <w:color w:val="0000CC"/>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64F28"/>
    <w:multiLevelType w:val="hybridMultilevel"/>
    <w:tmpl w:val="DD301162"/>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D81207"/>
    <w:multiLevelType w:val="hybridMultilevel"/>
    <w:tmpl w:val="3DC2A212"/>
    <w:lvl w:ilvl="0" w:tplc="3BC098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8768C0"/>
    <w:multiLevelType w:val="hybridMultilevel"/>
    <w:tmpl w:val="9B0209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5A3B30"/>
    <w:multiLevelType w:val="hybridMultilevel"/>
    <w:tmpl w:val="D0B652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495C1ED8"/>
    <w:multiLevelType w:val="hybridMultilevel"/>
    <w:tmpl w:val="0CC07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7E77DD"/>
    <w:multiLevelType w:val="hybridMultilevel"/>
    <w:tmpl w:val="4CC6C8A0"/>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4F2B7C11"/>
    <w:multiLevelType w:val="hybridMultilevel"/>
    <w:tmpl w:val="D0A288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00A4C38"/>
    <w:multiLevelType w:val="hybridMultilevel"/>
    <w:tmpl w:val="CCF08B46"/>
    <w:lvl w:ilvl="0" w:tplc="590A6ABA">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39378A"/>
    <w:multiLevelType w:val="hybridMultilevel"/>
    <w:tmpl w:val="4BCE9C10"/>
    <w:lvl w:ilvl="0" w:tplc="FD1017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F85D5C"/>
    <w:multiLevelType w:val="hybridMultilevel"/>
    <w:tmpl w:val="992CA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D95F38"/>
    <w:multiLevelType w:val="hybridMultilevel"/>
    <w:tmpl w:val="58E489D4"/>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594D1809"/>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C346E0A"/>
    <w:multiLevelType w:val="hybridMultilevel"/>
    <w:tmpl w:val="95ECEBF4"/>
    <w:lvl w:ilvl="0" w:tplc="02A02F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7E0469"/>
    <w:multiLevelType w:val="hybridMultilevel"/>
    <w:tmpl w:val="E1ECC4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2" w15:restartNumberingAfterBreak="0">
    <w:nsid w:val="5D8A3D77"/>
    <w:multiLevelType w:val="hybridMultilevel"/>
    <w:tmpl w:val="099ADA14"/>
    <w:lvl w:ilvl="0" w:tplc="080C0005">
      <w:start w:val="1"/>
      <w:numFmt w:val="bullet"/>
      <w:lvlText w:val=""/>
      <w:lvlJc w:val="left"/>
      <w:pPr>
        <w:ind w:left="720" w:hanging="360"/>
      </w:pPr>
      <w:rPr>
        <w:rFonts w:ascii="Wingdings" w:hAnsi="Wingdings" w:hint="default"/>
      </w:rPr>
    </w:lvl>
    <w:lvl w:ilvl="1" w:tplc="9DCC1560">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592132"/>
    <w:multiLevelType w:val="hybridMultilevel"/>
    <w:tmpl w:val="63564A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685C717E"/>
    <w:multiLevelType w:val="hybridMultilevel"/>
    <w:tmpl w:val="70FA98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B121BD"/>
    <w:multiLevelType w:val="hybridMultilevel"/>
    <w:tmpl w:val="0F60111A"/>
    <w:lvl w:ilvl="0" w:tplc="04090001">
      <w:start w:val="1"/>
      <w:numFmt w:val="bullet"/>
      <w:lvlText w:val=""/>
      <w:lvlJc w:val="left"/>
      <w:pPr>
        <w:tabs>
          <w:tab w:val="num" w:pos="-620"/>
        </w:tabs>
        <w:ind w:left="369" w:hanging="369"/>
      </w:pPr>
      <w:rPr>
        <w:rFonts w:ascii="Symbol" w:hAnsi="Symbol" w:hint="default"/>
        <w:b w:val="0"/>
        <w:i w:val="0"/>
        <w:sz w:val="22"/>
      </w:rPr>
    </w:lvl>
    <w:lvl w:ilvl="1" w:tplc="08090003" w:tentative="1">
      <w:start w:val="1"/>
      <w:numFmt w:val="bullet"/>
      <w:lvlText w:val="o"/>
      <w:lvlJc w:val="left"/>
      <w:pPr>
        <w:tabs>
          <w:tab w:val="num" w:pos="820"/>
        </w:tabs>
        <w:ind w:left="820" w:hanging="360"/>
      </w:pPr>
      <w:rPr>
        <w:rFonts w:ascii="Courier New" w:hAnsi="Courier New" w:cs="Courier New" w:hint="default"/>
      </w:rPr>
    </w:lvl>
    <w:lvl w:ilvl="2" w:tplc="08090005" w:tentative="1">
      <w:start w:val="1"/>
      <w:numFmt w:val="bullet"/>
      <w:lvlText w:val=""/>
      <w:lvlJc w:val="left"/>
      <w:pPr>
        <w:tabs>
          <w:tab w:val="num" w:pos="1540"/>
        </w:tabs>
        <w:ind w:left="1540" w:hanging="360"/>
      </w:pPr>
      <w:rPr>
        <w:rFonts w:ascii="Wingdings" w:hAnsi="Wingdings" w:hint="default"/>
      </w:rPr>
    </w:lvl>
    <w:lvl w:ilvl="3" w:tplc="08090001" w:tentative="1">
      <w:start w:val="1"/>
      <w:numFmt w:val="bullet"/>
      <w:lvlText w:val=""/>
      <w:lvlJc w:val="left"/>
      <w:pPr>
        <w:tabs>
          <w:tab w:val="num" w:pos="2260"/>
        </w:tabs>
        <w:ind w:left="2260" w:hanging="360"/>
      </w:pPr>
      <w:rPr>
        <w:rFonts w:ascii="Symbol" w:hAnsi="Symbol" w:hint="default"/>
      </w:rPr>
    </w:lvl>
    <w:lvl w:ilvl="4" w:tplc="08090003" w:tentative="1">
      <w:start w:val="1"/>
      <w:numFmt w:val="bullet"/>
      <w:lvlText w:val="o"/>
      <w:lvlJc w:val="left"/>
      <w:pPr>
        <w:tabs>
          <w:tab w:val="num" w:pos="2980"/>
        </w:tabs>
        <w:ind w:left="2980" w:hanging="360"/>
      </w:pPr>
      <w:rPr>
        <w:rFonts w:ascii="Courier New" w:hAnsi="Courier New" w:cs="Courier New" w:hint="default"/>
      </w:rPr>
    </w:lvl>
    <w:lvl w:ilvl="5" w:tplc="08090005" w:tentative="1">
      <w:start w:val="1"/>
      <w:numFmt w:val="bullet"/>
      <w:lvlText w:val=""/>
      <w:lvlJc w:val="left"/>
      <w:pPr>
        <w:tabs>
          <w:tab w:val="num" w:pos="3700"/>
        </w:tabs>
        <w:ind w:left="3700" w:hanging="360"/>
      </w:pPr>
      <w:rPr>
        <w:rFonts w:ascii="Wingdings" w:hAnsi="Wingdings" w:hint="default"/>
      </w:rPr>
    </w:lvl>
    <w:lvl w:ilvl="6" w:tplc="08090001" w:tentative="1">
      <w:start w:val="1"/>
      <w:numFmt w:val="bullet"/>
      <w:lvlText w:val=""/>
      <w:lvlJc w:val="left"/>
      <w:pPr>
        <w:tabs>
          <w:tab w:val="num" w:pos="4420"/>
        </w:tabs>
        <w:ind w:left="4420" w:hanging="360"/>
      </w:pPr>
      <w:rPr>
        <w:rFonts w:ascii="Symbol" w:hAnsi="Symbol" w:hint="default"/>
      </w:rPr>
    </w:lvl>
    <w:lvl w:ilvl="7" w:tplc="08090003" w:tentative="1">
      <w:start w:val="1"/>
      <w:numFmt w:val="bullet"/>
      <w:lvlText w:val="o"/>
      <w:lvlJc w:val="left"/>
      <w:pPr>
        <w:tabs>
          <w:tab w:val="num" w:pos="5140"/>
        </w:tabs>
        <w:ind w:left="5140" w:hanging="360"/>
      </w:pPr>
      <w:rPr>
        <w:rFonts w:ascii="Courier New" w:hAnsi="Courier New" w:cs="Courier New" w:hint="default"/>
      </w:rPr>
    </w:lvl>
    <w:lvl w:ilvl="8" w:tplc="08090005" w:tentative="1">
      <w:start w:val="1"/>
      <w:numFmt w:val="bullet"/>
      <w:lvlText w:val=""/>
      <w:lvlJc w:val="left"/>
      <w:pPr>
        <w:tabs>
          <w:tab w:val="num" w:pos="5860"/>
        </w:tabs>
        <w:ind w:left="5860" w:hanging="360"/>
      </w:pPr>
      <w:rPr>
        <w:rFonts w:ascii="Wingdings" w:hAnsi="Wingdings" w:hint="default"/>
      </w:rPr>
    </w:lvl>
  </w:abstractNum>
  <w:abstractNum w:abstractNumId="46" w15:restartNumberingAfterBreak="0">
    <w:nsid w:val="69425C49"/>
    <w:multiLevelType w:val="hybridMultilevel"/>
    <w:tmpl w:val="43B2773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3E14668"/>
    <w:multiLevelType w:val="hybridMultilevel"/>
    <w:tmpl w:val="8B3CF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0864E6"/>
    <w:multiLevelType w:val="hybridMultilevel"/>
    <w:tmpl w:val="4698A89A"/>
    <w:lvl w:ilvl="0" w:tplc="080C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80931A9"/>
    <w:multiLevelType w:val="hybridMultilevel"/>
    <w:tmpl w:val="988C9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8137CC"/>
    <w:multiLevelType w:val="hybridMultilevel"/>
    <w:tmpl w:val="841E0A06"/>
    <w:lvl w:ilvl="0" w:tplc="0A96702A">
      <w:start w:val="1"/>
      <w:numFmt w:val="lowerLetter"/>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798E0BF0"/>
    <w:multiLevelType w:val="hybridMultilevel"/>
    <w:tmpl w:val="65C47F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16"/>
  </w:num>
  <w:num w:numId="4">
    <w:abstractNumId w:val="32"/>
  </w:num>
  <w:num w:numId="5">
    <w:abstractNumId w:val="18"/>
  </w:num>
  <w:num w:numId="6">
    <w:abstractNumId w:val="37"/>
  </w:num>
  <w:num w:numId="7">
    <w:abstractNumId w:val="15"/>
  </w:num>
  <w:num w:numId="8">
    <w:abstractNumId w:val="0"/>
  </w:num>
  <w:num w:numId="9">
    <w:abstractNumId w:val="7"/>
  </w:num>
  <w:num w:numId="10">
    <w:abstractNumId w:val="46"/>
  </w:num>
  <w:num w:numId="11">
    <w:abstractNumId w:val="14"/>
  </w:num>
  <w:num w:numId="12">
    <w:abstractNumId w:val="29"/>
  </w:num>
  <w:num w:numId="13">
    <w:abstractNumId w:val="4"/>
  </w:num>
  <w:num w:numId="14">
    <w:abstractNumId w:val="6"/>
  </w:num>
  <w:num w:numId="15">
    <w:abstractNumId w:val="49"/>
  </w:num>
  <w:num w:numId="16">
    <w:abstractNumId w:val="44"/>
  </w:num>
  <w:num w:numId="17">
    <w:abstractNumId w:val="22"/>
  </w:num>
  <w:num w:numId="18">
    <w:abstractNumId w:val="13"/>
  </w:num>
  <w:num w:numId="19">
    <w:abstractNumId w:val="3"/>
  </w:num>
  <w:num w:numId="20">
    <w:abstractNumId w:val="40"/>
  </w:num>
  <w:num w:numId="21">
    <w:abstractNumId w:val="47"/>
  </w:num>
  <w:num w:numId="22">
    <w:abstractNumId w:val="35"/>
  </w:num>
  <w:num w:numId="23">
    <w:abstractNumId w:val="11"/>
  </w:num>
  <w:num w:numId="24">
    <w:abstractNumId w:val="20"/>
  </w:num>
  <w:num w:numId="25">
    <w:abstractNumId w:val="42"/>
  </w:num>
  <w:num w:numId="26">
    <w:abstractNumId w:val="48"/>
  </w:num>
  <w:num w:numId="27">
    <w:abstractNumId w:val="9"/>
  </w:num>
  <w:num w:numId="28">
    <w:abstractNumId w:val="30"/>
  </w:num>
  <w:num w:numId="29">
    <w:abstractNumId w:val="24"/>
  </w:num>
  <w:num w:numId="30">
    <w:abstractNumId w:val="8"/>
  </w:num>
  <w:num w:numId="31">
    <w:abstractNumId w:val="26"/>
  </w:num>
  <w:num w:numId="32">
    <w:abstractNumId w:val="31"/>
  </w:num>
  <w:num w:numId="33">
    <w:abstractNumId w:val="28"/>
  </w:num>
  <w:num w:numId="34">
    <w:abstractNumId w:val="43"/>
  </w:num>
  <w:num w:numId="35">
    <w:abstractNumId w:val="12"/>
  </w:num>
  <w:num w:numId="36">
    <w:abstractNumId w:val="23"/>
  </w:num>
  <w:num w:numId="37">
    <w:abstractNumId w:val="17"/>
  </w:num>
  <w:num w:numId="38">
    <w:abstractNumId w:val="51"/>
  </w:num>
  <w:num w:numId="39">
    <w:abstractNumId w:val="1"/>
  </w:num>
  <w:num w:numId="40">
    <w:abstractNumId w:val="19"/>
  </w:num>
  <w:num w:numId="41">
    <w:abstractNumId w:val="5"/>
  </w:num>
  <w:num w:numId="42">
    <w:abstractNumId w:val="34"/>
  </w:num>
  <w:num w:numId="43">
    <w:abstractNumId w:val="41"/>
  </w:num>
  <w:num w:numId="44">
    <w:abstractNumId w:val="2"/>
  </w:num>
  <w:num w:numId="45">
    <w:abstractNumId w:val="50"/>
  </w:num>
  <w:num w:numId="46">
    <w:abstractNumId w:val="25"/>
  </w:num>
  <w:num w:numId="47">
    <w:abstractNumId w:val="39"/>
  </w:num>
  <w:num w:numId="48">
    <w:abstractNumId w:val="21"/>
  </w:num>
  <w:num w:numId="49">
    <w:abstractNumId w:val="38"/>
  </w:num>
  <w:num w:numId="50">
    <w:abstractNumId w:val="33"/>
  </w:num>
  <w:num w:numId="51">
    <w:abstractNumId w:val="27"/>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61"/>
    <w:rsid w:val="00012F00"/>
    <w:rsid w:val="000209B1"/>
    <w:rsid w:val="0003227E"/>
    <w:rsid w:val="0003572A"/>
    <w:rsid w:val="00067543"/>
    <w:rsid w:val="000809C8"/>
    <w:rsid w:val="00096580"/>
    <w:rsid w:val="000A0318"/>
    <w:rsid w:val="000A2629"/>
    <w:rsid w:val="000A46B4"/>
    <w:rsid w:val="000C3688"/>
    <w:rsid w:val="000D28A2"/>
    <w:rsid w:val="000F0E92"/>
    <w:rsid w:val="000F1223"/>
    <w:rsid w:val="000F5859"/>
    <w:rsid w:val="001014D0"/>
    <w:rsid w:val="001364F5"/>
    <w:rsid w:val="00185AA1"/>
    <w:rsid w:val="001F3661"/>
    <w:rsid w:val="001F5912"/>
    <w:rsid w:val="001F6AF6"/>
    <w:rsid w:val="001F72D3"/>
    <w:rsid w:val="002108CC"/>
    <w:rsid w:val="00212557"/>
    <w:rsid w:val="002223F0"/>
    <w:rsid w:val="002310A0"/>
    <w:rsid w:val="002333DD"/>
    <w:rsid w:val="0024302F"/>
    <w:rsid w:val="00265BCA"/>
    <w:rsid w:val="00267BDC"/>
    <w:rsid w:val="002727E5"/>
    <w:rsid w:val="00277E67"/>
    <w:rsid w:val="00291147"/>
    <w:rsid w:val="002918A4"/>
    <w:rsid w:val="002C1153"/>
    <w:rsid w:val="0036376F"/>
    <w:rsid w:val="00383988"/>
    <w:rsid w:val="003A6ABD"/>
    <w:rsid w:val="003D6320"/>
    <w:rsid w:val="003D6F2D"/>
    <w:rsid w:val="003E1512"/>
    <w:rsid w:val="003E59EE"/>
    <w:rsid w:val="003F1CAA"/>
    <w:rsid w:val="00415D5F"/>
    <w:rsid w:val="004421B6"/>
    <w:rsid w:val="00471E8E"/>
    <w:rsid w:val="004734D7"/>
    <w:rsid w:val="00487099"/>
    <w:rsid w:val="004A6579"/>
    <w:rsid w:val="004F57AF"/>
    <w:rsid w:val="00501BC9"/>
    <w:rsid w:val="00520B30"/>
    <w:rsid w:val="00521163"/>
    <w:rsid w:val="00544B48"/>
    <w:rsid w:val="00555313"/>
    <w:rsid w:val="00560CCA"/>
    <w:rsid w:val="00565ABF"/>
    <w:rsid w:val="00572E56"/>
    <w:rsid w:val="005736FC"/>
    <w:rsid w:val="005D1BAD"/>
    <w:rsid w:val="005F0A9D"/>
    <w:rsid w:val="005F1911"/>
    <w:rsid w:val="00600AFF"/>
    <w:rsid w:val="00603A8D"/>
    <w:rsid w:val="00614C76"/>
    <w:rsid w:val="00621A7D"/>
    <w:rsid w:val="006275A4"/>
    <w:rsid w:val="00632F57"/>
    <w:rsid w:val="00645805"/>
    <w:rsid w:val="00652FD0"/>
    <w:rsid w:val="00654980"/>
    <w:rsid w:val="00660604"/>
    <w:rsid w:val="00671ED3"/>
    <w:rsid w:val="00682775"/>
    <w:rsid w:val="006835F7"/>
    <w:rsid w:val="00696827"/>
    <w:rsid w:val="006A3AAE"/>
    <w:rsid w:val="006B78F9"/>
    <w:rsid w:val="006C1BE3"/>
    <w:rsid w:val="006D11D5"/>
    <w:rsid w:val="006F6B70"/>
    <w:rsid w:val="007043E3"/>
    <w:rsid w:val="00706864"/>
    <w:rsid w:val="00722771"/>
    <w:rsid w:val="00730AB1"/>
    <w:rsid w:val="0074421F"/>
    <w:rsid w:val="00760E6D"/>
    <w:rsid w:val="00765A41"/>
    <w:rsid w:val="007808B3"/>
    <w:rsid w:val="007D6208"/>
    <w:rsid w:val="007E3E1A"/>
    <w:rsid w:val="007E7954"/>
    <w:rsid w:val="007F2F3B"/>
    <w:rsid w:val="007F425E"/>
    <w:rsid w:val="00807C44"/>
    <w:rsid w:val="00810D62"/>
    <w:rsid w:val="008126D1"/>
    <w:rsid w:val="0082101B"/>
    <w:rsid w:val="00824FDA"/>
    <w:rsid w:val="008357F9"/>
    <w:rsid w:val="008C25A3"/>
    <w:rsid w:val="008C7BC3"/>
    <w:rsid w:val="008F2AAB"/>
    <w:rsid w:val="00902483"/>
    <w:rsid w:val="00902F8E"/>
    <w:rsid w:val="00903395"/>
    <w:rsid w:val="009033C2"/>
    <w:rsid w:val="0090368A"/>
    <w:rsid w:val="00936D14"/>
    <w:rsid w:val="0094309D"/>
    <w:rsid w:val="009442D0"/>
    <w:rsid w:val="009462B5"/>
    <w:rsid w:val="00975C72"/>
    <w:rsid w:val="00992206"/>
    <w:rsid w:val="00994162"/>
    <w:rsid w:val="009A59B8"/>
    <w:rsid w:val="009C1DB3"/>
    <w:rsid w:val="009F038F"/>
    <w:rsid w:val="009F049F"/>
    <w:rsid w:val="009F0AD3"/>
    <w:rsid w:val="00A026F5"/>
    <w:rsid w:val="00A11E4E"/>
    <w:rsid w:val="00A12CC3"/>
    <w:rsid w:val="00A154B8"/>
    <w:rsid w:val="00A35DC8"/>
    <w:rsid w:val="00A47A86"/>
    <w:rsid w:val="00A57737"/>
    <w:rsid w:val="00A63ED1"/>
    <w:rsid w:val="00A75E96"/>
    <w:rsid w:val="00A855F8"/>
    <w:rsid w:val="00AC6CBA"/>
    <w:rsid w:val="00AE5625"/>
    <w:rsid w:val="00B1349C"/>
    <w:rsid w:val="00B33E49"/>
    <w:rsid w:val="00B42C68"/>
    <w:rsid w:val="00B66AD8"/>
    <w:rsid w:val="00BA0F46"/>
    <w:rsid w:val="00BA79F2"/>
    <w:rsid w:val="00BB59CF"/>
    <w:rsid w:val="00BC12B2"/>
    <w:rsid w:val="00BC3D81"/>
    <w:rsid w:val="00BD008F"/>
    <w:rsid w:val="00BD03DB"/>
    <w:rsid w:val="00BD42B4"/>
    <w:rsid w:val="00BE4698"/>
    <w:rsid w:val="00BE6C6E"/>
    <w:rsid w:val="00C23579"/>
    <w:rsid w:val="00C246E5"/>
    <w:rsid w:val="00C520EE"/>
    <w:rsid w:val="00C52967"/>
    <w:rsid w:val="00C70AFE"/>
    <w:rsid w:val="00C72671"/>
    <w:rsid w:val="00C901DE"/>
    <w:rsid w:val="00CA1868"/>
    <w:rsid w:val="00CC0C48"/>
    <w:rsid w:val="00CC5E4B"/>
    <w:rsid w:val="00CD0EC4"/>
    <w:rsid w:val="00CD5D82"/>
    <w:rsid w:val="00D241E7"/>
    <w:rsid w:val="00D34C02"/>
    <w:rsid w:val="00D3594B"/>
    <w:rsid w:val="00D44622"/>
    <w:rsid w:val="00D659B6"/>
    <w:rsid w:val="00D6635C"/>
    <w:rsid w:val="00D71D63"/>
    <w:rsid w:val="00D77F82"/>
    <w:rsid w:val="00D805A4"/>
    <w:rsid w:val="00D80683"/>
    <w:rsid w:val="00DB7C73"/>
    <w:rsid w:val="00DC1D47"/>
    <w:rsid w:val="00DD7601"/>
    <w:rsid w:val="00DE0136"/>
    <w:rsid w:val="00DE420E"/>
    <w:rsid w:val="00DF2C8B"/>
    <w:rsid w:val="00DF498F"/>
    <w:rsid w:val="00E07FC5"/>
    <w:rsid w:val="00E1109D"/>
    <w:rsid w:val="00E20C0E"/>
    <w:rsid w:val="00E373DB"/>
    <w:rsid w:val="00E72DB2"/>
    <w:rsid w:val="00E85623"/>
    <w:rsid w:val="00E91610"/>
    <w:rsid w:val="00EC0035"/>
    <w:rsid w:val="00ED43CB"/>
    <w:rsid w:val="00ED75DD"/>
    <w:rsid w:val="00EE2AE8"/>
    <w:rsid w:val="00EF002A"/>
    <w:rsid w:val="00EF4311"/>
    <w:rsid w:val="00F10861"/>
    <w:rsid w:val="00F4135E"/>
    <w:rsid w:val="00F75595"/>
    <w:rsid w:val="00F757B6"/>
    <w:rsid w:val="00F83C1B"/>
    <w:rsid w:val="00FA7E11"/>
    <w:rsid w:val="00FB0EC6"/>
    <w:rsid w:val="00FB0F85"/>
    <w:rsid w:val="00FC625E"/>
    <w:rsid w:val="00FC70A1"/>
    <w:rsid w:val="00FD2601"/>
    <w:rsid w:val="00FF03F1"/>
    <w:rsid w:val="00FF4A61"/>
    <w:rsid w:val="00FF5311"/>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E3B84"/>
  <w15:chartTrackingRefBased/>
  <w15:docId w15:val="{025C97CA-156C-4BA0-9F97-77E4A3E6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61"/>
    <w:pPr>
      <w:spacing w:after="0" w:line="288" w:lineRule="auto"/>
      <w:jc w:val="both"/>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
    <w:basedOn w:val="Normal"/>
    <w:link w:val="FootnoteTextChar"/>
    <w:qFormat/>
    <w:rsid w:val="001F3661"/>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1F3661"/>
    <w:rPr>
      <w:rFonts w:ascii="Times New Roman" w:eastAsia="Times New Roman" w:hAnsi="Times New Roman" w:cs="Times New Roman"/>
      <w:sz w:val="16"/>
      <w:lang w:val="en-US"/>
    </w:rPr>
  </w:style>
  <w:style w:type="character" w:styleId="FootnoteReference">
    <w:name w:val="footnote reference"/>
    <w:aliases w:val="Footnote symbol"/>
    <w:basedOn w:val="DefaultParagraphFont"/>
    <w:unhideWhenUsed/>
    <w:qFormat/>
    <w:rsid w:val="001F3661"/>
    <w:rPr>
      <w:sz w:val="24"/>
      <w:vertAlign w:val="superscript"/>
    </w:rPr>
  </w:style>
  <w:style w:type="paragraph" w:styleId="ListParagraph">
    <w:name w:val="List Paragraph"/>
    <w:aliases w:val="body"/>
    <w:basedOn w:val="Normal"/>
    <w:link w:val="ListParagraphChar"/>
    <w:uiPriority w:val="34"/>
    <w:qFormat/>
    <w:rsid w:val="003F1CAA"/>
    <w:pPr>
      <w:ind w:left="720"/>
      <w:contextualSpacing/>
    </w:pPr>
  </w:style>
  <w:style w:type="paragraph" w:customStyle="1" w:styleId="WW-Standard">
    <w:name w:val="WW-Standard"/>
    <w:rsid w:val="003F1CAA"/>
    <w:pPr>
      <w:suppressAutoHyphens/>
      <w:spacing w:after="0" w:line="288" w:lineRule="auto"/>
      <w:jc w:val="both"/>
      <w:textAlignment w:val="baseline"/>
    </w:pPr>
    <w:rPr>
      <w:rFonts w:ascii="Times New Roman" w:eastAsia="Times New Roman" w:hAnsi="Times New Roman" w:cs="Times New Roman"/>
      <w:kern w:val="1"/>
      <w:szCs w:val="24"/>
      <w:lang w:val="en-GB" w:eastAsia="ar-SA"/>
    </w:rPr>
  </w:style>
  <w:style w:type="character" w:customStyle="1" w:styleId="ListParagraphChar">
    <w:name w:val="List Paragraph Char"/>
    <w:aliases w:val="body Char"/>
    <w:link w:val="ListParagraph"/>
    <w:locked/>
    <w:rsid w:val="003F1CAA"/>
    <w:rPr>
      <w:rFonts w:ascii="Times New Roman" w:eastAsia="Times New Roman" w:hAnsi="Times New Roman" w:cs="Times New Roman"/>
      <w:lang w:val="en-US"/>
    </w:rPr>
  </w:style>
  <w:style w:type="paragraph" w:customStyle="1" w:styleId="T11Title2">
    <w:name w:val="T11Title2"/>
    <w:basedOn w:val="Normal"/>
    <w:rsid w:val="003F1CAA"/>
    <w:pPr>
      <w:widowControl w:val="0"/>
      <w:spacing w:line="440" w:lineRule="exact"/>
      <w:ind w:left="-1701"/>
      <w:jc w:val="left"/>
    </w:pPr>
    <w:rPr>
      <w:rFonts w:ascii="Frutiger 55" w:hAnsi="Frutiger 55"/>
      <w:b/>
      <w:snapToGrid w:val="0"/>
      <w:sz w:val="36"/>
      <w:szCs w:val="20"/>
    </w:rPr>
  </w:style>
  <w:style w:type="paragraph" w:styleId="HTMLPreformatted">
    <w:name w:val="HTML Preformatted"/>
    <w:basedOn w:val="Normal"/>
    <w:link w:val="HTMLPreformattedChar"/>
    <w:uiPriority w:val="99"/>
    <w:unhideWhenUsed/>
    <w:rsid w:val="00C7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pl-PL" w:eastAsia="pl-PL"/>
    </w:rPr>
  </w:style>
  <w:style w:type="character" w:customStyle="1" w:styleId="HTMLPreformattedChar">
    <w:name w:val="HTML Preformatted Char"/>
    <w:basedOn w:val="DefaultParagraphFont"/>
    <w:link w:val="HTMLPreformatted"/>
    <w:uiPriority w:val="99"/>
    <w:rsid w:val="00C70AFE"/>
    <w:rPr>
      <w:rFonts w:ascii="Courier New" w:eastAsia="Times New Roman" w:hAnsi="Courier New" w:cs="Courier New"/>
      <w:sz w:val="20"/>
      <w:szCs w:val="20"/>
      <w:lang w:eastAsia="pl-PL"/>
    </w:rPr>
  </w:style>
  <w:style w:type="paragraph" w:styleId="BalloonText">
    <w:name w:val="Balloon Text"/>
    <w:basedOn w:val="Normal"/>
    <w:link w:val="BalloonTextChar"/>
    <w:uiPriority w:val="99"/>
    <w:semiHidden/>
    <w:unhideWhenUsed/>
    <w:rsid w:val="006968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2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835F7"/>
    <w:rPr>
      <w:sz w:val="16"/>
      <w:szCs w:val="16"/>
    </w:rPr>
  </w:style>
  <w:style w:type="paragraph" w:styleId="CommentText">
    <w:name w:val="annotation text"/>
    <w:basedOn w:val="Normal"/>
    <w:link w:val="CommentTextChar"/>
    <w:uiPriority w:val="99"/>
    <w:semiHidden/>
    <w:unhideWhenUsed/>
    <w:rsid w:val="006835F7"/>
    <w:pPr>
      <w:spacing w:line="240" w:lineRule="auto"/>
    </w:pPr>
    <w:rPr>
      <w:sz w:val="20"/>
      <w:szCs w:val="20"/>
    </w:rPr>
  </w:style>
  <w:style w:type="character" w:customStyle="1" w:styleId="CommentTextChar">
    <w:name w:val="Comment Text Char"/>
    <w:basedOn w:val="DefaultParagraphFont"/>
    <w:link w:val="CommentText"/>
    <w:uiPriority w:val="99"/>
    <w:semiHidden/>
    <w:rsid w:val="006835F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35F7"/>
    <w:rPr>
      <w:b/>
      <w:bCs/>
    </w:rPr>
  </w:style>
  <w:style w:type="character" w:customStyle="1" w:styleId="CommentSubjectChar">
    <w:name w:val="Comment Subject Char"/>
    <w:basedOn w:val="CommentTextChar"/>
    <w:link w:val="CommentSubject"/>
    <w:uiPriority w:val="99"/>
    <w:semiHidden/>
    <w:rsid w:val="006835F7"/>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74421F"/>
    <w:pPr>
      <w:spacing w:before="100" w:beforeAutospacing="1" w:after="100" w:afterAutospacing="1" w:line="240" w:lineRule="auto"/>
      <w:jc w:val="left"/>
    </w:pPr>
    <w:rPr>
      <w:sz w:val="24"/>
      <w:szCs w:val="24"/>
      <w:lang w:val="fr-BE" w:eastAsia="fr-BE" w:bidi="ne-NP"/>
    </w:rPr>
  </w:style>
  <w:style w:type="character" w:styleId="Hyperlink">
    <w:name w:val="Hyperlink"/>
    <w:basedOn w:val="DefaultParagraphFont"/>
    <w:uiPriority w:val="99"/>
    <w:unhideWhenUsed/>
    <w:rsid w:val="002310A0"/>
    <w:rPr>
      <w:color w:val="0000FF"/>
      <w:u w:val="single"/>
    </w:rPr>
  </w:style>
  <w:style w:type="character" w:customStyle="1" w:styleId="UnresolvedMention1">
    <w:name w:val="Unresolved Mention1"/>
    <w:basedOn w:val="DefaultParagraphFont"/>
    <w:uiPriority w:val="99"/>
    <w:semiHidden/>
    <w:unhideWhenUsed/>
    <w:rsid w:val="00291147"/>
    <w:rPr>
      <w:color w:val="605E5C"/>
      <w:shd w:val="clear" w:color="auto" w:fill="E1DFDD"/>
    </w:rPr>
  </w:style>
  <w:style w:type="paragraph" w:styleId="Header">
    <w:name w:val="header"/>
    <w:basedOn w:val="Normal"/>
    <w:link w:val="HeaderChar"/>
    <w:uiPriority w:val="99"/>
    <w:unhideWhenUsed/>
    <w:rsid w:val="00DE420E"/>
  </w:style>
  <w:style w:type="character" w:customStyle="1" w:styleId="HeaderChar">
    <w:name w:val="Header Char"/>
    <w:basedOn w:val="DefaultParagraphFont"/>
    <w:link w:val="Header"/>
    <w:uiPriority w:val="99"/>
    <w:rsid w:val="00DE420E"/>
    <w:rPr>
      <w:rFonts w:ascii="Times New Roman" w:eastAsia="Times New Roman" w:hAnsi="Times New Roman" w:cs="Times New Roman"/>
      <w:lang w:val="en-GB"/>
    </w:rPr>
  </w:style>
  <w:style w:type="paragraph" w:styleId="Footer">
    <w:name w:val="footer"/>
    <w:basedOn w:val="Normal"/>
    <w:link w:val="FooterChar"/>
    <w:uiPriority w:val="99"/>
    <w:unhideWhenUsed/>
    <w:rsid w:val="00DE420E"/>
  </w:style>
  <w:style w:type="character" w:customStyle="1" w:styleId="FooterChar">
    <w:name w:val="Footer Char"/>
    <w:basedOn w:val="DefaultParagraphFont"/>
    <w:link w:val="Footer"/>
    <w:uiPriority w:val="99"/>
    <w:rsid w:val="00DE420E"/>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C23579"/>
    <w:rPr>
      <w:color w:val="954F72" w:themeColor="followedHyperlink"/>
      <w:u w:val="single"/>
    </w:rPr>
  </w:style>
  <w:style w:type="paragraph" w:styleId="EndnoteText">
    <w:name w:val="endnote text"/>
    <w:basedOn w:val="Normal"/>
    <w:link w:val="EndnoteTextChar"/>
    <w:uiPriority w:val="99"/>
    <w:semiHidden/>
    <w:unhideWhenUsed/>
    <w:rsid w:val="00603A8D"/>
    <w:pPr>
      <w:spacing w:line="240" w:lineRule="auto"/>
    </w:pPr>
    <w:rPr>
      <w:sz w:val="20"/>
      <w:szCs w:val="20"/>
    </w:rPr>
  </w:style>
  <w:style w:type="character" w:customStyle="1" w:styleId="EndnoteTextChar">
    <w:name w:val="Endnote Text Char"/>
    <w:basedOn w:val="DefaultParagraphFont"/>
    <w:link w:val="EndnoteText"/>
    <w:uiPriority w:val="99"/>
    <w:semiHidden/>
    <w:rsid w:val="00603A8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03A8D"/>
    <w:rPr>
      <w:vertAlign w:val="superscript"/>
    </w:rPr>
  </w:style>
  <w:style w:type="character" w:styleId="UnresolvedMention">
    <w:name w:val="Unresolved Mention"/>
    <w:basedOn w:val="DefaultParagraphFont"/>
    <w:uiPriority w:val="99"/>
    <w:semiHidden/>
    <w:unhideWhenUsed/>
    <w:rsid w:val="00627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2252">
      <w:bodyDiv w:val="1"/>
      <w:marLeft w:val="0"/>
      <w:marRight w:val="0"/>
      <w:marTop w:val="0"/>
      <w:marBottom w:val="0"/>
      <w:divBdr>
        <w:top w:val="none" w:sz="0" w:space="0" w:color="auto"/>
        <w:left w:val="none" w:sz="0" w:space="0" w:color="auto"/>
        <w:bottom w:val="none" w:sz="0" w:space="0" w:color="auto"/>
        <w:right w:val="none" w:sz="0" w:space="0" w:color="auto"/>
      </w:divBdr>
    </w:div>
    <w:div w:id="448428725">
      <w:bodyDiv w:val="1"/>
      <w:marLeft w:val="0"/>
      <w:marRight w:val="0"/>
      <w:marTop w:val="0"/>
      <w:marBottom w:val="0"/>
      <w:divBdr>
        <w:top w:val="none" w:sz="0" w:space="0" w:color="auto"/>
        <w:left w:val="none" w:sz="0" w:space="0" w:color="auto"/>
        <w:bottom w:val="none" w:sz="0" w:space="0" w:color="auto"/>
        <w:right w:val="none" w:sz="0" w:space="0" w:color="auto"/>
      </w:divBdr>
    </w:div>
    <w:div w:id="651104101">
      <w:bodyDiv w:val="1"/>
      <w:marLeft w:val="0"/>
      <w:marRight w:val="0"/>
      <w:marTop w:val="0"/>
      <w:marBottom w:val="0"/>
      <w:divBdr>
        <w:top w:val="none" w:sz="0" w:space="0" w:color="auto"/>
        <w:left w:val="none" w:sz="0" w:space="0" w:color="auto"/>
        <w:bottom w:val="none" w:sz="0" w:space="0" w:color="auto"/>
        <w:right w:val="none" w:sz="0" w:space="0" w:color="auto"/>
      </w:divBdr>
    </w:div>
    <w:div w:id="827676670">
      <w:bodyDiv w:val="1"/>
      <w:marLeft w:val="0"/>
      <w:marRight w:val="0"/>
      <w:marTop w:val="0"/>
      <w:marBottom w:val="0"/>
      <w:divBdr>
        <w:top w:val="none" w:sz="0" w:space="0" w:color="auto"/>
        <w:left w:val="none" w:sz="0" w:space="0" w:color="auto"/>
        <w:bottom w:val="none" w:sz="0" w:space="0" w:color="auto"/>
        <w:right w:val="none" w:sz="0" w:space="0" w:color="auto"/>
      </w:divBdr>
    </w:div>
    <w:div w:id="830950148">
      <w:bodyDiv w:val="1"/>
      <w:marLeft w:val="0"/>
      <w:marRight w:val="0"/>
      <w:marTop w:val="0"/>
      <w:marBottom w:val="0"/>
      <w:divBdr>
        <w:top w:val="none" w:sz="0" w:space="0" w:color="auto"/>
        <w:left w:val="none" w:sz="0" w:space="0" w:color="auto"/>
        <w:bottom w:val="none" w:sz="0" w:space="0" w:color="auto"/>
        <w:right w:val="none" w:sz="0" w:space="0" w:color="auto"/>
      </w:divBdr>
    </w:div>
    <w:div w:id="1016931668">
      <w:bodyDiv w:val="1"/>
      <w:marLeft w:val="0"/>
      <w:marRight w:val="0"/>
      <w:marTop w:val="0"/>
      <w:marBottom w:val="0"/>
      <w:divBdr>
        <w:top w:val="none" w:sz="0" w:space="0" w:color="auto"/>
        <w:left w:val="none" w:sz="0" w:space="0" w:color="auto"/>
        <w:bottom w:val="none" w:sz="0" w:space="0" w:color="auto"/>
        <w:right w:val="none" w:sz="0" w:space="0" w:color="auto"/>
      </w:divBdr>
    </w:div>
    <w:div w:id="1279875986">
      <w:bodyDiv w:val="1"/>
      <w:marLeft w:val="0"/>
      <w:marRight w:val="0"/>
      <w:marTop w:val="0"/>
      <w:marBottom w:val="0"/>
      <w:divBdr>
        <w:top w:val="none" w:sz="0" w:space="0" w:color="auto"/>
        <w:left w:val="none" w:sz="0" w:space="0" w:color="auto"/>
        <w:bottom w:val="none" w:sz="0" w:space="0" w:color="auto"/>
        <w:right w:val="none" w:sz="0" w:space="0" w:color="auto"/>
      </w:divBdr>
    </w:div>
    <w:div w:id="1294556195">
      <w:bodyDiv w:val="1"/>
      <w:marLeft w:val="0"/>
      <w:marRight w:val="0"/>
      <w:marTop w:val="0"/>
      <w:marBottom w:val="0"/>
      <w:divBdr>
        <w:top w:val="none" w:sz="0" w:space="0" w:color="auto"/>
        <w:left w:val="none" w:sz="0" w:space="0" w:color="auto"/>
        <w:bottom w:val="none" w:sz="0" w:space="0" w:color="auto"/>
        <w:right w:val="none" w:sz="0" w:space="0" w:color="auto"/>
      </w:divBdr>
    </w:div>
    <w:div w:id="1797019200">
      <w:bodyDiv w:val="1"/>
      <w:marLeft w:val="0"/>
      <w:marRight w:val="0"/>
      <w:marTop w:val="0"/>
      <w:marBottom w:val="0"/>
      <w:divBdr>
        <w:top w:val="none" w:sz="0" w:space="0" w:color="auto"/>
        <w:left w:val="none" w:sz="0" w:space="0" w:color="auto"/>
        <w:bottom w:val="none" w:sz="0" w:space="0" w:color="auto"/>
        <w:right w:val="none" w:sz="0" w:space="0" w:color="auto"/>
      </w:divBdr>
    </w:div>
    <w:div w:id="1889797984">
      <w:bodyDiv w:val="1"/>
      <w:marLeft w:val="0"/>
      <w:marRight w:val="0"/>
      <w:marTop w:val="0"/>
      <w:marBottom w:val="0"/>
      <w:divBdr>
        <w:top w:val="none" w:sz="0" w:space="0" w:color="auto"/>
        <w:left w:val="none" w:sz="0" w:space="0" w:color="auto"/>
        <w:bottom w:val="none" w:sz="0" w:space="0" w:color="auto"/>
        <w:right w:val="none" w:sz="0" w:space="0" w:color="auto"/>
      </w:divBdr>
    </w:div>
    <w:div w:id="20115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berspage.eesc.europa.eu/members/2026933" TargetMode="External"/><Relationship Id="rId18" Type="http://schemas.openxmlformats.org/officeDocument/2006/relationships/hyperlink" Target="http://memberspage.eesc.europa.eu/Detail.aspx?id=2026892&amp;f=5&amp;s=0&amp;o1=0&amp;o2=0&amp;o3=0&amp;bur=201567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memberspage.eesc.europa.eu/Detail.aspx?id=2026929&amp;f=5&amp;s=0&amp;o1=0&amp;o2=0&amp;o3=0&amp;bur=2015670" TargetMode="External"/><Relationship Id="rId7" Type="http://schemas.openxmlformats.org/officeDocument/2006/relationships/settings" Target="settings.xml"/><Relationship Id="rId12" Type="http://schemas.openxmlformats.org/officeDocument/2006/relationships/hyperlink" Target="https://memberspage.eesc.europa.eu/members/2030280" TargetMode="External"/><Relationship Id="rId17" Type="http://schemas.openxmlformats.org/officeDocument/2006/relationships/hyperlink" Target="http://memberspage.eesc.europa.eu/Detail.aspx?id=2014440&amp;f=5&amp;s=0&amp;o1=0&amp;o2=0&amp;o3=0&amp;bur=201567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spage.eesc.europa.eu/Search/Details/Person/2034101?onlyActiveMandate=True&amp;isMinimal=False" TargetMode="External"/><Relationship Id="rId20" Type="http://schemas.openxmlformats.org/officeDocument/2006/relationships/hyperlink" Target="http://memberspage.eesc.europa.eu/Search/Details/Person/2032973?onlyActiveMandate=True&amp;isMinimal=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emberspage.eesc.europa.eu/Detail.aspx?id=2014440&amp;f=5&amp;s=0&amp;o1=0&amp;o2=0&amp;o3=0&amp;bur=2015670" TargetMode="External"/><Relationship Id="rId23" Type="http://schemas.openxmlformats.org/officeDocument/2006/relationships/hyperlink" Target="https://www.eesc.europa.eu/en/our-work/opinions-information-reports/opinions/european-year-skills-2023" TargetMode="External"/><Relationship Id="rId10" Type="http://schemas.openxmlformats.org/officeDocument/2006/relationships/endnotes" Target="endnotes.xml"/><Relationship Id="rId19" Type="http://schemas.openxmlformats.org/officeDocument/2006/relationships/hyperlink" Target="http://memberspage.eesc.europa.eu/Detail.aspx?id=2016193&amp;f=5&amp;s=0&amp;o1=0&amp;o2=0&amp;o3=0&amp;bur=20156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mberspage.eesc.europa.eu/Detail.aspx?id=2001276&amp;f=5&amp;s=0&amp;o1=0&amp;o2=0&amp;o3=0&amp;bur=2015670" TargetMode="External"/><Relationship Id="rId22" Type="http://schemas.openxmlformats.org/officeDocument/2006/relationships/hyperlink" Target="https://www.eesc.europa.eu/en/our-work/opinions-information-reports/opinions/european-year-skills-202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esc.europa.eu/en/our-work/civil-society-citizens-participation/youth-engagement-eesc/documents" TargetMode="External"/><Relationship Id="rId3" Type="http://schemas.openxmlformats.org/officeDocument/2006/relationships/hyperlink" Target="https://www.consilium.europa.eu/fr/meetings/epsco/2023/06/12-13/" TargetMode="External"/><Relationship Id="rId7" Type="http://schemas.openxmlformats.org/officeDocument/2006/relationships/hyperlink" Target="https://www.2021portugal.eu/en/porto-social-summit/porto-social-commitment" TargetMode="External"/><Relationship Id="rId12" Type="http://schemas.openxmlformats.org/officeDocument/2006/relationships/hyperlink" Target="https://www.eesc.europa.eu/en/about/rules-procedure-and-code-conduct-members-eesc" TargetMode="External"/><Relationship Id="rId2" Type="http://schemas.openxmlformats.org/officeDocument/2006/relationships/hyperlink" Target="https://www.consilium.europa.eu/en/policies/platform-work-eu/" TargetMode="External"/><Relationship Id="rId1" Type="http://schemas.openxmlformats.org/officeDocument/2006/relationships/hyperlink" Target="https://www.eesc.europa.eu/en/about/political-organisation/eesc-president/priorities/manifesto" TargetMode="External"/><Relationship Id="rId6" Type="http://schemas.openxmlformats.org/officeDocument/2006/relationships/hyperlink" Target="https://www.eesc.europa.eu/en/our-work/opinions-information-reports/opinions/democracy-work" TargetMode="External"/><Relationship Id="rId11" Type="http://schemas.openxmlformats.org/officeDocument/2006/relationships/hyperlink" Target="https://www.eesc.europa.eu/en/work-with-us/public-procurement/low-and-middle-value-contracts/study-structured-youth-engagement-aftermath-european-year-youth-2022-mapping-local-national-eu-and-international-good" TargetMode="External"/><Relationship Id="rId5" Type="http://schemas.openxmlformats.org/officeDocument/2006/relationships/hyperlink" Target="https://data.consilium.europa.eu/doc/document/ST-9650-2023-INIT/en/pdf" TargetMode="External"/><Relationship Id="rId10" Type="http://schemas.openxmlformats.org/officeDocument/2006/relationships/hyperlink" Target="https://www.eesc.europa.eu/en/our-work/opinions-information-reports/opinions/towards-structured-youth-engagement-climate-and-sustainability-eu-decision-making-process-own-initiative-opinion" TargetMode="External"/><Relationship Id="rId4" Type="http://schemas.openxmlformats.org/officeDocument/2006/relationships/hyperlink" Target="https://ec.europa.eu/social/main.jsp?langId=en&amp;catId=89&amp;newsId=10299&amp;furtherNews=yes" TargetMode="External"/><Relationship Id="rId9" Type="http://schemas.openxmlformats.org/officeDocument/2006/relationships/hyperlink" Target="https://www.eesc.europa.eu/en/our-work/opinions-information-reports/opinions/eu-youth-te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XMKEDVFMMJCW-1082970386-1481</_dlc_DocId>
    <_dlc_DocIdUrl xmlns="56a5413d-c261-4a00-870c-a20d3379ae6d">
      <Url>http://dm/eesc/2023/_layouts/15/DocIdRedir.aspx?ID=XMKEDVFMMJCW-1082970386-1481</Url>
      <Description>XMKEDVFMMJCW-1082970386-1481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2023-07-10T12:00:00+00:00</ProductionDate>
    <DocumentNumber xmlns="9a0d858a-c769-47b2-a4d1-2992261f5e4d">3340</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56a5413d-c261-4a00-870c-a20d3379ae6d">
      <Value>32</Value>
      <Value>30</Value>
      <Value>44</Value>
      <Value>16</Value>
      <Value>10</Value>
      <Value>9</Value>
      <Value>8</Value>
      <Value>7</Value>
      <Value>5</Value>
      <Value>3</Value>
      <Value>1</Value>
      <Value>24</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56a5413d-c261-4a00-870c-a20d3379ae6d"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8535</FicheNumber>
    <OriginalSender xmlns="56a5413d-c261-4a00-870c-a20d3379ae6d">
      <UserInfo>
        <DisplayName>TDriveSVCUserProd</DisplayName>
        <AccountId>1467</AccountId>
        <AccountType/>
      </UserInfo>
    </OriginalSender>
    <DocumentPart xmlns="56a5413d-c261-4a00-870c-a20d3379ae6d">0</DocumentPart>
    <AdoptionDate xmlns="56a5413d-c261-4a00-870c-a20d3379ae6d" xsi:nil="true"/>
    <RequestingService xmlns="56a5413d-c261-4a00-870c-a20d3379ae6d">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 xsi:nil="true"/>
    <DossierName_0 xmlns="http://schemas.microsoft.com/sharepoint/v3/fields">
      <Terms xmlns="http://schemas.microsoft.com/office/infopath/2007/PartnerControls"/>
    </DossierName_0>
    <DocumentVersion xmlns="56a5413d-c261-4a00-870c-a20d3379ae6d">0</Documen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7" ma:contentTypeDescription="Defines the documents for Document Manager V2" ma:contentTypeScope="" ma:versionID="ce575392270fc4a02e7835de5cc3fd62">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3573aae98f46cf99a59b5abbcb13634c"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CEFAB-4096-49F0-8944-EFCA1DF7E986}">
  <ds:schemaRefs>
    <ds:schemaRef ds:uri="http://schemas.microsoft.com/office/2006/metadata/properties"/>
    <ds:schemaRef ds:uri="http://schemas.microsoft.com/office/infopath/2007/PartnerControls"/>
    <ds:schemaRef ds:uri="56a5413d-c261-4a00-870c-a20d3379ae6d"/>
    <ds:schemaRef ds:uri="http://schemas.microsoft.com/sharepoint/v3/fields"/>
    <ds:schemaRef ds:uri="9a0d858a-c769-47b2-a4d1-2992261f5e4d"/>
  </ds:schemaRefs>
</ds:datastoreItem>
</file>

<file path=customXml/itemProps2.xml><?xml version="1.0" encoding="utf-8"?>
<ds:datastoreItem xmlns:ds="http://schemas.openxmlformats.org/officeDocument/2006/customXml" ds:itemID="{F2A0BD27-FB41-43AF-B5E2-8BCE2195FF6D}">
  <ds:schemaRefs>
    <ds:schemaRef ds:uri="http://schemas.microsoft.com/sharepoint/v3/contenttype/forms"/>
  </ds:schemaRefs>
</ds:datastoreItem>
</file>

<file path=customXml/itemProps3.xml><?xml version="1.0" encoding="utf-8"?>
<ds:datastoreItem xmlns:ds="http://schemas.openxmlformats.org/officeDocument/2006/customXml" ds:itemID="{8AAA3D59-ED98-44D6-9D4F-1CEC32F41B90}">
  <ds:schemaRefs>
    <ds:schemaRef ds:uri="http://schemas.microsoft.com/sharepoint/events"/>
  </ds:schemaRefs>
</ds:datastoreItem>
</file>

<file path=customXml/itemProps4.xml><?xml version="1.0" encoding="utf-8"?>
<ds:datastoreItem xmlns:ds="http://schemas.openxmlformats.org/officeDocument/2006/customXml" ds:itemID="{234293CE-8EE4-4948-AAF4-63D5A9A4D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413d-c261-4a00-870c-a20d3379ae6d"/>
    <ds:schemaRef ds:uri="http://schemas.microsoft.com/sharepoint/v3/fields"/>
    <ds:schemaRef ds:uri="9a0d858a-c769-47b2-a4d1-2992261f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3616</Words>
  <Characters>19889</Characters>
  <Application>Microsoft Office Word</Application>
  <DocSecurity>0</DocSecurity>
  <Lines>165</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LMO_Priorities &amp; Work Programme 2023 - 25</dc:title>
  <dc:subject>Consultative work, various</dc:subject>
  <dc:creator>Ana Dumitrache</dc:creator>
  <cp:keywords>EESC-2023-03340-00-00-TCD-TRA-EN</cp:keywords>
  <dc:description>Rapporteur: -  Original language: - EN Date of document: - 10/07/2023 Date of meeting: -  External documents: -  Administrator responsible: - MME DUMITRACHE Ana</dc:description>
  <cp:lastModifiedBy>Dumitrache Ana</cp:lastModifiedBy>
  <cp:revision>4</cp:revision>
  <dcterms:created xsi:type="dcterms:W3CDTF">2023-10-09T14:56:00Z</dcterms:created>
  <dcterms:modified xsi:type="dcterms:W3CDTF">2023-11-15T09:43:00Z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10/07/2023</vt:lpwstr>
  </property>
  <property fmtid="{D5CDD505-2E9C-101B-9397-08002B2CF9AE}" pid="4" name="Pref_Time">
    <vt:lpwstr>13:56:37</vt:lpwstr>
  </property>
  <property fmtid="{D5CDD505-2E9C-101B-9397-08002B2CF9AE}" pid="5" name="Pref_User">
    <vt:lpwstr>pacup</vt:lpwstr>
  </property>
  <property fmtid="{D5CDD505-2E9C-101B-9397-08002B2CF9AE}" pid="6" name="Pref_FileName">
    <vt:lpwstr>EESC-2023-03340-00-00-TCD-TRA-EN-CRR.docx</vt:lpwstr>
  </property>
  <property fmtid="{D5CDD505-2E9C-101B-9397-08002B2CF9AE}" pid="7" name="ContentTypeId">
    <vt:lpwstr>0x010100EA97B91038054C99906057A708A1480A00F21F261A008CE24F831780CB6038A2FC</vt:lpwstr>
  </property>
  <property fmtid="{D5CDD505-2E9C-101B-9397-08002B2CF9AE}" pid="8" name="_dlc_DocIdItemGuid">
    <vt:lpwstr>17780d9b-7d97-4c83-acc7-5abc5244293d</vt:lpwstr>
  </property>
  <property fmtid="{D5CDD505-2E9C-101B-9397-08002B2CF9AE}" pid="9" name="AvailableTranslations">
    <vt:lpwstr>24;#PL|1e03da61-4678-4e07-b136-b5024ca9197b;#32;#PT|50ccc04a-eadd-42ae-a0cb-acaf45f812ba;#44;#BG|1a1b3951-7821-4e6a-85f5-5673fc08bd2c;#30;#IT|0774613c-01ed-4e5d-a25d-11d2388de825;#5;#EN|f2175f21-25d7-44a3-96da-d6a61b075e1b;#16;#DE|f6b31e5a-26fa-4935-b661-318e46daf27e;#10;#FR|d2afafd3-4c81-4f60-8f52-ee33f2f54ff3</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3340</vt:i4>
  </property>
  <property fmtid="{D5CDD505-2E9C-101B-9397-08002B2CF9AE}" pid="14" name="FicheYear">
    <vt:i4>2023</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Emploi, affaires sociales, citoyenneté</vt:lpwstr>
  </property>
  <property fmtid="{D5CDD505-2E9C-101B-9397-08002B2CF9AE}" pid="22" name="Confidentiality">
    <vt:lpwstr>9;#Unrestricted|826e22d7-d029-4ec0-a450-0c28ff673572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9;#Unrestricted|826e22d7-d029-4ec0-a450-0c28ff673572;#8;#TCD|cd9d6eb6-3f4f-424a-b2d1-57c9d450eaaf;#7;#Final|ea5e6674-7b27-4bac-b091-73adbb394efe;#5;#EN|f2175f21-25d7-44a3-96da-d6a61b075e1b;#3;#TRA|150d2a88-1431-44e6-a8ca-0bb753ab8672;#1;#EESC|422833ec-8d7e-4e65-8e4e-8bed07ffb729</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8535</vt:i4>
  </property>
  <property fmtid="{D5CDD505-2E9C-101B-9397-08002B2CF9AE}" pid="35" name="DocumentLanguage">
    <vt:lpwstr>5;#EN|f2175f21-25d7-44a3-96da-d6a61b075e1b</vt:lpwstr>
  </property>
  <property fmtid="{D5CDD505-2E9C-101B-9397-08002B2CF9AE}" pid="36" name="_docset_NoMedatataSyncRequired">
    <vt:lpwstr>False</vt:lpwstr>
  </property>
  <property fmtid="{D5CDD505-2E9C-101B-9397-08002B2CF9AE}" pid="37" name="DocumentLanguage_0">
    <vt:lpwstr>EN|f2175f21-25d7-44a3-96da-d6a61b075e1b</vt:lpwstr>
  </property>
</Properties>
</file>