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463FF" w:rsidR="004D7AC0" w:rsidP="00116A1C" w:rsidRDefault="00E11732" w14:paraId="785AE44C" w14:textId="6FDACB5E">
      <w:pPr>
        <w:jc w:val="center"/>
      </w:pPr>
      <w:r>
        <w:rPr>
          <w:noProof/>
        </w:rPr>
        <w:drawing>
          <wp:inline distT="0" distB="0" distL="0" distR="0" wp14:anchorId="3E4C4916" wp14:editId="7BCFD993">
            <wp:extent cx="1792605" cy="1239520"/>
            <wp:effectExtent l="0" t="0" r="0" b="0"/>
            <wp:docPr id="2" name="Picture 2" title="EESCLogo_PT"/>
            <wp:cNvGraphicFramePr/>
            <a:graphic xmlns:a="http://schemas.openxmlformats.org/drawingml/2006/main">
              <a:graphicData uri="http://schemas.openxmlformats.org/drawingml/2006/picture">
                <pic:pic xmlns:pic="http://schemas.openxmlformats.org/drawingml/2006/picture">
                  <pic:nvPicPr>
                    <pic:cNvPr id="2" name="Picture 2" title="EESCLogo_P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2605" cy="1239520"/>
                    </a:xfrm>
                    <a:prstGeom prst="rect">
                      <a:avLst/>
                    </a:prstGeom>
                  </pic:spPr>
                </pic:pic>
              </a:graphicData>
            </a:graphic>
          </wp:inline>
        </w:drawing>
      </w:r>
      <w:r w:rsidR="00721342">
        <w:rPr>
          <w:noProof/>
          <w:sz w:val="20"/>
        </w:rPr>
        <mc:AlternateContent>
          <mc:Choice Requires="wps">
            <w:drawing>
              <wp:anchor distT="0" distB="0" distL="114300" distR="114300" simplePos="0" relativeHeight="251657728" behindDoc="1" locked="0" layoutInCell="0" allowOverlap="1" wp14:editId="37B8D5CD" wp14:anchorId="60050413">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765C4F" w:rsidP="004D7AC0" w:rsidRDefault="00765C4F" w14:paraId="2AA40ECF" w14:textId="77777777">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050413">
                <v:stroke joinstyle="miter"/>
                <v:path gradientshapeok="t" o:connecttype="rect"/>
              </v:shapetype>
              <v:shape id="Text Box 17"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765C4F" w:rsidP="004D7AC0" w:rsidRDefault="00765C4F" w14:paraId="2AA40ECF" w14:textId="77777777">
                      <w:pPr>
                        <w:jc w:val="center"/>
                        <w:rPr>
                          <w:rFonts w:ascii="Arial" w:hAnsi="Arial" w:cs="Arial"/>
                          <w:b/>
                          <w:bCs/>
                          <w:sz w:val="48"/>
                        </w:rPr>
                      </w:pPr>
                      <w:r>
                        <w:rPr>
                          <w:rFonts w:ascii="Arial" w:hAnsi="Arial"/>
                          <w:b/>
                          <w:sz w:val="48"/>
                        </w:rPr>
                        <w:t>PT</w:t>
                      </w:r>
                    </w:p>
                  </w:txbxContent>
                </v:textbox>
                <w10:wrap anchorx="page" anchory="page"/>
              </v:shape>
            </w:pict>
          </mc:Fallback>
        </mc:AlternateContent>
      </w:r>
    </w:p>
    <w:p w:rsidRPr="005463FF" w:rsidR="004D7AC0" w:rsidP="00116A1C" w:rsidRDefault="004D7AC0" w14:paraId="51F52D79" w14:textId="77777777"/>
    <w:p w:rsidRPr="005463FF" w:rsidR="004D7AC0" w:rsidP="00116A1C" w:rsidRDefault="00014C93" w14:paraId="45DE4A28" w14:textId="31F2306E">
      <w:pPr>
        <w:jc w:val="right"/>
      </w:pPr>
      <w:r>
        <w:t>Bruxelas, 4 de julho de 2023</w:t>
      </w:r>
    </w:p>
    <w:p w:rsidRPr="005463FF" w:rsidR="004D7AC0" w:rsidRDefault="004D7AC0" w14:paraId="7BCFBA24" w14:textId="77777777"/>
    <w:p w:rsidRPr="005463FF" w:rsidR="004D7AC0" w:rsidRDefault="004D7AC0" w14:paraId="6B250092" w14:textId="77777777"/>
    <w:p w:rsidRPr="005463FF" w:rsidR="004D7AC0" w:rsidRDefault="004D7AC0" w14:paraId="0593C6DF" w14:textId="77777777"/>
    <w:tbl>
      <w:tblPr>
        <w:tblW w:w="0" w:type="auto"/>
        <w:tblLook w:val="04A0" w:firstRow="1" w:lastRow="0" w:firstColumn="1" w:lastColumn="0" w:noHBand="0" w:noVBand="1"/>
      </w:tblPr>
      <w:tblGrid>
        <w:gridCol w:w="9289"/>
      </w:tblGrid>
      <w:tr w:rsidRPr="005463FF" w:rsidR="004D7AC0" w:rsidTr="00662436" w14:paraId="6D7B3453" w14:textId="77777777">
        <w:tc>
          <w:tcPr>
            <w:tcW w:w="9289" w:type="dxa"/>
            <w:tcBorders>
              <w:bottom w:val="double" w:color="auto" w:sz="4" w:space="0"/>
            </w:tcBorders>
          </w:tcPr>
          <w:p w:rsidRPr="005463FF" w:rsidR="001760E9" w:rsidRDefault="00DA2D88" w14:paraId="3B286D4E" w14:textId="3338AEF3">
            <w:pPr>
              <w:snapToGrid w:val="0"/>
              <w:jc w:val="center"/>
              <w:rPr>
                <w:b/>
                <w:sz w:val="32"/>
              </w:rPr>
            </w:pPr>
            <w:r>
              <w:rPr>
                <w:b/>
                <w:sz w:val="32"/>
              </w:rPr>
              <w:t>579.ª REUNIÃO PLENÁRIA</w:t>
            </w:r>
          </w:p>
          <w:p w:rsidRPr="005463FF" w:rsidR="001760E9" w:rsidRDefault="001760E9" w14:paraId="6C87A626" w14:textId="0AE2882C">
            <w:pPr>
              <w:snapToGrid w:val="0"/>
              <w:jc w:val="center"/>
              <w:rPr>
                <w:b/>
                <w:sz w:val="32"/>
              </w:rPr>
            </w:pPr>
          </w:p>
          <w:p w:rsidRPr="005463FF" w:rsidR="001760E9" w:rsidRDefault="002761B2" w14:paraId="6CF7229C" w14:textId="19A4B632">
            <w:pPr>
              <w:snapToGrid w:val="0"/>
              <w:jc w:val="center"/>
              <w:rPr>
                <w:b/>
                <w:sz w:val="32"/>
              </w:rPr>
            </w:pPr>
            <w:r>
              <w:rPr>
                <w:b/>
                <w:sz w:val="32"/>
              </w:rPr>
              <w:t>14 e 15 de junho de 2023</w:t>
            </w:r>
          </w:p>
          <w:p w:rsidRPr="005463FF" w:rsidR="001760E9" w:rsidRDefault="001760E9" w14:paraId="0C44BD01" w14:textId="2F8EBB07">
            <w:pPr>
              <w:snapToGrid w:val="0"/>
              <w:jc w:val="center"/>
              <w:rPr>
                <w:b/>
                <w:sz w:val="32"/>
              </w:rPr>
            </w:pPr>
          </w:p>
          <w:p w:rsidRPr="005463FF" w:rsidR="004D7AC0" w:rsidRDefault="00CF2F88" w14:paraId="114106CC" w14:textId="11A9DA7B">
            <w:pPr>
              <w:snapToGrid w:val="0"/>
              <w:jc w:val="center"/>
              <w:rPr>
                <w:rFonts w:eastAsia="MS Mincho"/>
                <w:b/>
                <w:sz w:val="32"/>
                <w:szCs w:val="32"/>
              </w:rPr>
            </w:pPr>
            <w:r>
              <w:rPr>
                <w:b/>
                <w:sz w:val="32"/>
              </w:rPr>
              <w:t>SÍNTESE DOS PARECERES, RESOLUÇÕES E RELATÓRIOS DE INFORMAÇÃO E AVALIAÇÃO ADOTADOS</w:t>
            </w:r>
          </w:p>
          <w:p w:rsidRPr="005463FF" w:rsidR="004D7AC0" w:rsidRDefault="004D7AC0" w14:paraId="06AE72EA" w14:textId="77777777">
            <w:pPr>
              <w:snapToGrid w:val="0"/>
            </w:pPr>
          </w:p>
        </w:tc>
      </w:tr>
      <w:tr w:rsidRPr="005463FF" w:rsidR="004D7AC0" w:rsidTr="00662436" w14:paraId="45EAB22F" w14:textId="77777777">
        <w:tc>
          <w:tcPr>
            <w:tcW w:w="9289" w:type="dxa"/>
            <w:tcBorders>
              <w:top w:val="double" w:color="auto" w:sz="4" w:space="0"/>
              <w:left w:val="double" w:color="auto" w:sz="4" w:space="0"/>
              <w:bottom w:val="double" w:color="auto" w:sz="4" w:space="0"/>
              <w:right w:val="double" w:color="auto" w:sz="4" w:space="0"/>
            </w:tcBorders>
          </w:tcPr>
          <w:p w:rsidR="00B16284" w:rsidRDefault="004D7AC0" w14:paraId="0A87E35B" w14:textId="77777777">
            <w:pPr>
              <w:snapToGrid w:val="0"/>
              <w:jc w:val="center"/>
            </w:pPr>
            <w:r>
              <w:t>O presente documento pode ser consultado nas línguas oficiais no sítio Web do CESE, no seguinte endereço:</w:t>
            </w:r>
          </w:p>
          <w:p w:rsidR="00B16284" w:rsidRDefault="00B16284" w14:paraId="4F26A4CE" w14:textId="77777777">
            <w:pPr>
              <w:snapToGrid w:val="0"/>
              <w:jc w:val="center"/>
            </w:pPr>
          </w:p>
          <w:p w:rsidRPr="005463FF" w:rsidR="004D7AC0" w:rsidRDefault="007E421A" w14:paraId="2A9352A2" w14:textId="0680ADB6">
            <w:pPr>
              <w:snapToGrid w:val="0"/>
              <w:jc w:val="center"/>
            </w:pPr>
            <w:hyperlink w:history="1" r:id="rId13">
              <w:r w:rsidR="00E11732">
                <w:rPr>
                  <w:rStyle w:val="Hyperlink"/>
                  <w:highlight w:val="yellow"/>
                </w:rPr>
                <w:t>http://www.eesc.europa.eu/pt/our-work/opinions-information-reports/plenary-session-summaries</w:t>
              </w:r>
            </w:hyperlink>
          </w:p>
          <w:p w:rsidRPr="005463FF" w:rsidR="004D7AC0" w:rsidRDefault="004D7AC0" w14:paraId="70D5DBB4" w14:textId="77777777">
            <w:pPr>
              <w:snapToGrid w:val="0"/>
              <w:jc w:val="center"/>
            </w:pPr>
          </w:p>
          <w:p w:rsidRPr="005463FF" w:rsidR="004D7AC0" w:rsidRDefault="004D7AC0" w14:paraId="575A73D6" w14:textId="77777777">
            <w:pPr>
              <w:snapToGrid w:val="0"/>
              <w:jc w:val="center"/>
              <w:rPr>
                <w:rFonts w:eastAsia="SimSun"/>
              </w:rPr>
            </w:pPr>
          </w:p>
          <w:p w:rsidR="00B16284" w:rsidRDefault="004D7AC0" w14:paraId="1C64BC20" w14:textId="77777777">
            <w:pPr>
              <w:snapToGrid w:val="0"/>
              <w:jc w:val="center"/>
            </w:pPr>
            <w:r>
              <w:t>Os pareceres mencionados podem ser consultados em linha através do motor de busca do CESE:</w:t>
            </w:r>
          </w:p>
          <w:p w:rsidR="00B16284" w:rsidRDefault="00B16284" w14:paraId="7A5411A5" w14:textId="77777777">
            <w:pPr>
              <w:snapToGrid w:val="0"/>
              <w:jc w:val="center"/>
            </w:pPr>
          </w:p>
          <w:p w:rsidRPr="005463FF" w:rsidR="004D7AC0" w:rsidRDefault="007E421A" w14:paraId="441AC4DD" w14:textId="1194D751">
            <w:pPr>
              <w:snapToGrid w:val="0"/>
              <w:jc w:val="center"/>
            </w:pPr>
            <w:hyperlink w:history="1" r:id="rId14">
              <w:r w:rsidR="00E11732">
                <w:rPr>
                  <w:rStyle w:val="Hyperlink"/>
                </w:rPr>
                <w:t>https://dmsearch.eesc.europa.eu/search/opinion</w:t>
              </w:r>
            </w:hyperlink>
          </w:p>
          <w:p w:rsidRPr="005463FF" w:rsidR="004D7AC0" w:rsidRDefault="004D7AC0" w14:paraId="51FF303F" w14:textId="77777777">
            <w:pPr>
              <w:snapToGrid w:val="0"/>
              <w:jc w:val="center"/>
            </w:pPr>
          </w:p>
        </w:tc>
      </w:tr>
    </w:tbl>
    <w:p w:rsidRPr="005463FF" w:rsidR="004D7AC0" w:rsidRDefault="004D7AC0" w14:paraId="57C291FC" w14:textId="77777777"/>
    <w:p w:rsidRPr="005463FF" w:rsidR="004D7AC0" w:rsidRDefault="004D7AC0" w14:paraId="5E675360" w14:textId="77777777"/>
    <w:p w:rsidRPr="005463FF" w:rsidR="007B7C40" w:rsidRDefault="007B7C40" w14:paraId="3CF67A1E" w14:textId="77777777">
      <w:pPr>
        <w:sectPr w:rsidRPr="005463FF" w:rsidR="007B7C40" w:rsidSect="006D1EA4">
          <w:headerReference w:type="even" r:id="rId15"/>
          <w:headerReference w:type="default" r:id="rId16"/>
          <w:footerReference w:type="even" r:id="rId17"/>
          <w:footerReference w:type="default" r:id="rId18"/>
          <w:headerReference w:type="first" r:id="rId19"/>
          <w:footerReference w:type="first" r:id="rId20"/>
          <w:pgSz w:w="11907" w:h="16839"/>
          <w:pgMar w:top="1417" w:right="1417" w:bottom="1417" w:left="1417" w:header="709" w:footer="709" w:gutter="0"/>
          <w:pgNumType w:start="1"/>
          <w:cols w:space="708"/>
          <w:docGrid w:linePitch="360"/>
        </w:sectPr>
      </w:pPr>
    </w:p>
    <w:p w:rsidRPr="005463FF" w:rsidR="004D7AC0" w:rsidP="002B7C5C" w:rsidRDefault="004D7AC0" w14:paraId="56B7AE7C" w14:textId="77777777">
      <w:pPr>
        <w:ind w:hanging="284"/>
        <w:rPr>
          <w:b/>
        </w:rPr>
      </w:pPr>
    </w:p>
    <w:sdt>
      <w:sdtPr>
        <w:rPr>
          <w:rFonts w:ascii="Times New Roman" w:hAnsi="Times New Roman" w:eastAsia="Times New Roman" w:cs="Times New Roman"/>
          <w:color w:val="auto"/>
          <w:sz w:val="22"/>
          <w:szCs w:val="22"/>
        </w:rPr>
        <w:id w:val="-1759744941"/>
        <w:docPartObj>
          <w:docPartGallery w:val="Table of Contents"/>
          <w:docPartUnique/>
        </w:docPartObj>
      </w:sdtPr>
      <w:sdtEndPr>
        <w:rPr>
          <w:b/>
          <w:bCs/>
        </w:rPr>
      </w:sdtEndPr>
      <w:sdtContent>
        <w:p w:rsidRPr="005463FF" w:rsidR="001E6413" w:rsidP="002B7C5C" w:rsidRDefault="001E6413" w14:paraId="5FAD9FDD" w14:textId="77777777">
          <w:pPr>
            <w:pStyle w:val="TOCHeading"/>
            <w:ind w:hanging="284"/>
          </w:pPr>
          <w:r>
            <w:t>Índice</w:t>
          </w:r>
        </w:p>
        <w:p w:rsidRPr="00825787" w:rsidR="00B16284" w:rsidP="00825787" w:rsidRDefault="001E6413" w14:paraId="06AEC13E" w14:textId="7F9615E3">
          <w:pPr>
            <w:pStyle w:val="TOC1"/>
            <w:rPr>
              <w:rFonts w:asciiTheme="minorHAnsi" w:hAnsiTheme="minorHAnsi" w:eastAsiaTheme="minorEastAsia" w:cstheme="minorBidi"/>
            </w:rPr>
          </w:pPr>
          <w:r w:rsidRPr="000B652D">
            <w:fldChar w:fldCharType="begin"/>
          </w:r>
          <w:r w:rsidRPr="005463FF">
            <w:instrText xml:space="preserve"> TOC \o "1-3" \h \z \u </w:instrText>
          </w:r>
          <w:r w:rsidRPr="000B652D">
            <w:fldChar w:fldCharType="separate"/>
          </w:r>
          <w:hyperlink w:history="1" w:anchor="_Toc136006467">
            <w:r w:rsidRPr="00A2086E" w:rsidR="00B16284">
              <w:rPr>
                <w:rStyle w:val="Hyperlink"/>
                <w:sz w:val="22"/>
              </w:rPr>
              <w:t>1.</w:t>
            </w:r>
            <w:r w:rsidRPr="00825787" w:rsidR="00B16284">
              <w:rPr>
                <w:rFonts w:asciiTheme="minorHAnsi" w:hAnsiTheme="minorHAnsi" w:eastAsiaTheme="minorEastAsia" w:cstheme="minorBidi"/>
              </w:rPr>
              <w:tab/>
            </w:r>
            <w:r w:rsidRPr="00AD584C" w:rsidR="00AD584C">
              <w:rPr>
                <w:sz w:val="22"/>
                <w:szCs w:val="22"/>
              </w:rPr>
              <w:t>UNIÃO ECONÓMICA E MONETÁRIA E COESÃO ECONÓMICA E SOCIAL</w:t>
            </w:r>
            <w:r w:rsidRPr="00825787" w:rsidR="00B16284">
              <w:rPr>
                <w:webHidden/>
              </w:rPr>
              <w:tab/>
            </w:r>
            <w:r w:rsidRPr="00B23BBB" w:rsidR="00B16284">
              <w:rPr>
                <w:webHidden/>
              </w:rPr>
              <w:fldChar w:fldCharType="begin"/>
            </w:r>
            <w:r w:rsidRPr="00825787" w:rsidR="00B16284">
              <w:rPr>
                <w:webHidden/>
              </w:rPr>
              <w:instrText xml:space="preserve"> PAGEREF _Toc136006467 \h </w:instrText>
            </w:r>
            <w:r w:rsidRPr="00B23BBB" w:rsidR="00B16284">
              <w:rPr>
                <w:webHidden/>
              </w:rPr>
            </w:r>
            <w:r w:rsidRPr="00B23BBB" w:rsidR="00B16284">
              <w:rPr>
                <w:webHidden/>
              </w:rPr>
              <w:fldChar w:fldCharType="separate"/>
            </w:r>
            <w:r w:rsidR="000A6EDF">
              <w:rPr>
                <w:webHidden/>
              </w:rPr>
              <w:t>3</w:t>
            </w:r>
            <w:r w:rsidRPr="00B23BBB" w:rsidR="00B16284">
              <w:rPr>
                <w:webHidden/>
              </w:rPr>
              <w:fldChar w:fldCharType="end"/>
            </w:r>
          </w:hyperlink>
        </w:p>
        <w:p w:rsidRPr="00825787" w:rsidR="00B16284" w:rsidRDefault="007E421A" w14:paraId="79381D2B" w14:textId="1B35E25A">
          <w:pPr>
            <w:pStyle w:val="TOC1"/>
            <w:rPr>
              <w:rFonts w:asciiTheme="minorHAnsi" w:hAnsiTheme="minorHAnsi" w:eastAsiaTheme="minorEastAsia" w:cstheme="minorBidi"/>
            </w:rPr>
          </w:pPr>
          <w:hyperlink w:history="1" w:anchor="_Toc136006468">
            <w:r w:rsidRPr="00A2086E" w:rsidR="00B16284">
              <w:rPr>
                <w:rStyle w:val="Hyperlink"/>
                <w:sz w:val="22"/>
              </w:rPr>
              <w:t>2.</w:t>
            </w:r>
            <w:r w:rsidRPr="00825787" w:rsidR="00B16284">
              <w:rPr>
                <w:rFonts w:asciiTheme="minorHAnsi" w:hAnsiTheme="minorHAnsi" w:eastAsiaTheme="minorEastAsia" w:cstheme="minorBidi"/>
              </w:rPr>
              <w:tab/>
            </w:r>
            <w:r w:rsidRPr="00CE29D9" w:rsidR="00CE29D9">
              <w:rPr>
                <w:sz w:val="22"/>
                <w:szCs w:val="22"/>
              </w:rPr>
              <w:t>EMPREGO, ASSUNTOS SOCIAIS E CIDADANIA</w:t>
            </w:r>
            <w:r w:rsidRPr="00825787" w:rsidR="00B16284">
              <w:rPr>
                <w:webHidden/>
              </w:rPr>
              <w:tab/>
            </w:r>
            <w:r w:rsidRPr="00FF0AB7" w:rsidR="00B16284">
              <w:rPr>
                <w:webHidden/>
              </w:rPr>
              <w:fldChar w:fldCharType="begin"/>
            </w:r>
            <w:r w:rsidRPr="00825787" w:rsidR="00B16284">
              <w:rPr>
                <w:webHidden/>
              </w:rPr>
              <w:instrText xml:space="preserve"> PAGEREF _Toc136006468 \h </w:instrText>
            </w:r>
            <w:r w:rsidRPr="00FF0AB7" w:rsidR="00B16284">
              <w:rPr>
                <w:webHidden/>
              </w:rPr>
            </w:r>
            <w:r w:rsidRPr="00FF0AB7" w:rsidR="00B16284">
              <w:rPr>
                <w:webHidden/>
              </w:rPr>
              <w:fldChar w:fldCharType="separate"/>
            </w:r>
            <w:r w:rsidR="000A6EDF">
              <w:rPr>
                <w:webHidden/>
              </w:rPr>
              <w:t>7</w:t>
            </w:r>
            <w:r w:rsidRPr="00FF0AB7" w:rsidR="00B16284">
              <w:rPr>
                <w:webHidden/>
              </w:rPr>
              <w:fldChar w:fldCharType="end"/>
            </w:r>
          </w:hyperlink>
        </w:p>
        <w:p w:rsidRPr="00825787" w:rsidR="00B16284" w:rsidRDefault="007E421A" w14:paraId="78C3FCEB" w14:textId="1E20BAA5">
          <w:pPr>
            <w:pStyle w:val="TOC1"/>
            <w:rPr>
              <w:rFonts w:asciiTheme="minorHAnsi" w:hAnsiTheme="minorHAnsi" w:eastAsiaTheme="minorEastAsia" w:cstheme="minorBidi"/>
            </w:rPr>
          </w:pPr>
          <w:hyperlink w:history="1" w:anchor="_Toc136006469">
            <w:r w:rsidRPr="00A2086E" w:rsidR="00B16284">
              <w:rPr>
                <w:rStyle w:val="Hyperlink"/>
                <w:sz w:val="22"/>
              </w:rPr>
              <w:t>3.</w:t>
            </w:r>
            <w:r w:rsidRPr="00825787" w:rsidR="00B16284">
              <w:rPr>
                <w:rFonts w:asciiTheme="minorHAnsi" w:hAnsiTheme="minorHAnsi" w:eastAsiaTheme="minorEastAsia" w:cstheme="minorBidi"/>
              </w:rPr>
              <w:tab/>
            </w:r>
            <w:r w:rsidRPr="001A7D7F" w:rsidR="001A7D7F">
              <w:rPr>
                <w:sz w:val="22"/>
                <w:szCs w:val="22"/>
              </w:rPr>
              <w:t>MERCADO ÚNICO, PRODUÇÃO E CONSUMO</w:t>
            </w:r>
            <w:r w:rsidRPr="00825787" w:rsidR="00B16284">
              <w:rPr>
                <w:webHidden/>
              </w:rPr>
              <w:tab/>
            </w:r>
            <w:r w:rsidRPr="00FF0AB7" w:rsidR="00B16284">
              <w:rPr>
                <w:webHidden/>
              </w:rPr>
              <w:fldChar w:fldCharType="begin"/>
            </w:r>
            <w:r w:rsidRPr="00825787" w:rsidR="00B16284">
              <w:rPr>
                <w:webHidden/>
              </w:rPr>
              <w:instrText xml:space="preserve"> PAGEREF _Toc136006469 \h </w:instrText>
            </w:r>
            <w:r w:rsidRPr="00FF0AB7" w:rsidR="00B16284">
              <w:rPr>
                <w:webHidden/>
              </w:rPr>
            </w:r>
            <w:r w:rsidRPr="00FF0AB7" w:rsidR="00B16284">
              <w:rPr>
                <w:webHidden/>
              </w:rPr>
              <w:fldChar w:fldCharType="separate"/>
            </w:r>
            <w:r w:rsidR="000A6EDF">
              <w:rPr>
                <w:webHidden/>
              </w:rPr>
              <w:t>12</w:t>
            </w:r>
            <w:r w:rsidRPr="00FF0AB7" w:rsidR="00B16284">
              <w:rPr>
                <w:webHidden/>
              </w:rPr>
              <w:fldChar w:fldCharType="end"/>
            </w:r>
          </w:hyperlink>
        </w:p>
        <w:p w:rsidRPr="00825787" w:rsidR="00B16284" w:rsidRDefault="007E421A" w14:paraId="11CABEC8" w14:textId="1E7FAB2E">
          <w:pPr>
            <w:pStyle w:val="TOC1"/>
            <w:rPr>
              <w:rFonts w:asciiTheme="minorHAnsi" w:hAnsiTheme="minorHAnsi" w:eastAsiaTheme="minorEastAsia" w:cstheme="minorBidi"/>
            </w:rPr>
          </w:pPr>
          <w:hyperlink w:history="1" w:anchor="_Toc136006470">
            <w:r w:rsidRPr="00A2086E" w:rsidR="00B16284">
              <w:rPr>
                <w:rStyle w:val="Hyperlink"/>
                <w:sz w:val="22"/>
              </w:rPr>
              <w:t>4.</w:t>
            </w:r>
            <w:r w:rsidRPr="00825787" w:rsidR="00B16284">
              <w:rPr>
                <w:rFonts w:asciiTheme="minorHAnsi" w:hAnsiTheme="minorHAnsi" w:eastAsiaTheme="minorEastAsia" w:cstheme="minorBidi"/>
              </w:rPr>
              <w:tab/>
            </w:r>
            <w:r w:rsidRPr="001A7D7F" w:rsidR="001A7D7F">
              <w:rPr>
                <w:sz w:val="22"/>
                <w:szCs w:val="22"/>
              </w:rPr>
              <w:t>AGRICULTURA, DESENVOLVIMENTO RURAL E AMBIENTE</w:t>
            </w:r>
            <w:r w:rsidRPr="00825787" w:rsidR="00B16284">
              <w:rPr>
                <w:webHidden/>
              </w:rPr>
              <w:tab/>
            </w:r>
            <w:r w:rsidRPr="00FF0AB7" w:rsidR="00B16284">
              <w:rPr>
                <w:webHidden/>
              </w:rPr>
              <w:fldChar w:fldCharType="begin"/>
            </w:r>
            <w:r w:rsidRPr="00825787" w:rsidR="00B16284">
              <w:rPr>
                <w:webHidden/>
              </w:rPr>
              <w:instrText xml:space="preserve"> PAGEREF _Toc136006470 \h </w:instrText>
            </w:r>
            <w:r w:rsidRPr="00FF0AB7" w:rsidR="00B16284">
              <w:rPr>
                <w:webHidden/>
              </w:rPr>
            </w:r>
            <w:r w:rsidRPr="00FF0AB7" w:rsidR="00B16284">
              <w:rPr>
                <w:webHidden/>
              </w:rPr>
              <w:fldChar w:fldCharType="separate"/>
            </w:r>
            <w:r w:rsidR="000A6EDF">
              <w:rPr>
                <w:webHidden/>
              </w:rPr>
              <w:t>17</w:t>
            </w:r>
            <w:r w:rsidRPr="00FF0AB7" w:rsidR="00B16284">
              <w:rPr>
                <w:webHidden/>
              </w:rPr>
              <w:fldChar w:fldCharType="end"/>
            </w:r>
          </w:hyperlink>
        </w:p>
        <w:p w:rsidRPr="00A2086E" w:rsidR="00B16284" w:rsidRDefault="007E421A" w14:paraId="38810929" w14:textId="26774D7C">
          <w:pPr>
            <w:pStyle w:val="TOC1"/>
            <w:rPr>
              <w:rFonts w:eastAsiaTheme="minorEastAsia"/>
            </w:rPr>
          </w:pPr>
          <w:hyperlink w:history="1" w:anchor="_Toc136006472">
            <w:r w:rsidRPr="00A2086E" w:rsidR="00825787">
              <w:rPr>
                <w:rStyle w:val="Hyperlink"/>
              </w:rPr>
              <w:t>5</w:t>
            </w:r>
            <w:r w:rsidRPr="00DB678B" w:rsidR="00B16284">
              <w:rPr>
                <w:rStyle w:val="Hyperlink"/>
              </w:rPr>
              <w:t xml:space="preserve">. </w:t>
            </w:r>
            <w:r w:rsidRPr="00DB678B" w:rsidR="00B16284">
              <w:rPr>
                <w:rFonts w:asciiTheme="minorHAnsi" w:hAnsiTheme="minorHAnsi" w:eastAsiaTheme="minorEastAsia" w:cstheme="minorBidi"/>
              </w:rPr>
              <w:tab/>
            </w:r>
            <w:r w:rsidRPr="00881288" w:rsidR="00881288">
              <w:rPr>
                <w:sz w:val="22"/>
                <w:szCs w:val="22"/>
              </w:rPr>
              <w:t>TRANSPORTES, ENERGIA, INFRAESTRUTURAS E SOCIEDADE DA INFORMAÇÃO</w:t>
            </w:r>
            <w:r w:rsidR="00881288">
              <w:rPr>
                <w:webHidden/>
              </w:rPr>
              <w:t xml:space="preserve"> ………………………………………………………………………………</w:t>
            </w:r>
            <w:r w:rsidR="00881288">
              <w:rPr>
                <w:webHidden/>
              </w:rPr>
              <w:tab/>
            </w:r>
            <w:r w:rsidRPr="00FF0AB7" w:rsidR="00B16284">
              <w:rPr>
                <w:webHidden/>
              </w:rPr>
              <w:fldChar w:fldCharType="begin"/>
            </w:r>
            <w:r w:rsidRPr="00DB678B" w:rsidR="00B16284">
              <w:rPr>
                <w:webHidden/>
              </w:rPr>
              <w:instrText xml:space="preserve"> PAGEREF _Toc136006472 \h </w:instrText>
            </w:r>
            <w:r w:rsidRPr="00FF0AB7" w:rsidR="00B16284">
              <w:rPr>
                <w:webHidden/>
              </w:rPr>
            </w:r>
            <w:r w:rsidRPr="00FF0AB7" w:rsidR="00B16284">
              <w:rPr>
                <w:webHidden/>
              </w:rPr>
              <w:fldChar w:fldCharType="separate"/>
            </w:r>
            <w:r w:rsidR="000A6EDF">
              <w:rPr>
                <w:webHidden/>
              </w:rPr>
              <w:t>21</w:t>
            </w:r>
            <w:r w:rsidRPr="00FF0AB7" w:rsidR="00B16284">
              <w:rPr>
                <w:webHidden/>
              </w:rPr>
              <w:fldChar w:fldCharType="end"/>
            </w:r>
          </w:hyperlink>
        </w:p>
        <w:p w:rsidR="00B16284" w:rsidRDefault="007E421A" w14:paraId="49494262" w14:textId="58221BC7">
          <w:pPr>
            <w:pStyle w:val="TOC1"/>
            <w:rPr>
              <w:rFonts w:asciiTheme="minorHAnsi" w:hAnsiTheme="minorHAnsi" w:eastAsiaTheme="minorEastAsia" w:cstheme="minorBidi"/>
            </w:rPr>
          </w:pPr>
          <w:hyperlink w:history="1" w:anchor="_Toc136006473">
            <w:r w:rsidRPr="00A2086E" w:rsidR="00825787">
              <w:rPr>
                <w:rStyle w:val="Hyperlink"/>
                <w:sz w:val="22"/>
              </w:rPr>
              <w:t>6</w:t>
            </w:r>
            <w:r w:rsidRPr="00A2086E" w:rsidR="00B16284">
              <w:rPr>
                <w:rStyle w:val="Hyperlink"/>
                <w:sz w:val="22"/>
              </w:rPr>
              <w:t xml:space="preserve">. </w:t>
            </w:r>
            <w:r w:rsidRPr="00DB678B" w:rsidR="00B16284">
              <w:rPr>
                <w:rFonts w:asciiTheme="minorHAnsi" w:hAnsiTheme="minorHAnsi" w:eastAsiaTheme="minorEastAsia" w:cstheme="minorBidi"/>
              </w:rPr>
              <w:tab/>
            </w:r>
            <w:r w:rsidRPr="00FE4DD4" w:rsidR="00FE4DD4">
              <w:rPr>
                <w:sz w:val="22"/>
                <w:szCs w:val="22"/>
              </w:rPr>
              <w:t>COMISSÃO CONSULTIVA DAS MUTAÇÕES INDUSTRIAIS</w:t>
            </w:r>
            <w:r w:rsidRPr="00DB678B" w:rsidR="00B16284">
              <w:rPr>
                <w:webHidden/>
              </w:rPr>
              <w:tab/>
            </w:r>
            <w:r w:rsidRPr="00FF0AB7" w:rsidR="00B16284">
              <w:rPr>
                <w:webHidden/>
              </w:rPr>
              <w:fldChar w:fldCharType="begin"/>
            </w:r>
            <w:r w:rsidRPr="00DB678B" w:rsidR="00B16284">
              <w:rPr>
                <w:webHidden/>
              </w:rPr>
              <w:instrText xml:space="preserve"> PAGEREF _Toc136006473 \h </w:instrText>
            </w:r>
            <w:r w:rsidRPr="00FF0AB7" w:rsidR="00B16284">
              <w:rPr>
                <w:webHidden/>
              </w:rPr>
            </w:r>
            <w:r w:rsidRPr="00FF0AB7" w:rsidR="00B16284">
              <w:rPr>
                <w:webHidden/>
              </w:rPr>
              <w:fldChar w:fldCharType="separate"/>
            </w:r>
            <w:r w:rsidR="000A6EDF">
              <w:rPr>
                <w:webHidden/>
              </w:rPr>
              <w:t>27</w:t>
            </w:r>
            <w:r w:rsidRPr="00FF0AB7" w:rsidR="00B16284">
              <w:rPr>
                <w:webHidden/>
              </w:rPr>
              <w:fldChar w:fldCharType="end"/>
            </w:r>
          </w:hyperlink>
        </w:p>
        <w:p w:rsidRPr="005463FF" w:rsidR="001E6413" w:rsidP="002B7C5C" w:rsidRDefault="001E6413" w14:paraId="684BFB9B" w14:textId="5171CDCE">
          <w:pPr>
            <w:ind w:hanging="284"/>
          </w:pPr>
          <w:r w:rsidRPr="000B652D">
            <w:rPr>
              <w:b/>
            </w:rPr>
            <w:fldChar w:fldCharType="end"/>
          </w:r>
        </w:p>
      </w:sdtContent>
    </w:sdt>
    <w:p w:rsidRPr="005463FF" w:rsidR="004D7AC0" w:rsidRDefault="004D7AC0" w14:paraId="4600634B" w14:textId="77777777"/>
    <w:p w:rsidR="00B807B4" w:rsidP="00A2086E" w:rsidRDefault="004D7AC0" w14:paraId="3CAC710B" w14:textId="07082C26">
      <w:pPr>
        <w:pStyle w:val="Heading1"/>
        <w:numPr>
          <w:ilvl w:val="0"/>
          <w:numId w:val="3"/>
        </w:numPr>
        <w:spacing w:line="276" w:lineRule="auto"/>
        <w:ind w:left="567" w:hanging="425"/>
        <w:rPr>
          <w:b/>
        </w:rPr>
      </w:pPr>
      <w:r>
        <w:br w:type="page"/>
      </w:r>
      <w:bookmarkStart w:name="_Toc136006467" w:id="0"/>
      <w:r>
        <w:rPr>
          <w:b/>
        </w:rPr>
        <w:lastRenderedPageBreak/>
        <w:t>UNIÃO ECONÓMICA E MONETÁRIA E COESÃO ECONÓMICA E SOCIAL</w:t>
      </w:r>
      <w:bookmarkEnd w:id="0"/>
    </w:p>
    <w:p w:rsidRPr="00A2086E" w:rsidR="00A5032A" w:rsidP="00A2086E" w:rsidRDefault="00A5032A" w14:paraId="73A5D83A" w14:textId="77777777">
      <w:pPr>
        <w:ind w:left="567" w:hanging="425"/>
      </w:pPr>
    </w:p>
    <w:p w:rsidRPr="00A2086E" w:rsidR="009113FB" w:rsidP="00A2086E" w:rsidRDefault="007E421A" w14:paraId="1DA68CAD" w14:textId="3C113722">
      <w:pPr>
        <w:widowControl w:val="0"/>
        <w:numPr>
          <w:ilvl w:val="0"/>
          <w:numId w:val="1"/>
        </w:numPr>
        <w:overflowPunct w:val="0"/>
        <w:autoSpaceDE w:val="0"/>
        <w:autoSpaceDN w:val="0"/>
        <w:adjustRightInd w:val="0"/>
        <w:spacing w:after="60" w:line="276" w:lineRule="auto"/>
        <w:ind w:hanging="425"/>
        <w:textAlignment w:val="baseline"/>
        <w:rPr>
          <w:b/>
          <w:i/>
          <w:iCs/>
          <w:sz w:val="28"/>
          <w:szCs w:val="28"/>
        </w:rPr>
      </w:pPr>
      <w:hyperlink w:history="1" r:id="rId21">
        <w:r w:rsidR="00E11732">
          <w:rPr>
            <w:b/>
            <w:i/>
            <w:color w:val="0000FF"/>
            <w:sz w:val="28"/>
            <w:u w:val="single"/>
          </w:rPr>
          <w:t>Aplicação das estratégias macrorregionais da UE</w:t>
        </w:r>
      </w:hyperlink>
    </w:p>
    <w:tbl>
      <w:tblPr>
        <w:tblStyle w:val="TableGrid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529"/>
      </w:tblGrid>
      <w:tr w:rsidRPr="009113FB" w:rsidR="009113FB" w:rsidTr="00D97149" w14:paraId="20EB0BBA" w14:textId="77777777">
        <w:tc>
          <w:tcPr>
            <w:tcW w:w="1701" w:type="dxa"/>
          </w:tcPr>
          <w:p w:rsidR="00612458" w:rsidRDefault="00612458" w14:paraId="55F0F6DA" w14:textId="77777777">
            <w:pPr>
              <w:tabs>
                <w:tab w:val="center" w:pos="284"/>
              </w:tabs>
              <w:overflowPunct w:val="0"/>
              <w:autoSpaceDE w:val="0"/>
              <w:autoSpaceDN w:val="0"/>
              <w:adjustRightInd w:val="0"/>
              <w:spacing w:line="276" w:lineRule="auto"/>
              <w:ind w:left="266" w:hanging="266"/>
              <w:textAlignment w:val="baseline"/>
              <w:rPr>
                <w:b/>
              </w:rPr>
            </w:pPr>
          </w:p>
          <w:p w:rsidRPr="009113FB" w:rsidR="009113FB" w:rsidP="00A2086E" w:rsidRDefault="009113FB" w14:paraId="196F9487" w14:textId="7FA0AD94">
            <w:pPr>
              <w:tabs>
                <w:tab w:val="center" w:pos="284"/>
              </w:tabs>
              <w:overflowPunct w:val="0"/>
              <w:autoSpaceDE w:val="0"/>
              <w:autoSpaceDN w:val="0"/>
              <w:adjustRightInd w:val="0"/>
              <w:spacing w:line="276" w:lineRule="auto"/>
              <w:ind w:left="266" w:hanging="266"/>
              <w:textAlignment w:val="baseline"/>
              <w:rPr>
                <w:b/>
              </w:rPr>
            </w:pPr>
            <w:r>
              <w:rPr>
                <w:b/>
              </w:rPr>
              <w:t>Relator</w:t>
            </w:r>
          </w:p>
        </w:tc>
        <w:tc>
          <w:tcPr>
            <w:tcW w:w="5529" w:type="dxa"/>
          </w:tcPr>
          <w:p w:rsidR="00612458" w:rsidRDefault="00612458" w14:paraId="2835959C" w14:textId="77777777">
            <w:pPr>
              <w:tabs>
                <w:tab w:val="center" w:pos="284"/>
              </w:tabs>
              <w:overflowPunct w:val="0"/>
              <w:autoSpaceDE w:val="0"/>
              <w:autoSpaceDN w:val="0"/>
              <w:adjustRightInd w:val="0"/>
              <w:spacing w:line="276" w:lineRule="auto"/>
              <w:ind w:left="266" w:hanging="266"/>
              <w:textAlignment w:val="baseline"/>
              <w:rPr>
                <w:bCs/>
              </w:rPr>
            </w:pPr>
          </w:p>
          <w:p w:rsidRPr="009113FB" w:rsidR="009113FB" w:rsidP="00A2086E" w:rsidRDefault="009113FB" w14:paraId="68A1C40D" w14:textId="6D016656">
            <w:pPr>
              <w:tabs>
                <w:tab w:val="center" w:pos="284"/>
              </w:tabs>
              <w:overflowPunct w:val="0"/>
              <w:autoSpaceDE w:val="0"/>
              <w:autoSpaceDN w:val="0"/>
              <w:adjustRightInd w:val="0"/>
              <w:spacing w:line="276" w:lineRule="auto"/>
              <w:ind w:left="266" w:hanging="266"/>
              <w:jc w:val="left"/>
              <w:textAlignment w:val="baseline"/>
              <w:rPr>
                <w:bCs/>
              </w:rPr>
            </w:pPr>
            <w:r>
              <w:t>Stefano Palmieri (IT – Grupo dos Trabalhadores)</w:t>
            </w:r>
          </w:p>
        </w:tc>
      </w:tr>
      <w:tr w:rsidRPr="009113FB" w:rsidR="009113FB" w:rsidTr="00D97149" w14:paraId="354F6CC7" w14:textId="77777777">
        <w:tc>
          <w:tcPr>
            <w:tcW w:w="1701" w:type="dxa"/>
          </w:tcPr>
          <w:p w:rsidRPr="009113FB" w:rsidR="009113FB" w:rsidP="00A2086E" w:rsidRDefault="009113FB" w14:paraId="742DB2B6" w14:textId="77777777">
            <w:pPr>
              <w:tabs>
                <w:tab w:val="center" w:pos="284"/>
              </w:tabs>
              <w:overflowPunct w:val="0"/>
              <w:autoSpaceDE w:val="0"/>
              <w:autoSpaceDN w:val="0"/>
              <w:adjustRightInd w:val="0"/>
              <w:spacing w:line="276" w:lineRule="auto"/>
              <w:ind w:left="266" w:hanging="266"/>
              <w:textAlignment w:val="baseline"/>
              <w:rPr>
                <w:b/>
              </w:rPr>
            </w:pPr>
            <w:r>
              <w:rPr>
                <w:b/>
              </w:rPr>
              <w:t>Correlator</w:t>
            </w:r>
          </w:p>
        </w:tc>
        <w:tc>
          <w:tcPr>
            <w:tcW w:w="5529" w:type="dxa"/>
          </w:tcPr>
          <w:p w:rsidRPr="009113FB" w:rsidR="009113FB" w:rsidP="00A2086E" w:rsidRDefault="009113FB" w14:paraId="182DEFA6" w14:textId="3229B1D8">
            <w:pPr>
              <w:tabs>
                <w:tab w:val="center" w:pos="284"/>
              </w:tabs>
              <w:overflowPunct w:val="0"/>
              <w:autoSpaceDE w:val="0"/>
              <w:autoSpaceDN w:val="0"/>
              <w:adjustRightInd w:val="0"/>
              <w:spacing w:line="276" w:lineRule="auto"/>
              <w:ind w:left="266" w:hanging="266"/>
              <w:textAlignment w:val="baseline"/>
              <w:rPr>
                <w:bCs/>
              </w:rPr>
            </w:pPr>
            <w:r>
              <w:t>Dimitris Dimitriadis (EL – Grupo dos Empregadores)</w:t>
            </w:r>
          </w:p>
        </w:tc>
      </w:tr>
      <w:tr w:rsidRPr="009113FB" w:rsidR="009113FB" w:rsidTr="00D97149" w14:paraId="5D46FF28" w14:textId="77777777">
        <w:tc>
          <w:tcPr>
            <w:tcW w:w="7230" w:type="dxa"/>
            <w:gridSpan w:val="2"/>
          </w:tcPr>
          <w:p w:rsidRPr="009113FB" w:rsidR="009113FB" w:rsidP="00A2086E" w:rsidRDefault="009113FB" w14:paraId="430CCDFB" w14:textId="77777777">
            <w:pPr>
              <w:tabs>
                <w:tab w:val="center" w:pos="284"/>
              </w:tabs>
              <w:overflowPunct w:val="0"/>
              <w:autoSpaceDE w:val="0"/>
              <w:autoSpaceDN w:val="0"/>
              <w:adjustRightInd w:val="0"/>
              <w:spacing w:line="276" w:lineRule="auto"/>
              <w:ind w:left="266" w:hanging="266"/>
              <w:textAlignment w:val="baseline"/>
              <w:rPr>
                <w:bCs/>
              </w:rPr>
            </w:pPr>
          </w:p>
        </w:tc>
      </w:tr>
      <w:tr w:rsidRPr="009113FB" w:rsidR="009113FB" w:rsidTr="00D97149" w14:paraId="4B3DE4AD" w14:textId="77777777">
        <w:tc>
          <w:tcPr>
            <w:tcW w:w="1701" w:type="dxa"/>
            <w:vMerge w:val="restart"/>
          </w:tcPr>
          <w:p w:rsidRPr="009113FB" w:rsidR="009113FB" w:rsidP="00A2086E" w:rsidRDefault="009113FB" w14:paraId="07B78DBB" w14:textId="77777777">
            <w:pPr>
              <w:tabs>
                <w:tab w:val="center" w:pos="284"/>
              </w:tabs>
              <w:overflowPunct w:val="0"/>
              <w:autoSpaceDE w:val="0"/>
              <w:autoSpaceDN w:val="0"/>
              <w:adjustRightInd w:val="0"/>
              <w:spacing w:line="276" w:lineRule="auto"/>
              <w:ind w:left="266" w:hanging="266"/>
              <w:textAlignment w:val="baseline"/>
              <w:rPr>
                <w:b/>
              </w:rPr>
            </w:pPr>
            <w:r>
              <w:rPr>
                <w:b/>
              </w:rPr>
              <w:t>Referência</w:t>
            </w:r>
          </w:p>
        </w:tc>
        <w:tc>
          <w:tcPr>
            <w:tcW w:w="5529" w:type="dxa"/>
          </w:tcPr>
          <w:p w:rsidRPr="009113FB" w:rsidR="009113FB" w:rsidP="00A2086E" w:rsidRDefault="009113FB" w14:paraId="27C4FD80" w14:textId="65D54C32">
            <w:pPr>
              <w:tabs>
                <w:tab w:val="center" w:pos="284"/>
              </w:tabs>
              <w:overflowPunct w:val="0"/>
              <w:autoSpaceDE w:val="0"/>
              <w:autoSpaceDN w:val="0"/>
              <w:adjustRightInd w:val="0"/>
              <w:spacing w:line="276" w:lineRule="auto"/>
              <w:ind w:left="266" w:hanging="266"/>
              <w:textAlignment w:val="baseline"/>
              <w:rPr>
                <w:bCs/>
              </w:rPr>
            </w:pPr>
            <w:r>
              <w:t>EESC-2023-00801-00-00-AC</w:t>
            </w:r>
          </w:p>
        </w:tc>
      </w:tr>
      <w:tr w:rsidRPr="009113FB" w:rsidR="009113FB" w:rsidTr="00D97149" w14:paraId="1B115DAA" w14:textId="77777777">
        <w:trPr>
          <w:gridAfter w:val="1"/>
          <w:wAfter w:w="5529" w:type="dxa"/>
          <w:trHeight w:val="304"/>
        </w:trPr>
        <w:tc>
          <w:tcPr>
            <w:tcW w:w="1701" w:type="dxa"/>
            <w:vMerge/>
          </w:tcPr>
          <w:p w:rsidRPr="009113FB" w:rsidR="009113FB" w:rsidP="00A2086E" w:rsidRDefault="009113FB" w14:paraId="207A9E23" w14:textId="77777777">
            <w:pPr>
              <w:tabs>
                <w:tab w:val="center" w:pos="284"/>
              </w:tabs>
              <w:overflowPunct w:val="0"/>
              <w:autoSpaceDE w:val="0"/>
              <w:autoSpaceDN w:val="0"/>
              <w:adjustRightInd w:val="0"/>
              <w:spacing w:line="276" w:lineRule="auto"/>
              <w:ind w:left="266" w:hanging="266"/>
              <w:textAlignment w:val="baseline"/>
              <w:rPr>
                <w:b/>
              </w:rPr>
            </w:pPr>
          </w:p>
        </w:tc>
      </w:tr>
    </w:tbl>
    <w:p w:rsidR="00275A32" w:rsidRDefault="00275A32" w14:paraId="7FE75697" w14:textId="77777777">
      <w:pPr>
        <w:tabs>
          <w:tab w:val="center" w:pos="284"/>
        </w:tabs>
        <w:overflowPunct w:val="0"/>
        <w:autoSpaceDE w:val="0"/>
        <w:autoSpaceDN w:val="0"/>
        <w:adjustRightInd w:val="0"/>
        <w:spacing w:line="276" w:lineRule="auto"/>
        <w:ind w:left="266" w:hanging="124"/>
        <w:textAlignment w:val="baseline"/>
        <w:rPr>
          <w:b/>
        </w:rPr>
      </w:pPr>
    </w:p>
    <w:p w:rsidRPr="009113FB" w:rsidR="009113FB" w:rsidP="00A2086E" w:rsidRDefault="009113FB" w14:paraId="0442F809" w14:textId="4BB1D28D">
      <w:pPr>
        <w:tabs>
          <w:tab w:val="center" w:pos="284"/>
        </w:tabs>
        <w:overflowPunct w:val="0"/>
        <w:autoSpaceDE w:val="0"/>
        <w:autoSpaceDN w:val="0"/>
        <w:adjustRightInd w:val="0"/>
        <w:spacing w:line="276" w:lineRule="auto"/>
        <w:ind w:left="266" w:hanging="124"/>
        <w:textAlignment w:val="baseline"/>
        <w:rPr>
          <w:b/>
        </w:rPr>
      </w:pPr>
      <w:r>
        <w:rPr>
          <w:b/>
        </w:rPr>
        <w:t>Pontos principais</w:t>
      </w:r>
    </w:p>
    <w:p w:rsidR="008F2744" w:rsidP="00A2086E" w:rsidRDefault="008F2744" w14:paraId="64BBBBF4" w14:textId="5F1925FA">
      <w:pPr>
        <w:overflowPunct w:val="0"/>
        <w:autoSpaceDE w:val="0"/>
        <w:autoSpaceDN w:val="0"/>
        <w:adjustRightInd w:val="0"/>
        <w:spacing w:line="276" w:lineRule="auto"/>
        <w:textAlignment w:val="baseline"/>
        <w:rPr>
          <w:bCs/>
          <w:iCs/>
        </w:rPr>
      </w:pPr>
    </w:p>
    <w:p w:rsidR="009113FB" w:rsidRDefault="009113FB" w14:paraId="18322A5E" w14:textId="27199780">
      <w:pPr>
        <w:overflowPunct w:val="0"/>
        <w:autoSpaceDE w:val="0"/>
        <w:autoSpaceDN w:val="0"/>
        <w:adjustRightInd w:val="0"/>
        <w:spacing w:line="276" w:lineRule="auto"/>
        <w:ind w:left="142"/>
        <w:textAlignment w:val="baseline"/>
        <w:rPr>
          <w:bCs/>
          <w:iCs/>
        </w:rPr>
      </w:pPr>
      <w:r>
        <w:t>O Comité Económico e Social Europeu:</w:t>
      </w:r>
    </w:p>
    <w:p w:rsidR="00825787" w:rsidRDefault="00825787" w14:paraId="1BD5D4CE" w14:textId="77777777">
      <w:pPr>
        <w:overflowPunct w:val="0"/>
        <w:autoSpaceDE w:val="0"/>
        <w:autoSpaceDN w:val="0"/>
        <w:adjustRightInd w:val="0"/>
        <w:spacing w:line="276" w:lineRule="auto"/>
        <w:ind w:left="142"/>
        <w:textAlignment w:val="baseline"/>
        <w:rPr>
          <w:bCs/>
          <w:iCs/>
        </w:rPr>
      </w:pPr>
    </w:p>
    <w:p w:rsidRPr="006A08B9" w:rsidR="006A08B9" w:rsidP="007E58E2" w:rsidRDefault="006A08B9" w14:paraId="77A3D8CE" w14:textId="1797A2D6">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reconhece que as estratégias macrorregionais desempenham um papel importante na coesão social, territorial e económica das regiões e contribuem para a integração europeia dos países vizinhos;</w:t>
      </w:r>
    </w:p>
    <w:p w:rsidRPr="006A08B9" w:rsidR="006A08B9" w:rsidP="007E58E2" w:rsidRDefault="006A08B9" w14:paraId="63C14C9F"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salienta que as estratégias macrorregionais abordam questões que exigem que vários países cooperem com base numa abordagem de governação transetorial e a vários níveis;</w:t>
      </w:r>
    </w:p>
    <w:p w:rsidRPr="006A08B9" w:rsidR="006A08B9" w:rsidP="007E58E2" w:rsidRDefault="006A08B9" w14:paraId="09A55E49"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considera que devem ser envidados mais esforços para reforçar as estratégias macrorregionais, de forma a serem agentes de mudança, a inspirarem confiança e a promoverem os valores europeus;</w:t>
      </w:r>
    </w:p>
    <w:p w:rsidRPr="006A08B9" w:rsidR="006A08B9" w:rsidP="007E58E2" w:rsidRDefault="006A08B9" w14:paraId="281EC6ED"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observa que as estratégias macrorregionais têm sido instrumentos úteis para fazer face à crise sanitária e aos efeitos da invasão da Ucrânia pela Rússia. Mais concretamente, a Estratégia da União Europeia para a Região do Danúbio (EUERD) e a Estratégia da União Europeia para o Mar Báltico (EUSBR) desempenharam um papel importante no reforço dos laços entre a Ucrânia e a UE tendo em vista a integração dos refugiados ucranianos e a criação de corredores de transporte de mercadorias seguros;</w:t>
      </w:r>
    </w:p>
    <w:p w:rsidRPr="006A08B9" w:rsidR="006A08B9" w:rsidP="007E58E2" w:rsidRDefault="006A08B9" w14:paraId="3FC2329C"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observa, no que diz respeito às transições ecológica, digital e social, que o processo de execução varia consoante a estratégia macrorregional devido aos diferentes níveis de aplicação das políticas setoriais e do grau de preparação dos países terceiros. É fundamental reforçar a ligação entre as transições ecológica, digital e social, de modo a colocar mais a tónica na qualidade da produção e não na quantidade;</w:t>
      </w:r>
    </w:p>
    <w:p w:rsidRPr="006A08B9" w:rsidR="006A08B9" w:rsidP="007E58E2" w:rsidRDefault="006A08B9" w14:paraId="181C7393" w14:textId="77777777">
      <w:pPr>
        <w:pStyle w:val="ListParagraph"/>
        <w:numPr>
          <w:ilvl w:val="0"/>
          <w:numId w:val="44"/>
        </w:numPr>
        <w:spacing w:after="80" w:line="276" w:lineRule="auto"/>
        <w:ind w:left="567" w:hanging="425"/>
        <w:rPr>
          <w:rFonts w:asciiTheme="majorBidi" w:hAnsiTheme="majorBidi" w:cstheme="majorBidi"/>
          <w:iCs/>
          <w:sz w:val="21"/>
          <w:szCs w:val="21"/>
        </w:rPr>
      </w:pPr>
      <w:r>
        <w:rPr>
          <w:rFonts w:asciiTheme="majorBidi" w:hAnsiTheme="majorBidi"/>
          <w:sz w:val="21"/>
        </w:rPr>
        <w:t>considera que as organizações da sociedade civil e os parceiros sociais desempenham um papel vital na melhoria da tomada de decisões, em particular ao aproximar as comunidades locais e regionais das estratégias macrorregionais, e incentiva os Estados-Membros, bem como a Comissão Europeia, a associarem ainda mais estreitamente as organizações da sociedade civil, os parceiros sociais e os órgãos de poder local e regional;</w:t>
      </w:r>
    </w:p>
    <w:p w:rsidRPr="006A08B9" w:rsidR="006A08B9" w:rsidP="007E58E2" w:rsidRDefault="006A08B9" w14:paraId="168A8D45" w14:textId="77777777">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sz w:val="21"/>
        </w:rPr>
        <w:t>nota que, para que as quatro estratégias macrorregionais sejam eficientes e eficazes, importa reforçar as capacidades dos intervenientes estatais e não estatais a nível local. É importante que sejam lançados processos de informação e formação destinados a estes intervenientes. Neste contexto, o CESE propõe a criação de um sistema de intercâmbio de funcionários públicos a curto e médio prazo;</w:t>
      </w:r>
    </w:p>
    <w:p w:rsidRPr="006A08B9" w:rsidR="006A08B9" w:rsidP="007E58E2" w:rsidRDefault="006A08B9" w14:paraId="5C5A52C0" w14:textId="77777777">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sz w:val="21"/>
        </w:rPr>
        <w:t>congratula-se com a iniciativa de institucionalizar um diálogo com os cidadãos nas macrorregiões e considera que poderia desempenhar um papel útil nesse contexto.</w:t>
      </w:r>
      <w:r>
        <w:rPr>
          <w:rFonts w:asciiTheme="majorBidi" w:hAnsiTheme="majorBidi"/>
          <w:color w:val="000000"/>
          <w:sz w:val="21"/>
        </w:rPr>
        <w:t xml:space="preserve"> É igualmente importante que a sociedade civil organizada e os parceiros sociais desempenhe um papel mais ativo e participem nos conselhos de administração de todas as estratégias macrorregionais.</w:t>
      </w:r>
      <w:r>
        <w:rPr>
          <w:rFonts w:ascii="Calibri" w:hAnsi="Calibri"/>
          <w:sz w:val="21"/>
        </w:rPr>
        <w:t xml:space="preserve"> </w:t>
      </w:r>
      <w:r>
        <w:rPr>
          <w:rFonts w:asciiTheme="majorBidi" w:hAnsiTheme="majorBidi"/>
          <w:color w:val="000000"/>
          <w:sz w:val="21"/>
        </w:rPr>
        <w:t>Para tal, o CESE propõe organizar fóruns com os representantes da sociedade civil que implementam estratégias macrorregionais;</w:t>
      </w:r>
    </w:p>
    <w:p w:rsidRPr="006A08B9" w:rsidR="006A08B9" w:rsidP="007E58E2" w:rsidRDefault="006A08B9" w14:paraId="102582EB" w14:textId="77777777">
      <w:pPr>
        <w:pStyle w:val="ListParagraph"/>
        <w:numPr>
          <w:ilvl w:val="0"/>
          <w:numId w:val="44"/>
        </w:numPr>
        <w:spacing w:after="80" w:line="276" w:lineRule="auto"/>
        <w:ind w:left="567" w:hanging="425"/>
        <w:rPr>
          <w:rFonts w:asciiTheme="majorBidi" w:hAnsiTheme="majorBidi" w:cstheme="majorBidi"/>
          <w:iCs/>
          <w:color w:val="000000"/>
          <w:sz w:val="21"/>
          <w:szCs w:val="21"/>
        </w:rPr>
      </w:pPr>
      <w:r>
        <w:rPr>
          <w:rFonts w:asciiTheme="majorBidi" w:hAnsiTheme="majorBidi"/>
          <w:color w:val="000000"/>
          <w:sz w:val="21"/>
        </w:rPr>
        <w:t>preconiza que todas as estratégias macrorregionais explorem possibilidades para inverter a falta de participação dos principais motores do desenvolvimento a nível local (PME, agrupamentos industriais existentes, bancos locais, empresas sociais, sindicatos, universidades, ONG e outras organizações da sociedade civil);</w:t>
      </w:r>
    </w:p>
    <w:p w:rsidRPr="006A08B9" w:rsidR="006A08B9" w:rsidP="007E58E2" w:rsidRDefault="006A08B9" w14:paraId="0A1C2BD2" w14:textId="77777777">
      <w:pPr>
        <w:pStyle w:val="ListParagraph"/>
        <w:numPr>
          <w:ilvl w:val="0"/>
          <w:numId w:val="44"/>
        </w:numPr>
        <w:spacing w:after="80" w:line="276" w:lineRule="auto"/>
        <w:ind w:left="567" w:hanging="425"/>
        <w:rPr>
          <w:rFonts w:ascii="Calibri" w:hAnsi="Calibri"/>
          <w:sz w:val="21"/>
          <w:szCs w:val="21"/>
        </w:rPr>
      </w:pPr>
      <w:r>
        <w:rPr>
          <w:rFonts w:asciiTheme="majorBidi" w:hAnsiTheme="majorBidi"/>
          <w:color w:val="000000"/>
          <w:sz w:val="21"/>
        </w:rPr>
        <w:t xml:space="preserve">considera que, não obstante os esforços da Comissão Europeia para aumentar a visibilidade das estratégias macrorregionais, uma melhor comunicação não será possível apenas graças a um </w:t>
      </w:r>
      <w:r>
        <w:rPr>
          <w:rFonts w:asciiTheme="majorBidi" w:hAnsiTheme="majorBidi"/>
          <w:color w:val="000000"/>
          <w:sz w:val="21"/>
        </w:rPr>
        <w:lastRenderedPageBreak/>
        <w:t>único interveniente fundamental, mas sim através de um maior empenho dos Estados-Membros e dos países terceiros que nelas participam;</w:t>
      </w:r>
    </w:p>
    <w:p w:rsidR="009113FB" w:rsidP="007E58E2" w:rsidRDefault="006A08B9" w14:paraId="70459597" w14:textId="75C9BE79">
      <w:pPr>
        <w:pStyle w:val="ListParagraph"/>
        <w:numPr>
          <w:ilvl w:val="0"/>
          <w:numId w:val="44"/>
        </w:numPr>
        <w:spacing w:after="80" w:line="276" w:lineRule="auto"/>
        <w:ind w:left="567" w:hanging="425"/>
        <w:rPr>
          <w:szCs w:val="20"/>
        </w:rPr>
      </w:pPr>
      <w:r>
        <w:rPr>
          <w:rFonts w:asciiTheme="majorBidi" w:hAnsiTheme="majorBidi"/>
          <w:color w:val="000000"/>
          <w:sz w:val="21"/>
        </w:rPr>
        <w:t>propõe que se pondere uma abordagem diferente da governação das estratégias macrorregionais. Dado que o nível político é representado pelos ministros dos Negócios Estrangeiros, importa reforçar o nível operacional, intensificando a cooperação com os ministérios dos Assuntos Europeus e a administração dos fundos da UE.</w:t>
      </w:r>
    </w:p>
    <w:p w:rsidRPr="009113FB" w:rsidR="009113FB" w:rsidP="00A2086E" w:rsidRDefault="009113FB" w14:paraId="7E65E9E3" w14:textId="77777777">
      <w:pPr>
        <w:overflowPunct w:val="0"/>
        <w:autoSpaceDE w:val="0"/>
        <w:autoSpaceDN w:val="0"/>
        <w:adjustRightInd w:val="0"/>
        <w:spacing w:after="40" w:line="276" w:lineRule="auto"/>
        <w:ind w:left="360"/>
        <w:textAlignment w:val="baseline"/>
        <w:outlineLvl w:val="1"/>
        <w:rPr>
          <w:szCs w:val="20"/>
        </w:rPr>
      </w:pPr>
    </w:p>
    <w:tbl>
      <w:tblPr>
        <w:tblStyle w:val="TableGrid3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113FB" w:rsidR="009113FB" w:rsidTr="00D97149" w14:paraId="48B9DFDD" w14:textId="77777777">
        <w:tc>
          <w:tcPr>
            <w:tcW w:w="1418" w:type="dxa"/>
          </w:tcPr>
          <w:p w:rsidRPr="009113FB" w:rsidR="009113FB" w:rsidP="00A2086E" w:rsidRDefault="009113FB" w14:paraId="3888BDB6" w14:textId="350AEF9B">
            <w:pPr>
              <w:overflowPunct w:val="0"/>
              <w:autoSpaceDE w:val="0"/>
              <w:autoSpaceDN w:val="0"/>
              <w:adjustRightInd w:val="0"/>
              <w:spacing w:line="276" w:lineRule="auto"/>
              <w:textAlignment w:val="baseline"/>
              <w:rPr>
                <w:i/>
              </w:rPr>
            </w:pPr>
            <w:r>
              <w:rPr>
                <w:b/>
                <w:i/>
              </w:rPr>
              <w:t>Contacto</w:t>
            </w:r>
          </w:p>
        </w:tc>
        <w:tc>
          <w:tcPr>
            <w:tcW w:w="5670" w:type="dxa"/>
          </w:tcPr>
          <w:p w:rsidRPr="009113FB" w:rsidR="009113FB" w:rsidP="00A2086E" w:rsidRDefault="009113FB" w14:paraId="70E2D2B2" w14:textId="77777777">
            <w:pPr>
              <w:overflowPunct w:val="0"/>
              <w:autoSpaceDE w:val="0"/>
              <w:autoSpaceDN w:val="0"/>
              <w:adjustRightInd w:val="0"/>
              <w:spacing w:line="276" w:lineRule="auto"/>
              <w:textAlignment w:val="baseline"/>
              <w:rPr>
                <w:b/>
                <w:bCs/>
                <w:i/>
              </w:rPr>
            </w:pPr>
            <w:r>
              <w:rPr>
                <w:b/>
                <w:i/>
              </w:rPr>
              <w:t>Georgios Meleas</w:t>
            </w:r>
          </w:p>
        </w:tc>
      </w:tr>
      <w:tr w:rsidRPr="009113FB" w:rsidR="009113FB" w:rsidTr="00D97149" w14:paraId="77224FAF" w14:textId="77777777">
        <w:tc>
          <w:tcPr>
            <w:tcW w:w="1418" w:type="dxa"/>
          </w:tcPr>
          <w:p w:rsidRPr="009113FB" w:rsidR="009113FB" w:rsidP="00A2086E" w:rsidRDefault="009113FB" w14:paraId="1DCDFC07" w14:textId="251A7815">
            <w:pPr>
              <w:overflowPunct w:val="0"/>
              <w:autoSpaceDE w:val="0"/>
              <w:autoSpaceDN w:val="0"/>
              <w:adjustRightInd w:val="0"/>
              <w:spacing w:line="276" w:lineRule="auto"/>
              <w:textAlignment w:val="baseline"/>
              <w:rPr>
                <w:i/>
              </w:rPr>
            </w:pPr>
            <w:r>
              <w:rPr>
                <w:i/>
              </w:rPr>
              <w:t>Tel.</w:t>
            </w:r>
          </w:p>
        </w:tc>
        <w:tc>
          <w:tcPr>
            <w:tcW w:w="5670" w:type="dxa"/>
          </w:tcPr>
          <w:p w:rsidRPr="009113FB" w:rsidR="009113FB" w:rsidP="00A2086E" w:rsidRDefault="009113FB" w14:paraId="024A4AC0" w14:textId="77777777">
            <w:pPr>
              <w:overflowPunct w:val="0"/>
              <w:autoSpaceDE w:val="0"/>
              <w:autoSpaceDN w:val="0"/>
              <w:adjustRightInd w:val="0"/>
              <w:spacing w:line="276" w:lineRule="auto"/>
              <w:textAlignment w:val="baseline"/>
              <w:rPr>
                <w:i/>
              </w:rPr>
            </w:pPr>
            <w:r>
              <w:rPr>
                <w:i/>
              </w:rPr>
              <w:t>+32 2 546 9795</w:t>
            </w:r>
          </w:p>
        </w:tc>
      </w:tr>
      <w:tr w:rsidRPr="009113FB" w:rsidR="009113FB" w:rsidTr="00D97149" w14:paraId="71796CBF" w14:textId="77777777">
        <w:tc>
          <w:tcPr>
            <w:tcW w:w="1418" w:type="dxa"/>
          </w:tcPr>
          <w:p w:rsidRPr="009113FB" w:rsidR="009113FB" w:rsidP="00A2086E" w:rsidRDefault="00060F9E" w14:paraId="7A57E5A8" w14:textId="6577F5CB">
            <w:pPr>
              <w:overflowPunct w:val="0"/>
              <w:autoSpaceDE w:val="0"/>
              <w:autoSpaceDN w:val="0"/>
              <w:adjustRightInd w:val="0"/>
              <w:spacing w:line="276" w:lineRule="auto"/>
              <w:textAlignment w:val="baseline"/>
              <w:rPr>
                <w:i/>
              </w:rPr>
            </w:pPr>
            <w:r>
              <w:rPr>
                <w:i/>
              </w:rPr>
              <w:t>Endereço eletrónico</w:t>
            </w:r>
          </w:p>
        </w:tc>
        <w:tc>
          <w:tcPr>
            <w:tcW w:w="5670" w:type="dxa"/>
          </w:tcPr>
          <w:p w:rsidRPr="009113FB" w:rsidR="00240C09" w:rsidP="00A2086E" w:rsidRDefault="007E421A" w14:paraId="19126355" w14:textId="15CCFBB7">
            <w:pPr>
              <w:overflowPunct w:val="0"/>
              <w:autoSpaceDE w:val="0"/>
              <w:autoSpaceDN w:val="0"/>
              <w:adjustRightInd w:val="0"/>
              <w:spacing w:line="276" w:lineRule="auto"/>
              <w:textAlignment w:val="baseline"/>
              <w:rPr>
                <w:i/>
              </w:rPr>
            </w:pPr>
            <w:hyperlink w:history="1" r:id="rId22">
              <w:r w:rsidR="00E11732">
                <w:rPr>
                  <w:i/>
                  <w:color w:val="0000FF"/>
                  <w:u w:val="single"/>
                </w:rPr>
                <w:t>Georgios.Meleas@eesc.europa.eu</w:t>
              </w:r>
            </w:hyperlink>
          </w:p>
        </w:tc>
      </w:tr>
    </w:tbl>
    <w:p w:rsidR="00275A32" w:rsidRDefault="00275A32" w14:paraId="41F7CB4F" w14:textId="3397645C"/>
    <w:p w:rsidR="00275A32" w:rsidRDefault="00275A32" w14:paraId="51F1FD1B" w14:textId="77777777">
      <w:pPr>
        <w:spacing w:after="160" w:line="259" w:lineRule="auto"/>
        <w:jc w:val="left"/>
      </w:pPr>
      <w:r>
        <w:br w:type="page"/>
      </w:r>
    </w:p>
    <w:p w:rsidRPr="00A2086E" w:rsidR="00240D4D" w:rsidP="00A2086E" w:rsidRDefault="007E421A" w14:paraId="7FBA5858" w14:textId="5EA4C0C8">
      <w:pPr>
        <w:widowControl w:val="0"/>
        <w:numPr>
          <w:ilvl w:val="0"/>
          <w:numId w:val="1"/>
        </w:numPr>
        <w:overflowPunct w:val="0"/>
        <w:autoSpaceDE w:val="0"/>
        <w:autoSpaceDN w:val="0"/>
        <w:adjustRightInd w:val="0"/>
        <w:spacing w:line="240" w:lineRule="auto"/>
        <w:ind w:hanging="567"/>
        <w:textAlignment w:val="baseline"/>
        <w:rPr>
          <w:b/>
        </w:rPr>
      </w:pPr>
      <w:hyperlink w:history="1" r:id="rId23">
        <w:r w:rsidR="00E11732">
          <w:rPr>
            <w:b/>
            <w:i/>
            <w:color w:val="0000FF"/>
            <w:sz w:val="28"/>
            <w:u w:val="single"/>
          </w:rPr>
          <w:t>Aproveitar os talentos nas regiões da Europa</w:t>
        </w:r>
      </w:hyperlink>
    </w:p>
    <w:p w:rsidRPr="00240D4D" w:rsidR="000A0B04" w:rsidP="00AD584C" w:rsidRDefault="000A0B04" w14:paraId="44F5F198" w14:textId="77777777">
      <w:pPr>
        <w:overflowPunct w:val="0"/>
        <w:autoSpaceDE w:val="0"/>
        <w:autoSpaceDN w:val="0"/>
        <w:adjustRightInd w:val="0"/>
        <w:spacing w:line="168" w:lineRule="auto"/>
        <w:ind w:left="210"/>
        <w:contextualSpacing/>
        <w:textAlignment w:val="baseline"/>
        <w:outlineLvl w:val="1"/>
        <w:rPr>
          <w:b/>
        </w:rPr>
      </w:pPr>
    </w:p>
    <w:tbl>
      <w:tblPr>
        <w:tblStyle w:val="TableGrid36"/>
        <w:tblW w:w="9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7763"/>
      </w:tblGrid>
      <w:tr w:rsidRPr="007473E6" w:rsidR="00240D4D" w:rsidTr="00D97149" w14:paraId="689DF579" w14:textId="77777777">
        <w:tc>
          <w:tcPr>
            <w:tcW w:w="1701" w:type="dxa"/>
          </w:tcPr>
          <w:p w:rsidRPr="00A2086E" w:rsidR="00240D4D" w:rsidP="00A2086E" w:rsidRDefault="00240D4D" w14:paraId="5B0C5102" w14:textId="77777777">
            <w:pPr>
              <w:tabs>
                <w:tab w:val="center" w:pos="284"/>
              </w:tabs>
              <w:overflowPunct w:val="0"/>
              <w:autoSpaceDE w:val="0"/>
              <w:autoSpaceDN w:val="0"/>
              <w:adjustRightInd w:val="0"/>
              <w:ind w:left="266" w:hanging="376"/>
              <w:textAlignment w:val="baseline"/>
              <w:rPr>
                <w:b/>
                <w:sz w:val="22"/>
                <w:szCs w:val="22"/>
              </w:rPr>
            </w:pPr>
            <w:r>
              <w:rPr>
                <w:b/>
              </w:rPr>
              <w:t>Relatora</w:t>
            </w:r>
          </w:p>
        </w:tc>
        <w:tc>
          <w:tcPr>
            <w:tcW w:w="7763" w:type="dxa"/>
          </w:tcPr>
          <w:p w:rsidRPr="00A2086E" w:rsidR="00240D4D" w:rsidP="00A2086E" w:rsidRDefault="00240D4D" w14:paraId="028CA4E1" w14:textId="73875F0C">
            <w:pPr>
              <w:tabs>
                <w:tab w:val="center" w:pos="284"/>
              </w:tabs>
              <w:overflowPunct w:val="0"/>
              <w:autoSpaceDE w:val="0"/>
              <w:autoSpaceDN w:val="0"/>
              <w:adjustRightInd w:val="0"/>
              <w:ind w:left="266" w:hanging="376"/>
              <w:textAlignment w:val="baseline"/>
              <w:rPr>
                <w:bCs/>
                <w:sz w:val="22"/>
                <w:szCs w:val="22"/>
              </w:rPr>
            </w:pPr>
            <w:r>
              <w:t>Tatjana Babrauskienė (LT – Grupo dos Trabalhadores)</w:t>
            </w:r>
          </w:p>
        </w:tc>
      </w:tr>
      <w:tr w:rsidRPr="007473E6" w:rsidR="00240D4D" w:rsidTr="00D97149" w14:paraId="1C94DB47" w14:textId="77777777">
        <w:tc>
          <w:tcPr>
            <w:tcW w:w="9464" w:type="dxa"/>
            <w:gridSpan w:val="2"/>
          </w:tcPr>
          <w:p w:rsidRPr="00A2086E" w:rsidR="00240D4D" w:rsidP="00A2086E" w:rsidRDefault="00240D4D" w14:paraId="0EDF0378" w14:textId="77777777">
            <w:pPr>
              <w:tabs>
                <w:tab w:val="center" w:pos="284"/>
              </w:tabs>
              <w:overflowPunct w:val="0"/>
              <w:autoSpaceDE w:val="0"/>
              <w:autoSpaceDN w:val="0"/>
              <w:adjustRightInd w:val="0"/>
              <w:spacing w:line="160" w:lineRule="exact"/>
              <w:ind w:left="266" w:hanging="376"/>
              <w:textAlignment w:val="baseline"/>
              <w:rPr>
                <w:bCs/>
                <w:sz w:val="22"/>
                <w:szCs w:val="22"/>
              </w:rPr>
            </w:pPr>
          </w:p>
        </w:tc>
      </w:tr>
      <w:tr w:rsidRPr="007473E6" w:rsidR="00240D4D" w:rsidTr="00D97149" w14:paraId="5E05D355" w14:textId="77777777">
        <w:tc>
          <w:tcPr>
            <w:tcW w:w="1701" w:type="dxa"/>
          </w:tcPr>
          <w:p w:rsidRPr="00A2086E" w:rsidR="00240D4D" w:rsidP="00A2086E" w:rsidRDefault="00240D4D" w14:paraId="15ACED9D" w14:textId="77777777">
            <w:pPr>
              <w:tabs>
                <w:tab w:val="center" w:pos="284"/>
              </w:tabs>
              <w:overflowPunct w:val="0"/>
              <w:autoSpaceDE w:val="0"/>
              <w:autoSpaceDN w:val="0"/>
              <w:adjustRightInd w:val="0"/>
              <w:ind w:left="266" w:hanging="376"/>
              <w:textAlignment w:val="baseline"/>
              <w:rPr>
                <w:b/>
                <w:sz w:val="22"/>
                <w:szCs w:val="22"/>
              </w:rPr>
            </w:pPr>
            <w:r>
              <w:rPr>
                <w:b/>
              </w:rPr>
              <w:t>Referência</w:t>
            </w:r>
          </w:p>
        </w:tc>
        <w:tc>
          <w:tcPr>
            <w:tcW w:w="7763" w:type="dxa"/>
          </w:tcPr>
          <w:p w:rsidRPr="00A2086E" w:rsidR="00240D4D" w:rsidP="00A2086E" w:rsidRDefault="00240D4D" w14:paraId="26246A11" w14:textId="28E3BCE3">
            <w:pPr>
              <w:tabs>
                <w:tab w:val="center" w:pos="284"/>
              </w:tabs>
              <w:overflowPunct w:val="0"/>
              <w:autoSpaceDE w:val="0"/>
              <w:autoSpaceDN w:val="0"/>
              <w:adjustRightInd w:val="0"/>
              <w:ind w:left="266" w:hanging="376"/>
              <w:textAlignment w:val="baseline"/>
              <w:rPr>
                <w:bCs/>
                <w:sz w:val="22"/>
                <w:szCs w:val="22"/>
              </w:rPr>
            </w:pPr>
            <w:r>
              <w:t>EESC-2023-00689-00-00-AC</w:t>
            </w:r>
          </w:p>
        </w:tc>
      </w:tr>
    </w:tbl>
    <w:p w:rsidRPr="00240D4D" w:rsidR="00240D4D" w:rsidP="00AD584C" w:rsidRDefault="00240D4D" w14:paraId="208956D2" w14:textId="77777777">
      <w:pPr>
        <w:keepNext/>
        <w:keepLines/>
        <w:tabs>
          <w:tab w:val="center" w:pos="284"/>
        </w:tabs>
        <w:overflowPunct w:val="0"/>
        <w:autoSpaceDE w:val="0"/>
        <w:autoSpaceDN w:val="0"/>
        <w:adjustRightInd w:val="0"/>
        <w:spacing w:line="168" w:lineRule="auto"/>
        <w:ind w:left="266" w:hanging="266"/>
        <w:textAlignment w:val="baseline"/>
        <w:rPr>
          <w:b/>
          <w:sz w:val="16"/>
          <w:szCs w:val="16"/>
        </w:rPr>
      </w:pPr>
    </w:p>
    <w:p w:rsidR="00240D4D" w:rsidP="00240D4D" w:rsidRDefault="00240D4D" w14:paraId="4FD48231" w14:textId="120D9276">
      <w:pPr>
        <w:keepNext/>
        <w:keepLines/>
        <w:tabs>
          <w:tab w:val="center" w:pos="284"/>
        </w:tabs>
        <w:overflowPunct w:val="0"/>
        <w:autoSpaceDE w:val="0"/>
        <w:autoSpaceDN w:val="0"/>
        <w:adjustRightInd w:val="0"/>
        <w:ind w:left="266" w:hanging="266"/>
        <w:textAlignment w:val="baseline"/>
        <w:rPr>
          <w:b/>
        </w:rPr>
      </w:pPr>
      <w:r>
        <w:rPr>
          <w:b/>
        </w:rPr>
        <w:t>Pontos principais</w:t>
      </w:r>
    </w:p>
    <w:p w:rsidRPr="00240D4D" w:rsidR="00875906" w:rsidP="00AD584C" w:rsidRDefault="00875906" w14:paraId="61572544" w14:textId="77777777">
      <w:pPr>
        <w:keepNext/>
        <w:keepLines/>
        <w:tabs>
          <w:tab w:val="center" w:pos="284"/>
        </w:tabs>
        <w:overflowPunct w:val="0"/>
        <w:autoSpaceDE w:val="0"/>
        <w:autoSpaceDN w:val="0"/>
        <w:adjustRightInd w:val="0"/>
        <w:spacing w:line="168" w:lineRule="auto"/>
        <w:ind w:left="266" w:hanging="266"/>
        <w:textAlignment w:val="baseline"/>
        <w:rPr>
          <w:b/>
        </w:rPr>
      </w:pPr>
    </w:p>
    <w:p w:rsidR="00240D4D" w:rsidP="00240D4D" w:rsidRDefault="00240D4D" w14:paraId="26936BB7" w14:textId="7C3A5072">
      <w:pPr>
        <w:overflowPunct w:val="0"/>
        <w:autoSpaceDE w:val="0"/>
        <w:autoSpaceDN w:val="0"/>
        <w:adjustRightInd w:val="0"/>
        <w:textAlignment w:val="baseline"/>
        <w:rPr>
          <w:bCs/>
          <w:iCs/>
        </w:rPr>
      </w:pPr>
      <w:r>
        <w:t>O Comité Económico e Social Europeu:</w:t>
      </w:r>
    </w:p>
    <w:p w:rsidR="00A5032A" w:rsidP="00AD584C" w:rsidRDefault="00A5032A" w14:paraId="642D1C40" w14:textId="77777777">
      <w:pPr>
        <w:overflowPunct w:val="0"/>
        <w:autoSpaceDE w:val="0"/>
        <w:autoSpaceDN w:val="0"/>
        <w:adjustRightInd w:val="0"/>
        <w:spacing w:line="168" w:lineRule="auto"/>
        <w:ind w:left="210"/>
        <w:contextualSpacing/>
        <w:textAlignment w:val="baseline"/>
        <w:outlineLvl w:val="1"/>
        <w:rPr>
          <w:bCs/>
          <w:iCs/>
        </w:rPr>
      </w:pPr>
    </w:p>
    <w:p w:rsidRPr="000A0B04" w:rsidR="00240D4D" w:rsidP="007E58E2" w:rsidRDefault="00240D4D" w14:paraId="00982420" w14:textId="43D215D9">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 xml:space="preserve">saúda o compromisso, assumido na </w:t>
      </w:r>
      <w:hyperlink w:history="1" r:id="rId24">
        <w:r>
          <w:rPr>
            <w:rStyle w:val="Hyperlink"/>
          </w:rPr>
          <w:t>Comunicação – Aproveitar os talentos nas regiões da Europa</w:t>
        </w:r>
      </w:hyperlink>
      <w:r>
        <w:t>, de apoiar a conceção e aplicação de estratégias regionais e territoriais específicas, que têm por base a situação e os ativos específicos da região, bem como uma aplicação ambiciosa do Pilar Europeu dos Direitos Sociais;</w:t>
      </w:r>
    </w:p>
    <w:p w:rsidRPr="000A0B04" w:rsidR="00240D4D" w:rsidP="00A2086E" w:rsidRDefault="00240D4D" w14:paraId="67AE8E87" w14:textId="3C2E6DF7">
      <w:pPr>
        <w:pStyle w:val="ListParagraph"/>
        <w:numPr>
          <w:ilvl w:val="0"/>
          <w:numId w:val="19"/>
        </w:numPr>
        <w:overflowPunct w:val="0"/>
        <w:autoSpaceDE w:val="0"/>
        <w:autoSpaceDN w:val="0"/>
        <w:adjustRightInd w:val="0"/>
        <w:spacing w:after="200" w:line="240" w:lineRule="auto"/>
        <w:ind w:left="426" w:hanging="426"/>
        <w:textAlignment w:val="baseline"/>
        <w:outlineLvl w:val="1"/>
        <w:rPr>
          <w:rFonts w:ascii="Calibri" w:hAnsi="Calibri"/>
        </w:rPr>
      </w:pPr>
      <w:r>
        <w:t>salienta que é necessário garantir a todos os cidadãos da União Europeia (UE) o princípio fundamental da integração europeia, a saber, a liberdade de circulação, privilegiando uma abordagem holística e a longo prazo do desenvolvimento regional e da integração no mercado de trabalho;</w:t>
      </w:r>
    </w:p>
    <w:p w:rsidRPr="000A0B04" w:rsidR="00240D4D" w:rsidP="00A2086E" w:rsidRDefault="00240D4D" w14:paraId="2E9EC602" w14:textId="5C3D77C4">
      <w:pPr>
        <w:pStyle w:val="ListParagraph"/>
        <w:numPr>
          <w:ilvl w:val="0"/>
          <w:numId w:val="19"/>
        </w:numPr>
        <w:overflowPunct w:val="0"/>
        <w:autoSpaceDE w:val="0"/>
        <w:autoSpaceDN w:val="0"/>
        <w:adjustRightInd w:val="0"/>
        <w:spacing w:after="200" w:line="240" w:lineRule="auto"/>
        <w:ind w:left="426" w:hanging="426"/>
        <w:textAlignment w:val="baseline"/>
        <w:outlineLvl w:val="1"/>
        <w:rPr>
          <w:rFonts w:ascii="Calibri" w:hAnsi="Calibri"/>
        </w:rPr>
      </w:pPr>
      <w:r>
        <w:t>salienta que uma abordagem mais adequada da escassez de mão de obra e de competências passa por soluções a longo prazo para apoiar o desenvolvimento regional, como melhores infraestruturas e recursos sustentáveis;</w:t>
      </w:r>
    </w:p>
    <w:p w:rsidRPr="00A2086E" w:rsidR="00240D4D" w:rsidP="00A2086E" w:rsidRDefault="00240D4D" w14:paraId="1C1F0E6D" w14:textId="57F50DC2">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acolhe favoravelmente a mobilização de vários instrumentos de financiamento da UE ao abrigo da política de coesão (FEDER, FSE+, Fundo de Coesão e Fundo para uma Transição Justa) para o período de programação 2021-2027, com vista a reduzir as disparidades regionais e aplicar o Pilar Europeu dos Direitos Sociais;</w:t>
      </w:r>
    </w:p>
    <w:p w:rsidRPr="00A2086E" w:rsidR="00240D4D" w:rsidP="00A2086E" w:rsidRDefault="00240D4D" w14:paraId="6E791AF3" w14:textId="5E844FCC">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insta a Comissão Europeia e os Estados-Membros a porem em prática políticas de coesão e fundos da UE para apoiar a configuração das transições no mercado de trabalho de forma a não deixar nenhum trabalhador ou região para trás;</w:t>
      </w:r>
    </w:p>
    <w:p w:rsidRPr="00A2086E" w:rsidR="00240D4D" w:rsidP="00A2086E" w:rsidRDefault="00240D4D" w14:paraId="370BD4B0" w14:textId="14F620C0">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insta a Comissão Europeia e os Estados-Membros a encetarem debates sobre os próximos processos de apoio ao QFP com vista a assegurar a avaliação das necessidades e dos fundos a nível da UE;</w:t>
      </w:r>
    </w:p>
    <w:p w:rsidRPr="00A2086E" w:rsidR="00240D4D" w:rsidP="00A2086E" w:rsidRDefault="00240D4D" w14:paraId="5BEB39E1" w14:textId="41531ED8">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insta a Comissão Europeia e os Estados-Membros a assegurarem que o mercado de trabalho europeu e as políticas de coesão se baseiam no investimento sustentável em postos de trabalho de qualidade, no acesso à formação e aos serviços essenciais, no diálogo social e na negociação coletiva, respeitando os parceiros sociais;</w:t>
      </w:r>
    </w:p>
    <w:p w:rsidRPr="00A2086E" w:rsidR="00240D4D" w:rsidP="00A2086E" w:rsidRDefault="00240D4D" w14:paraId="6A1853B0" w14:textId="2CD32E0B">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insta a Comissão Europeia e os Estados-Membros a respeitarem os direitos humanos e a combaterem eficazmente a corrupção, defendendo assim o Estado de direito, que é fundamental para tornar as regiões atrativas para os intervenientes no mercado de trabalho;</w:t>
      </w:r>
    </w:p>
    <w:p w:rsidRPr="00A2086E" w:rsidR="00240D4D" w:rsidP="00A2086E" w:rsidRDefault="00240D4D" w14:paraId="424F76CE" w14:textId="3C9A3337">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preconiza um diálogo social eficiente e uma participação efetiva das organizações da sociedade civil em todas as questões ligadas à estratégia em apreço para alcançar um desenvolvimento regional de qualidade;</w:t>
      </w:r>
    </w:p>
    <w:p w:rsidRPr="00A2086E" w:rsidR="00240D4D" w:rsidP="00A2086E" w:rsidRDefault="00240D4D" w14:paraId="7D8D9DF1" w14:textId="02AB88F2">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 xml:space="preserve">salienta a necessidade de assegurar uma governação democrática nas políticas de desenvolvimento regional e uma cooperação estreita entre os órgãos de poder regional, as organizações de parceiros sociais, os serviços de emprego e os prestadores de educação e formação nas regiões; </w:t>
      </w:r>
    </w:p>
    <w:p w:rsidRPr="00A2086E" w:rsidR="00240D4D" w:rsidP="00A2086E" w:rsidRDefault="00240D4D" w14:paraId="3CF10FFA" w14:textId="09B155BA">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 xml:space="preserve">insta a Comissão Europeia a utilizar o Semestre Europeu e o painel de indicadores sociais da UE como instrumentos para formular recomendações específicas aos Estados-Membros com vista a combater as desigualdades regionais; </w:t>
      </w:r>
    </w:p>
    <w:p w:rsidRPr="00A2086E" w:rsidR="00240D4D" w:rsidP="00A2086E" w:rsidRDefault="00240D4D" w14:paraId="06FEB32E" w14:textId="733281AF">
      <w:pPr>
        <w:pStyle w:val="ListParagraph"/>
        <w:numPr>
          <w:ilvl w:val="0"/>
          <w:numId w:val="19"/>
        </w:numPr>
        <w:overflowPunct w:val="0"/>
        <w:autoSpaceDE w:val="0"/>
        <w:autoSpaceDN w:val="0"/>
        <w:adjustRightInd w:val="0"/>
        <w:spacing w:after="200" w:line="240" w:lineRule="auto"/>
        <w:ind w:left="426" w:hanging="426"/>
        <w:textAlignment w:val="baseline"/>
        <w:outlineLvl w:val="1"/>
        <w:rPr>
          <w:szCs w:val="20"/>
        </w:rPr>
      </w:pPr>
      <w:r>
        <w:t>realça a necessidade de os governos, os órgãos de poder local e regional, os serviços sociais, as empresas e os sindicatos trabalharem em conjunto no âmbito do diálogo social para proporcionarem aos trabalhadores soluções eficazes para as suas necessidades parentais e de prestação de cuidados;</w:t>
      </w:r>
    </w:p>
    <w:p w:rsidRPr="00A2086E" w:rsidR="00240D4D" w:rsidP="00A2086E" w:rsidRDefault="00240D4D" w14:paraId="742C9884" w14:textId="146EACFE">
      <w:pPr>
        <w:pStyle w:val="ListParagraph"/>
        <w:numPr>
          <w:ilvl w:val="0"/>
          <w:numId w:val="19"/>
        </w:numPr>
        <w:overflowPunct w:val="0"/>
        <w:autoSpaceDE w:val="0"/>
        <w:autoSpaceDN w:val="0"/>
        <w:adjustRightInd w:val="0"/>
        <w:spacing w:line="240" w:lineRule="auto"/>
        <w:ind w:left="426" w:hanging="426"/>
        <w:textAlignment w:val="baseline"/>
        <w:outlineLvl w:val="1"/>
        <w:rPr>
          <w:szCs w:val="20"/>
        </w:rPr>
      </w:pPr>
      <w:r>
        <w:t>insta os Estados-Membros a elaborarem políticas em matéria de competências e de aprendizagem ao longo da vida que visem o desenvolvimento regional, juntamente com investimentos e medidas políticas complementares para melhorar a qualidade da educação e formação e o respetivo acesso para todos.</w:t>
      </w:r>
    </w:p>
    <w:p w:rsidRPr="00240D4D" w:rsidR="008866A5" w:rsidP="00AD584C" w:rsidRDefault="008866A5" w14:paraId="74EF4BA9" w14:textId="77777777">
      <w:pPr>
        <w:overflowPunct w:val="0"/>
        <w:autoSpaceDE w:val="0"/>
        <w:autoSpaceDN w:val="0"/>
        <w:adjustRightInd w:val="0"/>
        <w:spacing w:line="168" w:lineRule="auto"/>
        <w:ind w:left="210"/>
        <w:contextualSpacing/>
        <w:textAlignment w:val="baseline"/>
        <w:outlineLvl w:val="1"/>
        <w:rPr>
          <w:szCs w:val="20"/>
        </w:rPr>
      </w:pPr>
    </w:p>
    <w:tbl>
      <w:tblPr>
        <w:tblStyle w:val="TableGrid3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240D4D" w:rsidR="00353184" w:rsidTr="003478A6" w14:paraId="347AA8C8" w14:textId="77777777">
        <w:tc>
          <w:tcPr>
            <w:tcW w:w="1418" w:type="dxa"/>
          </w:tcPr>
          <w:p w:rsidRPr="00240D4D" w:rsidR="00353184" w:rsidP="003478A6" w:rsidRDefault="00353184" w14:paraId="2FE32813" w14:textId="77777777">
            <w:pPr>
              <w:overflowPunct w:val="0"/>
              <w:autoSpaceDE w:val="0"/>
              <w:autoSpaceDN w:val="0"/>
              <w:adjustRightInd w:val="0"/>
              <w:spacing w:line="240" w:lineRule="auto"/>
              <w:textAlignment w:val="baseline"/>
              <w:rPr>
                <w:i/>
              </w:rPr>
            </w:pPr>
            <w:r>
              <w:rPr>
                <w:b/>
                <w:i/>
              </w:rPr>
              <w:t>Contacto</w:t>
            </w:r>
          </w:p>
        </w:tc>
        <w:tc>
          <w:tcPr>
            <w:tcW w:w="5670" w:type="dxa"/>
          </w:tcPr>
          <w:p w:rsidRPr="00240D4D" w:rsidR="00353184" w:rsidP="003478A6" w:rsidRDefault="00353184" w14:paraId="6873907B" w14:textId="77777777">
            <w:pPr>
              <w:overflowPunct w:val="0"/>
              <w:autoSpaceDE w:val="0"/>
              <w:autoSpaceDN w:val="0"/>
              <w:adjustRightInd w:val="0"/>
              <w:spacing w:line="240" w:lineRule="auto"/>
              <w:textAlignment w:val="baseline"/>
              <w:rPr>
                <w:b/>
                <w:bCs/>
                <w:i/>
              </w:rPr>
            </w:pPr>
            <w:r>
              <w:rPr>
                <w:b/>
                <w:i/>
              </w:rPr>
              <w:t>Georgios Meleas</w:t>
            </w:r>
          </w:p>
        </w:tc>
      </w:tr>
      <w:tr w:rsidRPr="00240D4D" w:rsidR="00353184" w:rsidTr="003478A6" w14:paraId="6DDCE237" w14:textId="77777777">
        <w:trPr>
          <w:trHeight w:val="313"/>
        </w:trPr>
        <w:tc>
          <w:tcPr>
            <w:tcW w:w="1418" w:type="dxa"/>
          </w:tcPr>
          <w:p w:rsidRPr="00240D4D" w:rsidR="00353184" w:rsidP="003478A6" w:rsidRDefault="00353184" w14:paraId="60A9E249" w14:textId="77777777">
            <w:pPr>
              <w:overflowPunct w:val="0"/>
              <w:autoSpaceDE w:val="0"/>
              <w:autoSpaceDN w:val="0"/>
              <w:adjustRightInd w:val="0"/>
              <w:spacing w:line="240" w:lineRule="auto"/>
              <w:textAlignment w:val="baseline"/>
              <w:rPr>
                <w:i/>
              </w:rPr>
            </w:pPr>
            <w:r>
              <w:rPr>
                <w:i/>
              </w:rPr>
              <w:t>Tel.</w:t>
            </w:r>
          </w:p>
        </w:tc>
        <w:tc>
          <w:tcPr>
            <w:tcW w:w="5670" w:type="dxa"/>
          </w:tcPr>
          <w:p w:rsidRPr="00240D4D" w:rsidR="00353184" w:rsidP="003478A6" w:rsidRDefault="00353184" w14:paraId="705AFE5B" w14:textId="77777777">
            <w:pPr>
              <w:overflowPunct w:val="0"/>
              <w:autoSpaceDE w:val="0"/>
              <w:autoSpaceDN w:val="0"/>
              <w:adjustRightInd w:val="0"/>
              <w:spacing w:line="240" w:lineRule="auto"/>
              <w:textAlignment w:val="baseline"/>
              <w:rPr>
                <w:i/>
              </w:rPr>
            </w:pPr>
            <w:r>
              <w:rPr>
                <w:i/>
              </w:rPr>
              <w:t>+32 2 546 9795</w:t>
            </w:r>
          </w:p>
        </w:tc>
      </w:tr>
      <w:tr w:rsidRPr="00240D4D" w:rsidR="00353184" w:rsidTr="003478A6" w14:paraId="47EC58CE" w14:textId="77777777">
        <w:tc>
          <w:tcPr>
            <w:tcW w:w="1418" w:type="dxa"/>
          </w:tcPr>
          <w:p w:rsidRPr="00240D4D" w:rsidR="00353184" w:rsidP="003478A6" w:rsidRDefault="00353184" w14:paraId="4DDF4D3E" w14:textId="77777777">
            <w:pPr>
              <w:overflowPunct w:val="0"/>
              <w:autoSpaceDE w:val="0"/>
              <w:autoSpaceDN w:val="0"/>
              <w:adjustRightInd w:val="0"/>
              <w:spacing w:line="240" w:lineRule="auto"/>
              <w:textAlignment w:val="baseline"/>
              <w:rPr>
                <w:i/>
              </w:rPr>
            </w:pPr>
            <w:r>
              <w:rPr>
                <w:i/>
              </w:rPr>
              <w:t>Endereço eletrónico</w:t>
            </w:r>
          </w:p>
        </w:tc>
        <w:tc>
          <w:tcPr>
            <w:tcW w:w="5670" w:type="dxa"/>
          </w:tcPr>
          <w:p w:rsidRPr="00240D4D" w:rsidR="00353184" w:rsidP="003478A6" w:rsidRDefault="007E421A" w14:paraId="3036F89C" w14:textId="4293EAC2">
            <w:pPr>
              <w:overflowPunct w:val="0"/>
              <w:autoSpaceDE w:val="0"/>
              <w:autoSpaceDN w:val="0"/>
              <w:adjustRightInd w:val="0"/>
              <w:spacing w:line="240" w:lineRule="auto"/>
              <w:textAlignment w:val="baseline"/>
              <w:rPr>
                <w:i/>
              </w:rPr>
            </w:pPr>
            <w:hyperlink w:history="1" r:id="rId25">
              <w:r w:rsidR="00E11732">
                <w:rPr>
                  <w:rStyle w:val="Hyperlink"/>
                  <w:i/>
                </w:rPr>
                <w:t>Georgios.Meleas@eesc.europa.eu</w:t>
              </w:r>
            </w:hyperlink>
          </w:p>
        </w:tc>
      </w:tr>
    </w:tbl>
    <w:p w:rsidRPr="00E5373B" w:rsidR="00E5373B" w:rsidP="00A2086E" w:rsidRDefault="007E421A" w14:paraId="743EEBC6" w14:textId="401883EE">
      <w:pPr>
        <w:pageBreakBefore/>
        <w:widowControl w:val="0"/>
        <w:numPr>
          <w:ilvl w:val="0"/>
          <w:numId w:val="1"/>
        </w:numPr>
        <w:overflowPunct w:val="0"/>
        <w:autoSpaceDE w:val="0"/>
        <w:autoSpaceDN w:val="0"/>
        <w:adjustRightInd w:val="0"/>
        <w:ind w:hanging="567"/>
        <w:textAlignment w:val="baseline"/>
        <w:rPr>
          <w:b/>
          <w:bCs/>
          <w:i/>
          <w:iCs/>
          <w:sz w:val="28"/>
          <w:szCs w:val="28"/>
        </w:rPr>
      </w:pPr>
      <w:hyperlink w:history="1" r:id="rId26">
        <w:r w:rsidR="00E11732">
          <w:rPr>
            <w:b/>
            <w:i/>
            <w:color w:val="0000FF"/>
            <w:sz w:val="28"/>
            <w:u w:val="single"/>
          </w:rPr>
          <w:t>Segundo conjunto de novos recursos próprios</w:t>
        </w:r>
      </w:hyperlink>
    </w:p>
    <w:p w:rsidRPr="00E5373B" w:rsidR="00353184" w:rsidP="00E5373B" w:rsidRDefault="00353184" w14:paraId="666742E9" w14:textId="77777777">
      <w:pPr>
        <w:widowControl w:val="0"/>
        <w:overflowPunct w:val="0"/>
        <w:autoSpaceDE w:val="0"/>
        <w:autoSpaceDN w:val="0"/>
        <w:adjustRightInd w:val="0"/>
        <w:ind w:left="266"/>
        <w:textAlignment w:val="baseline"/>
        <w:rPr>
          <w:b/>
        </w:rPr>
      </w:pPr>
    </w:p>
    <w:tbl>
      <w:tblPr>
        <w:tblStyle w:val="TableGrid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5373B" w:rsidR="00E5373B" w:rsidTr="00D97149" w14:paraId="5686E024" w14:textId="77777777">
        <w:tc>
          <w:tcPr>
            <w:tcW w:w="1701" w:type="dxa"/>
          </w:tcPr>
          <w:p w:rsidRPr="00E5373B" w:rsidR="00E5373B" w:rsidP="00A2086E" w:rsidRDefault="00E5373B" w14:paraId="5A81C5CF" w14:textId="77777777">
            <w:pPr>
              <w:tabs>
                <w:tab w:val="center" w:pos="284"/>
              </w:tabs>
              <w:overflowPunct w:val="0"/>
              <w:autoSpaceDE w:val="0"/>
              <w:autoSpaceDN w:val="0"/>
              <w:adjustRightInd w:val="0"/>
              <w:ind w:left="266" w:hanging="376"/>
              <w:textAlignment w:val="baseline"/>
              <w:rPr>
                <w:b/>
              </w:rPr>
            </w:pPr>
            <w:r>
              <w:rPr>
                <w:b/>
              </w:rPr>
              <w:t>Relator</w:t>
            </w:r>
          </w:p>
        </w:tc>
        <w:tc>
          <w:tcPr>
            <w:tcW w:w="5387" w:type="dxa"/>
          </w:tcPr>
          <w:p w:rsidRPr="00E5373B" w:rsidR="00E5373B" w:rsidP="00E5373B" w:rsidRDefault="00E5373B" w14:paraId="3F8E70B7" w14:textId="560D0440">
            <w:pPr>
              <w:tabs>
                <w:tab w:val="center" w:pos="284"/>
              </w:tabs>
              <w:overflowPunct w:val="0"/>
              <w:autoSpaceDE w:val="0"/>
              <w:autoSpaceDN w:val="0"/>
              <w:adjustRightInd w:val="0"/>
              <w:ind w:left="266" w:hanging="266"/>
              <w:textAlignment w:val="baseline"/>
            </w:pPr>
            <w:r>
              <w:t>Philip von Brockdorff (MT – Grupo dos Trabalhadores)</w:t>
            </w:r>
          </w:p>
        </w:tc>
      </w:tr>
      <w:tr w:rsidRPr="00E5373B" w:rsidR="00E5373B" w:rsidTr="00D97149" w14:paraId="496A0D9F" w14:textId="77777777">
        <w:tc>
          <w:tcPr>
            <w:tcW w:w="7088" w:type="dxa"/>
            <w:gridSpan w:val="2"/>
          </w:tcPr>
          <w:p w:rsidRPr="00E5373B" w:rsidR="00E5373B" w:rsidP="00A2086E" w:rsidRDefault="00E5373B" w14:paraId="0F519FBF" w14:textId="77777777">
            <w:pPr>
              <w:tabs>
                <w:tab w:val="center" w:pos="284"/>
              </w:tabs>
              <w:overflowPunct w:val="0"/>
              <w:autoSpaceDE w:val="0"/>
              <w:autoSpaceDN w:val="0"/>
              <w:adjustRightInd w:val="0"/>
              <w:spacing w:line="160" w:lineRule="exact"/>
              <w:ind w:left="266" w:hanging="376"/>
              <w:textAlignment w:val="baseline"/>
            </w:pPr>
          </w:p>
        </w:tc>
      </w:tr>
      <w:tr w:rsidRPr="00E5373B" w:rsidR="00E5373B" w:rsidTr="00D97149" w14:paraId="1CB0DA9D" w14:textId="77777777">
        <w:tc>
          <w:tcPr>
            <w:tcW w:w="1701" w:type="dxa"/>
            <w:vMerge w:val="restart"/>
          </w:tcPr>
          <w:p w:rsidRPr="00E5373B" w:rsidR="00E5373B" w:rsidP="00A2086E" w:rsidRDefault="00E5373B" w14:paraId="04995F30" w14:textId="77777777">
            <w:pPr>
              <w:tabs>
                <w:tab w:val="center" w:pos="284"/>
              </w:tabs>
              <w:overflowPunct w:val="0"/>
              <w:autoSpaceDE w:val="0"/>
              <w:autoSpaceDN w:val="0"/>
              <w:adjustRightInd w:val="0"/>
              <w:ind w:left="266" w:hanging="376"/>
              <w:textAlignment w:val="baseline"/>
              <w:rPr>
                <w:b/>
              </w:rPr>
            </w:pPr>
            <w:r>
              <w:rPr>
                <w:b/>
              </w:rPr>
              <w:t xml:space="preserve">Referência </w:t>
            </w:r>
          </w:p>
        </w:tc>
        <w:tc>
          <w:tcPr>
            <w:tcW w:w="5387" w:type="dxa"/>
          </w:tcPr>
          <w:p w:rsidRPr="00E5373B" w:rsidR="00E5373B" w:rsidP="00E5373B" w:rsidRDefault="00E5373B" w14:paraId="0AE5606D" w14:textId="77777777">
            <w:pPr>
              <w:tabs>
                <w:tab w:val="center" w:pos="284"/>
              </w:tabs>
              <w:overflowPunct w:val="0"/>
              <w:autoSpaceDE w:val="0"/>
              <w:autoSpaceDN w:val="0"/>
              <w:adjustRightInd w:val="0"/>
              <w:textAlignment w:val="baseline"/>
            </w:pPr>
            <w:r>
              <w:t>Parecer exploratório a pedido da Comissão Europeia</w:t>
            </w:r>
          </w:p>
        </w:tc>
      </w:tr>
      <w:tr w:rsidRPr="00E5373B" w:rsidR="00E5373B" w:rsidTr="00D97149" w14:paraId="1DD929D7" w14:textId="77777777">
        <w:tc>
          <w:tcPr>
            <w:tcW w:w="1701" w:type="dxa"/>
            <w:vMerge/>
          </w:tcPr>
          <w:p w:rsidRPr="00E5373B" w:rsidR="00E5373B" w:rsidP="00E5373B" w:rsidRDefault="00E5373B" w14:paraId="47BF8889" w14:textId="77777777">
            <w:pPr>
              <w:tabs>
                <w:tab w:val="center" w:pos="284"/>
              </w:tabs>
              <w:overflowPunct w:val="0"/>
              <w:autoSpaceDE w:val="0"/>
              <w:autoSpaceDN w:val="0"/>
              <w:adjustRightInd w:val="0"/>
              <w:ind w:left="266" w:hanging="266"/>
              <w:textAlignment w:val="baseline"/>
              <w:rPr>
                <w:b/>
              </w:rPr>
            </w:pPr>
          </w:p>
        </w:tc>
        <w:tc>
          <w:tcPr>
            <w:tcW w:w="5387" w:type="dxa"/>
          </w:tcPr>
          <w:p w:rsidRPr="00E5373B" w:rsidR="00E5373B" w:rsidP="00E5373B" w:rsidRDefault="00E5373B" w14:paraId="19E5BEE5" w14:textId="4C68EEFB">
            <w:pPr>
              <w:tabs>
                <w:tab w:val="center" w:pos="284"/>
              </w:tabs>
              <w:overflowPunct w:val="0"/>
              <w:autoSpaceDE w:val="0"/>
              <w:autoSpaceDN w:val="0"/>
              <w:adjustRightInd w:val="0"/>
              <w:ind w:left="266" w:hanging="266"/>
              <w:textAlignment w:val="baseline"/>
            </w:pPr>
            <w:r>
              <w:t xml:space="preserve">EESC- 2023-00788-00-00-AC </w:t>
            </w:r>
          </w:p>
        </w:tc>
      </w:tr>
    </w:tbl>
    <w:p w:rsidRPr="00E5373B" w:rsidR="00E5373B" w:rsidP="00E5373B" w:rsidRDefault="00E5373B" w14:paraId="2F26DDFF" w14:textId="7A2E0B33">
      <w:pPr>
        <w:tabs>
          <w:tab w:val="center" w:pos="284"/>
        </w:tabs>
        <w:overflowPunct w:val="0"/>
        <w:autoSpaceDE w:val="0"/>
        <w:autoSpaceDN w:val="0"/>
        <w:adjustRightInd w:val="0"/>
        <w:ind w:left="266" w:hanging="266"/>
        <w:textAlignment w:val="baseline"/>
      </w:pPr>
    </w:p>
    <w:p w:rsidRPr="00E5373B" w:rsidR="00E5373B" w:rsidP="00E5373B" w:rsidRDefault="00E5373B" w14:paraId="011F3EA8"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E5373B" w:rsidR="00E5373B" w:rsidP="00E5373B" w:rsidRDefault="00E5373B" w14:paraId="26B35D4B" w14:textId="77777777">
      <w:pPr>
        <w:keepNext/>
        <w:keepLines/>
        <w:tabs>
          <w:tab w:val="center" w:pos="284"/>
        </w:tabs>
        <w:overflowPunct w:val="0"/>
        <w:autoSpaceDE w:val="0"/>
        <w:autoSpaceDN w:val="0"/>
        <w:adjustRightInd w:val="0"/>
        <w:ind w:left="266" w:hanging="266"/>
        <w:textAlignment w:val="baseline"/>
        <w:rPr>
          <w:b/>
        </w:rPr>
      </w:pPr>
    </w:p>
    <w:p w:rsidR="00E5373B" w:rsidP="00E5373B" w:rsidRDefault="00E5373B" w14:paraId="4A0ECACE" w14:textId="2AB95C09">
      <w:pPr>
        <w:overflowPunct w:val="0"/>
        <w:autoSpaceDE w:val="0"/>
        <w:autoSpaceDN w:val="0"/>
        <w:adjustRightInd w:val="0"/>
        <w:textAlignment w:val="baseline"/>
        <w:rPr>
          <w:bCs/>
          <w:iCs/>
        </w:rPr>
      </w:pPr>
      <w:r>
        <w:t>O Comité Económico e Social Europeu:</w:t>
      </w:r>
    </w:p>
    <w:p w:rsidR="00612458" w:rsidP="00E5373B" w:rsidRDefault="00612458" w14:paraId="240CA15C" w14:textId="77777777">
      <w:pPr>
        <w:overflowPunct w:val="0"/>
        <w:autoSpaceDE w:val="0"/>
        <w:autoSpaceDN w:val="0"/>
        <w:adjustRightInd w:val="0"/>
        <w:textAlignment w:val="baseline"/>
        <w:rPr>
          <w:bCs/>
          <w:iCs/>
        </w:rPr>
      </w:pPr>
    </w:p>
    <w:p w:rsidRPr="00E5373B" w:rsidR="00E5373B" w:rsidP="00A2086E" w:rsidRDefault="00E5373B" w14:paraId="34872DE5" w14:textId="70A4E3F4">
      <w:pPr>
        <w:numPr>
          <w:ilvl w:val="0"/>
          <w:numId w:val="20"/>
        </w:numPr>
        <w:overflowPunct w:val="0"/>
        <w:autoSpaceDE w:val="0"/>
        <w:autoSpaceDN w:val="0"/>
        <w:adjustRightInd w:val="0"/>
        <w:spacing w:after="200" w:line="276" w:lineRule="auto"/>
        <w:ind w:left="567" w:hanging="567"/>
        <w:contextualSpacing/>
        <w:textAlignment w:val="baseline"/>
        <w:rPr>
          <w:bCs/>
          <w:iCs/>
        </w:rPr>
      </w:pPr>
      <w:r>
        <w:t>salienta que a elaboração de propostas para novas fontes de recursos próprios deve ser feita no contexto das pressões orçamentais que os Estados-Membros enfrentam na sequência da pandemia e das tensões atuais a nível internacional. Este aspeto torna-se ainda mais importante no contexto atual do aumento das taxas de juro;</w:t>
      </w:r>
    </w:p>
    <w:p w:rsidRPr="00E5373B" w:rsidR="00E5373B" w:rsidP="00A2086E" w:rsidRDefault="00E5373B" w14:paraId="40F87F4F" w14:textId="00CA0081">
      <w:pPr>
        <w:numPr>
          <w:ilvl w:val="0"/>
          <w:numId w:val="20"/>
        </w:numPr>
        <w:overflowPunct w:val="0"/>
        <w:autoSpaceDE w:val="0"/>
        <w:autoSpaceDN w:val="0"/>
        <w:adjustRightInd w:val="0"/>
        <w:spacing w:after="200" w:line="276" w:lineRule="auto"/>
        <w:ind w:left="567" w:hanging="567"/>
        <w:contextualSpacing/>
        <w:textAlignment w:val="baseline"/>
        <w:rPr>
          <w:bCs/>
          <w:iCs/>
        </w:rPr>
      </w:pPr>
      <w:r>
        <w:t xml:space="preserve">observa que o recurso próprio baseado nos resíduos de embalagens de plástico não reciclados se encontra em vigor e salienta a importância de adotar e transpor de forma harmonizada essa regulamentação; </w:t>
      </w:r>
    </w:p>
    <w:p w:rsidRPr="00E5373B" w:rsidR="00E5373B" w:rsidP="00A2086E" w:rsidRDefault="00E5373B" w14:paraId="1838E0BA" w14:textId="608207E3">
      <w:pPr>
        <w:numPr>
          <w:ilvl w:val="0"/>
          <w:numId w:val="20"/>
        </w:numPr>
        <w:overflowPunct w:val="0"/>
        <w:autoSpaceDE w:val="0"/>
        <w:autoSpaceDN w:val="0"/>
        <w:adjustRightInd w:val="0"/>
        <w:spacing w:after="200" w:line="276" w:lineRule="auto"/>
        <w:ind w:left="567" w:hanging="567"/>
        <w:contextualSpacing/>
        <w:textAlignment w:val="baseline"/>
        <w:rPr>
          <w:bCs/>
          <w:iCs/>
        </w:rPr>
      </w:pPr>
      <w:r>
        <w:t>considera igualmente que um recurso próprio calculado com base no volume de resíduos urbanos depositados em aterros é outra opção viável, que também favoreceria a economia circular;</w:t>
      </w:r>
    </w:p>
    <w:p w:rsidRPr="00E5373B" w:rsidR="00E5373B" w:rsidP="00A2086E" w:rsidRDefault="00E5373B" w14:paraId="5912100B" w14:textId="7775840D">
      <w:pPr>
        <w:numPr>
          <w:ilvl w:val="0"/>
          <w:numId w:val="20"/>
        </w:numPr>
        <w:overflowPunct w:val="0"/>
        <w:autoSpaceDE w:val="0"/>
        <w:autoSpaceDN w:val="0"/>
        <w:adjustRightInd w:val="0"/>
        <w:spacing w:after="200" w:line="276" w:lineRule="auto"/>
        <w:ind w:left="567" w:hanging="567"/>
        <w:contextualSpacing/>
        <w:textAlignment w:val="baseline"/>
        <w:rPr>
          <w:bCs/>
          <w:iCs/>
        </w:rPr>
      </w:pPr>
      <w:r>
        <w:t>insta a Comissão a elaborar o mais rapidamente possível as propostas relativas à iniciativa Empresas na Europa: Quadro para a Tributação das Receitas (BEFIT) e solicita uma estimativa mais precisa das potenciais receitas adicionais associadas à sua aplicação;</w:t>
      </w:r>
    </w:p>
    <w:p w:rsidRPr="00E5373B" w:rsidR="00E5373B" w:rsidP="00A2086E" w:rsidRDefault="00E5373B" w14:paraId="24FE52FC" w14:textId="7257E44D">
      <w:pPr>
        <w:numPr>
          <w:ilvl w:val="0"/>
          <w:numId w:val="20"/>
        </w:numPr>
        <w:overflowPunct w:val="0"/>
        <w:autoSpaceDE w:val="0"/>
        <w:autoSpaceDN w:val="0"/>
        <w:adjustRightInd w:val="0"/>
        <w:spacing w:after="200" w:line="276" w:lineRule="auto"/>
        <w:ind w:left="567" w:hanging="567"/>
        <w:contextualSpacing/>
        <w:textAlignment w:val="baseline"/>
        <w:rPr>
          <w:bCs/>
          <w:iCs/>
        </w:rPr>
      </w:pPr>
      <w:r>
        <w:t>considera oportuno ponderar a inclusão dos serviços financeiros na iniciativa BEFIT ou a criação de um imposto mundial sobre as transações financeiras. No entanto, entende que um imposto deste tipo poderá afetar a competitividade e não gerar receitas adicionais significativas;</w:t>
      </w:r>
    </w:p>
    <w:p w:rsidRPr="00E5373B" w:rsidR="00E5373B" w:rsidP="00A2086E" w:rsidRDefault="00E5373B" w14:paraId="4BC250FB" w14:textId="30DE484C">
      <w:pPr>
        <w:numPr>
          <w:ilvl w:val="0"/>
          <w:numId w:val="20"/>
        </w:numPr>
        <w:overflowPunct w:val="0"/>
        <w:autoSpaceDE w:val="0"/>
        <w:autoSpaceDN w:val="0"/>
        <w:adjustRightInd w:val="0"/>
        <w:spacing w:after="200" w:line="276" w:lineRule="auto"/>
        <w:ind w:left="567" w:hanging="567"/>
        <w:contextualSpacing/>
        <w:textAlignment w:val="baseline"/>
        <w:rPr>
          <w:bCs/>
          <w:iCs/>
        </w:rPr>
      </w:pPr>
      <w:r>
        <w:t>congratula-se com o acordo entre o Conselho e o Parlamento Europeu sobre o Mecanismo de Ajustamento Carbónico Fronteiriço (MACF). Além disso, a Comissão poderia ponderar aplicar uma taxa adicional às empresas da UE que importam produtos de fabricantes de países terceiros que não asseguram uma proteção adequada dos trabalhadores;</w:t>
      </w:r>
    </w:p>
    <w:p w:rsidRPr="00E5373B" w:rsidR="00E5373B" w:rsidP="00A2086E" w:rsidRDefault="00E5373B" w14:paraId="78A9994D" w14:textId="5A885BDB">
      <w:pPr>
        <w:numPr>
          <w:ilvl w:val="0"/>
          <w:numId w:val="20"/>
        </w:numPr>
        <w:overflowPunct w:val="0"/>
        <w:autoSpaceDE w:val="0"/>
        <w:autoSpaceDN w:val="0"/>
        <w:adjustRightInd w:val="0"/>
        <w:spacing w:after="200" w:line="276" w:lineRule="auto"/>
        <w:ind w:left="567" w:hanging="567"/>
        <w:contextualSpacing/>
        <w:textAlignment w:val="baseline"/>
        <w:rPr>
          <w:bCs/>
          <w:iCs/>
        </w:rPr>
      </w:pPr>
      <w:r>
        <w:t>reputa que poderia considerar-se a criação de um imposto à escala da UE sobre as transações digitais para aumentar os recursos próprios, caso as regras acordadas no Quadro Inclusivo da OCDE/G20 não sejam respeitadas por outros parceiros comerciais importantes;</w:t>
      </w:r>
    </w:p>
    <w:p w:rsidR="00E5373B" w:rsidP="00A2086E" w:rsidRDefault="00E5373B" w14:paraId="1D6B234C" w14:textId="58413977">
      <w:pPr>
        <w:numPr>
          <w:ilvl w:val="0"/>
          <w:numId w:val="20"/>
        </w:numPr>
        <w:overflowPunct w:val="0"/>
        <w:autoSpaceDE w:val="0"/>
        <w:autoSpaceDN w:val="0"/>
        <w:adjustRightInd w:val="0"/>
        <w:spacing w:after="200" w:line="276" w:lineRule="auto"/>
        <w:ind w:left="567" w:hanging="567"/>
        <w:contextualSpacing/>
        <w:textAlignment w:val="baseline"/>
        <w:rPr>
          <w:bCs/>
          <w:iCs/>
        </w:rPr>
      </w:pPr>
      <w:r>
        <w:t>salienta que o segundo conjunto de medidas relativas aos recursos próprios deve estar em conformidade com os princípios da proporcionalidade e da justiça social e deve sustentar-se numa avaliação de impacto.</w:t>
      </w:r>
    </w:p>
    <w:p w:rsidRPr="00E5373B" w:rsidR="002F5EE1" w:rsidP="00A2086E" w:rsidRDefault="002F5EE1" w14:paraId="59466186" w14:textId="77777777">
      <w:pPr>
        <w:overflowPunct w:val="0"/>
        <w:autoSpaceDE w:val="0"/>
        <w:autoSpaceDN w:val="0"/>
        <w:adjustRightInd w:val="0"/>
        <w:spacing w:after="200" w:line="276" w:lineRule="auto"/>
        <w:ind w:left="360"/>
        <w:contextualSpacing/>
        <w:textAlignment w:val="baseline"/>
        <w:rPr>
          <w:bCs/>
          <w:iCs/>
          <w:lang w:eastAsia="zh-CN"/>
        </w:rPr>
      </w:pPr>
    </w:p>
    <w:tbl>
      <w:tblPr>
        <w:tblStyle w:val="TableGrid3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5373B" w:rsidR="00E5373B" w:rsidTr="00D97149" w14:paraId="79A90E69" w14:textId="77777777">
        <w:tc>
          <w:tcPr>
            <w:tcW w:w="1418" w:type="dxa"/>
          </w:tcPr>
          <w:p w:rsidRPr="00E5373B" w:rsidR="00E5373B" w:rsidP="00E5373B" w:rsidRDefault="00E5373B" w14:paraId="3235EC0F" w14:textId="7C18339C">
            <w:pPr>
              <w:overflowPunct w:val="0"/>
              <w:autoSpaceDE w:val="0"/>
              <w:autoSpaceDN w:val="0"/>
              <w:adjustRightInd w:val="0"/>
              <w:spacing w:line="240" w:lineRule="auto"/>
              <w:textAlignment w:val="baseline"/>
              <w:rPr>
                <w:i/>
              </w:rPr>
            </w:pPr>
            <w:r>
              <w:rPr>
                <w:b/>
                <w:i/>
              </w:rPr>
              <w:t>Contacto</w:t>
            </w:r>
          </w:p>
        </w:tc>
        <w:tc>
          <w:tcPr>
            <w:tcW w:w="5670" w:type="dxa"/>
          </w:tcPr>
          <w:p w:rsidRPr="00E5373B" w:rsidR="00E5373B" w:rsidP="00E5373B" w:rsidRDefault="00E5373B" w14:paraId="59ADBFEF" w14:textId="77777777">
            <w:pPr>
              <w:overflowPunct w:val="0"/>
              <w:autoSpaceDE w:val="0"/>
              <w:autoSpaceDN w:val="0"/>
              <w:adjustRightInd w:val="0"/>
              <w:spacing w:line="240" w:lineRule="auto"/>
              <w:textAlignment w:val="baseline"/>
              <w:rPr>
                <w:i/>
              </w:rPr>
            </w:pPr>
            <w:r>
              <w:rPr>
                <w:i/>
              </w:rPr>
              <w:t xml:space="preserve">Gerald Klec </w:t>
            </w:r>
          </w:p>
        </w:tc>
      </w:tr>
      <w:tr w:rsidRPr="00E5373B" w:rsidR="00E5373B" w:rsidTr="00D97149" w14:paraId="254071F3" w14:textId="77777777">
        <w:tc>
          <w:tcPr>
            <w:tcW w:w="1418" w:type="dxa"/>
          </w:tcPr>
          <w:p w:rsidRPr="00E5373B" w:rsidR="00E5373B" w:rsidP="00E5373B" w:rsidRDefault="00E5373B" w14:paraId="659AC322" w14:textId="7FA717A6">
            <w:pPr>
              <w:overflowPunct w:val="0"/>
              <w:autoSpaceDE w:val="0"/>
              <w:autoSpaceDN w:val="0"/>
              <w:adjustRightInd w:val="0"/>
              <w:spacing w:line="240" w:lineRule="auto"/>
              <w:textAlignment w:val="baseline"/>
              <w:rPr>
                <w:i/>
              </w:rPr>
            </w:pPr>
            <w:r>
              <w:rPr>
                <w:i/>
              </w:rPr>
              <w:t>Tel.</w:t>
            </w:r>
          </w:p>
        </w:tc>
        <w:tc>
          <w:tcPr>
            <w:tcW w:w="5670" w:type="dxa"/>
          </w:tcPr>
          <w:p w:rsidRPr="00E5373B" w:rsidR="00E5373B" w:rsidP="00E5373B" w:rsidRDefault="00E5373B" w14:paraId="7D3CEC41" w14:textId="77777777">
            <w:pPr>
              <w:overflowPunct w:val="0"/>
              <w:autoSpaceDE w:val="0"/>
              <w:autoSpaceDN w:val="0"/>
              <w:adjustRightInd w:val="0"/>
              <w:spacing w:line="240" w:lineRule="auto"/>
              <w:textAlignment w:val="baseline"/>
              <w:rPr>
                <w:i/>
              </w:rPr>
            </w:pPr>
            <w:r>
              <w:rPr>
                <w:i/>
              </w:rPr>
              <w:t>+32 2 546 9909</w:t>
            </w:r>
          </w:p>
        </w:tc>
      </w:tr>
      <w:tr w:rsidRPr="00E5373B" w:rsidR="00E5373B" w:rsidTr="00D97149" w14:paraId="251DD32D" w14:textId="77777777">
        <w:tc>
          <w:tcPr>
            <w:tcW w:w="1418" w:type="dxa"/>
          </w:tcPr>
          <w:p w:rsidRPr="00E5373B" w:rsidR="00E5373B" w:rsidP="00E5373B" w:rsidRDefault="002F5EE1" w14:paraId="34604654" w14:textId="7D1A08E9">
            <w:pPr>
              <w:overflowPunct w:val="0"/>
              <w:autoSpaceDE w:val="0"/>
              <w:autoSpaceDN w:val="0"/>
              <w:adjustRightInd w:val="0"/>
              <w:spacing w:line="240" w:lineRule="auto"/>
              <w:textAlignment w:val="baseline"/>
              <w:rPr>
                <w:i/>
              </w:rPr>
            </w:pPr>
            <w:r>
              <w:rPr>
                <w:i/>
              </w:rPr>
              <w:t>Endereço eletrónico</w:t>
            </w:r>
          </w:p>
        </w:tc>
        <w:tc>
          <w:tcPr>
            <w:tcW w:w="5670" w:type="dxa"/>
          </w:tcPr>
          <w:p w:rsidRPr="00E5373B" w:rsidR="00E5373B" w:rsidP="00E5373B" w:rsidRDefault="007E421A" w14:paraId="6C76D031" w14:textId="77777777">
            <w:pPr>
              <w:overflowPunct w:val="0"/>
              <w:autoSpaceDE w:val="0"/>
              <w:autoSpaceDN w:val="0"/>
              <w:adjustRightInd w:val="0"/>
              <w:spacing w:line="240" w:lineRule="auto"/>
              <w:textAlignment w:val="baseline"/>
              <w:rPr>
                <w:i/>
                <w:iCs/>
              </w:rPr>
            </w:pPr>
            <w:hyperlink w:history="1" r:id="rId27">
              <w:r w:rsidR="00E11732">
                <w:rPr>
                  <w:color w:val="0000FF"/>
                  <w:u w:val="single"/>
                </w:rPr>
                <w:t>Gerald.Klec@eesc.europa.eu</w:t>
              </w:r>
            </w:hyperlink>
          </w:p>
        </w:tc>
      </w:tr>
    </w:tbl>
    <w:p w:rsidRPr="005463FF" w:rsidR="004E0C44" w:rsidRDefault="004E0C44" w14:paraId="0CE9AE21" w14:textId="3E7981BF">
      <w:pPr>
        <w:spacing w:after="160" w:line="259" w:lineRule="auto"/>
        <w:jc w:val="left"/>
        <w:rPr>
          <w:b/>
          <w:bCs/>
          <w:i/>
          <w:iCs/>
          <w:sz w:val="28"/>
          <w:szCs w:val="28"/>
        </w:rPr>
      </w:pPr>
      <w:r>
        <w:br w:type="page"/>
      </w:r>
    </w:p>
    <w:p w:rsidRPr="005463FF" w:rsidR="004D7AC0" w:rsidP="0076753A" w:rsidRDefault="00A13493" w14:paraId="73D829D0" w14:textId="6D1EEB6B">
      <w:pPr>
        <w:pStyle w:val="Heading1"/>
        <w:numPr>
          <w:ilvl w:val="0"/>
          <w:numId w:val="3"/>
        </w:numPr>
        <w:ind w:hanging="578"/>
        <w:rPr>
          <w:b/>
        </w:rPr>
      </w:pPr>
      <w:bookmarkStart w:name="_Toc136006468" w:id="1"/>
      <w:r>
        <w:rPr>
          <w:b/>
        </w:rPr>
        <w:lastRenderedPageBreak/>
        <w:t>EMPREGO, ASSUNTOS SOCIAIS E CIDADANIA</w:t>
      </w:r>
      <w:bookmarkEnd w:id="1"/>
    </w:p>
    <w:p w:rsidR="00B16284" w:rsidP="00520B85" w:rsidRDefault="00B16284" w14:paraId="1E1BC709" w14:textId="77777777">
      <w:pPr>
        <w:widowControl w:val="0"/>
        <w:overflowPunct w:val="0"/>
        <w:autoSpaceDE w:val="0"/>
        <w:autoSpaceDN w:val="0"/>
        <w:adjustRightInd w:val="0"/>
        <w:ind w:left="142"/>
        <w:textAlignment w:val="baseline"/>
        <w:rPr>
          <w:b/>
          <w:bCs/>
          <w:color w:val="000000" w:themeColor="text1"/>
          <w:sz w:val="28"/>
          <w:szCs w:val="28"/>
        </w:rPr>
      </w:pPr>
    </w:p>
    <w:p w:rsidRPr="00B667ED" w:rsidR="00B667ED" w:rsidP="00A2086E" w:rsidRDefault="002B0317" w14:paraId="2D32FF69" w14:textId="3C38CF01">
      <w:pPr>
        <w:widowControl w:val="0"/>
        <w:numPr>
          <w:ilvl w:val="0"/>
          <w:numId w:val="1"/>
        </w:numPr>
        <w:overflowPunct w:val="0"/>
        <w:autoSpaceDE w:val="0"/>
        <w:autoSpaceDN w:val="0"/>
        <w:adjustRightInd w:val="0"/>
        <w:ind w:left="266" w:hanging="124"/>
        <w:textAlignment w:val="baseline"/>
        <w:rPr>
          <w:b/>
        </w:rPr>
      </w:pPr>
      <w:r>
        <w:rPr>
          <w:b/>
          <w:i/>
          <w:sz w:val="28"/>
        </w:rPr>
        <w:tab/>
      </w:r>
      <w:hyperlink w:history="1" r:id="rId28">
        <w:r>
          <w:rPr>
            <w:b/>
            <w:i/>
            <w:color w:val="0000FF"/>
            <w:sz w:val="28"/>
            <w:u w:val="single"/>
          </w:rPr>
          <w:t>Igualdade de tratamento dos jovens no mercado de trabalho</w:t>
        </w:r>
      </w:hyperlink>
    </w:p>
    <w:p w:rsidRPr="00B667ED" w:rsidR="00B667ED" w:rsidP="00B667ED" w:rsidRDefault="00B667ED" w14:paraId="187D341E" w14:textId="77777777">
      <w:pPr>
        <w:widowControl w:val="0"/>
        <w:overflowPunct w:val="0"/>
        <w:autoSpaceDE w:val="0"/>
        <w:autoSpaceDN w:val="0"/>
        <w:adjustRightInd w:val="0"/>
        <w:ind w:left="266"/>
        <w:textAlignment w:val="baseline"/>
        <w:rPr>
          <w:b/>
        </w:rPr>
      </w:pPr>
    </w:p>
    <w:tbl>
      <w:tblPr>
        <w:tblStyle w:val="TableGrid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B667ED" w:rsidR="00B667ED" w:rsidTr="00D97149" w14:paraId="1677DB58" w14:textId="77777777">
        <w:trPr>
          <w:trHeight w:val="251"/>
        </w:trPr>
        <w:tc>
          <w:tcPr>
            <w:tcW w:w="1701" w:type="dxa"/>
          </w:tcPr>
          <w:p w:rsidRPr="00B667ED" w:rsidR="00B667ED" w:rsidP="00B667ED" w:rsidRDefault="00B667ED" w14:paraId="164515A1" w14:textId="77777777">
            <w:pPr>
              <w:tabs>
                <w:tab w:val="center" w:pos="284"/>
              </w:tabs>
              <w:overflowPunct w:val="0"/>
              <w:autoSpaceDE w:val="0"/>
              <w:autoSpaceDN w:val="0"/>
              <w:adjustRightInd w:val="0"/>
              <w:ind w:left="266" w:hanging="266"/>
              <w:textAlignment w:val="baseline"/>
              <w:rPr>
                <w:b/>
              </w:rPr>
            </w:pPr>
            <w:r>
              <w:rPr>
                <w:b/>
              </w:rPr>
              <w:t>Relator</w:t>
            </w:r>
          </w:p>
        </w:tc>
        <w:tc>
          <w:tcPr>
            <w:tcW w:w="6521" w:type="dxa"/>
          </w:tcPr>
          <w:p w:rsidRPr="00B667ED" w:rsidR="00B667ED" w:rsidP="00B667ED" w:rsidRDefault="00B667ED" w14:paraId="735B73D6" w14:textId="05B9F4E5">
            <w:pPr>
              <w:tabs>
                <w:tab w:val="center" w:pos="284"/>
              </w:tabs>
              <w:overflowPunct w:val="0"/>
              <w:autoSpaceDE w:val="0"/>
              <w:autoSpaceDN w:val="0"/>
              <w:adjustRightInd w:val="0"/>
              <w:ind w:left="266" w:hanging="266"/>
              <w:textAlignment w:val="baseline"/>
              <w:rPr>
                <w:bCs/>
              </w:rPr>
            </w:pPr>
            <w:r>
              <w:t>Michael McLoughlin (IE – Grupo das Organizações da Sociedade Civil)</w:t>
            </w:r>
          </w:p>
        </w:tc>
      </w:tr>
      <w:tr w:rsidRPr="00B667ED" w:rsidR="00B667ED" w:rsidTr="00D97149" w14:paraId="5476A941" w14:textId="77777777">
        <w:tc>
          <w:tcPr>
            <w:tcW w:w="8222" w:type="dxa"/>
            <w:gridSpan w:val="2"/>
          </w:tcPr>
          <w:p w:rsidRPr="00B667ED" w:rsidR="00B667ED" w:rsidP="00B667ED" w:rsidRDefault="00B667ED" w14:paraId="0F268987" w14:textId="77777777">
            <w:pPr>
              <w:tabs>
                <w:tab w:val="center" w:pos="284"/>
              </w:tabs>
              <w:overflowPunct w:val="0"/>
              <w:autoSpaceDE w:val="0"/>
              <w:autoSpaceDN w:val="0"/>
              <w:adjustRightInd w:val="0"/>
              <w:spacing w:line="160" w:lineRule="exact"/>
              <w:ind w:left="266" w:hanging="266"/>
              <w:textAlignment w:val="baseline"/>
            </w:pPr>
          </w:p>
        </w:tc>
      </w:tr>
      <w:tr w:rsidRPr="00B667ED" w:rsidR="00B667ED" w:rsidTr="00D97149" w14:paraId="2786B96C" w14:textId="77777777">
        <w:tc>
          <w:tcPr>
            <w:tcW w:w="1701" w:type="dxa"/>
          </w:tcPr>
          <w:p w:rsidRPr="00B667ED" w:rsidR="00B667ED" w:rsidP="00B667ED" w:rsidRDefault="00B667ED" w14:paraId="6747F8B4" w14:textId="77777777">
            <w:pPr>
              <w:tabs>
                <w:tab w:val="center" w:pos="284"/>
              </w:tabs>
              <w:overflowPunct w:val="0"/>
              <w:autoSpaceDE w:val="0"/>
              <w:autoSpaceDN w:val="0"/>
              <w:adjustRightInd w:val="0"/>
              <w:ind w:left="266" w:hanging="266"/>
              <w:textAlignment w:val="baseline"/>
              <w:rPr>
                <w:b/>
              </w:rPr>
            </w:pPr>
            <w:r>
              <w:rPr>
                <w:b/>
              </w:rPr>
              <w:t>Referência</w:t>
            </w:r>
          </w:p>
        </w:tc>
        <w:tc>
          <w:tcPr>
            <w:tcW w:w="6521" w:type="dxa"/>
          </w:tcPr>
          <w:p w:rsidRPr="00B667ED" w:rsidR="00B667ED" w:rsidP="00B667ED" w:rsidRDefault="00B667ED" w14:paraId="4F1D0647" w14:textId="4C2AE072">
            <w:pPr>
              <w:tabs>
                <w:tab w:val="center" w:pos="284"/>
              </w:tabs>
              <w:overflowPunct w:val="0"/>
              <w:autoSpaceDE w:val="0"/>
              <w:autoSpaceDN w:val="0"/>
              <w:adjustRightInd w:val="0"/>
              <w:ind w:left="266" w:hanging="266"/>
              <w:textAlignment w:val="baseline"/>
            </w:pPr>
            <w:r>
              <w:t>EESC-2022-00638-00-01-AC</w:t>
            </w:r>
          </w:p>
        </w:tc>
      </w:tr>
    </w:tbl>
    <w:p w:rsidRPr="00B667ED" w:rsidR="00275A32" w:rsidP="00B667ED" w:rsidRDefault="00275A32" w14:paraId="0C3C2796" w14:textId="77777777">
      <w:pPr>
        <w:tabs>
          <w:tab w:val="center" w:pos="284"/>
        </w:tabs>
        <w:overflowPunct w:val="0"/>
        <w:autoSpaceDE w:val="0"/>
        <w:autoSpaceDN w:val="0"/>
        <w:adjustRightInd w:val="0"/>
        <w:ind w:left="266" w:hanging="266"/>
        <w:textAlignment w:val="baseline"/>
      </w:pPr>
    </w:p>
    <w:p w:rsidRPr="00B667ED" w:rsidR="00B667ED" w:rsidP="00A2086E" w:rsidRDefault="00B667ED" w14:paraId="1CF652A9" w14:textId="77777777">
      <w:pPr>
        <w:tabs>
          <w:tab w:val="center" w:pos="284"/>
        </w:tabs>
        <w:overflowPunct w:val="0"/>
        <w:autoSpaceDE w:val="0"/>
        <w:autoSpaceDN w:val="0"/>
        <w:adjustRightInd w:val="0"/>
        <w:ind w:left="266" w:hanging="124"/>
        <w:textAlignment w:val="baseline"/>
        <w:rPr>
          <w:b/>
        </w:rPr>
      </w:pPr>
      <w:r>
        <w:rPr>
          <w:b/>
        </w:rPr>
        <w:t>Pontos principais</w:t>
      </w:r>
    </w:p>
    <w:p w:rsidRPr="00B667ED" w:rsidR="00B667ED" w:rsidP="00B667ED" w:rsidRDefault="00B667ED" w14:paraId="30CDD7B1" w14:textId="77777777">
      <w:pPr>
        <w:keepNext/>
        <w:keepLines/>
        <w:tabs>
          <w:tab w:val="center" w:pos="284"/>
        </w:tabs>
        <w:overflowPunct w:val="0"/>
        <w:autoSpaceDE w:val="0"/>
        <w:autoSpaceDN w:val="0"/>
        <w:adjustRightInd w:val="0"/>
        <w:ind w:left="266" w:hanging="266"/>
        <w:textAlignment w:val="baseline"/>
        <w:rPr>
          <w:b/>
        </w:rPr>
      </w:pPr>
    </w:p>
    <w:p w:rsidR="00B667ED" w:rsidRDefault="00B667ED" w14:paraId="63D860EA" w14:textId="3EC3E342">
      <w:pPr>
        <w:tabs>
          <w:tab w:val="center" w:pos="284"/>
        </w:tabs>
        <w:overflowPunct w:val="0"/>
        <w:autoSpaceDE w:val="0"/>
        <w:autoSpaceDN w:val="0"/>
        <w:adjustRightInd w:val="0"/>
        <w:ind w:left="266" w:hanging="124"/>
        <w:textAlignment w:val="baseline"/>
        <w:rPr>
          <w:bCs/>
          <w:iCs/>
        </w:rPr>
      </w:pPr>
      <w:r>
        <w:t>O Comité Económico e Social Europeu:</w:t>
      </w:r>
    </w:p>
    <w:p w:rsidR="00602107" w:rsidP="00A2086E" w:rsidRDefault="00602107" w14:paraId="7BF2235B" w14:textId="77777777">
      <w:pPr>
        <w:tabs>
          <w:tab w:val="center" w:pos="284"/>
        </w:tabs>
        <w:overflowPunct w:val="0"/>
        <w:autoSpaceDE w:val="0"/>
        <w:autoSpaceDN w:val="0"/>
        <w:adjustRightInd w:val="0"/>
        <w:ind w:left="266" w:hanging="124"/>
        <w:textAlignment w:val="baseline"/>
        <w:rPr>
          <w:bCs/>
          <w:iCs/>
        </w:rPr>
      </w:pPr>
    </w:p>
    <w:p w:rsidRPr="00B667ED" w:rsidR="00B667ED" w:rsidP="00A2086E" w:rsidRDefault="002B0317" w14:paraId="7F0AD303" w14:textId="7B1886AE">
      <w:pPr>
        <w:numPr>
          <w:ilvl w:val="0"/>
          <w:numId w:val="21"/>
        </w:numPr>
        <w:overflowPunct w:val="0"/>
        <w:autoSpaceDE w:val="0"/>
        <w:autoSpaceDN w:val="0"/>
        <w:adjustRightInd w:val="0"/>
        <w:spacing w:after="200" w:line="276" w:lineRule="auto"/>
        <w:ind w:left="567" w:hanging="425"/>
        <w:contextualSpacing/>
        <w:textAlignment w:val="baseline"/>
        <w:rPr>
          <w:b/>
          <w:iCs/>
        </w:rPr>
      </w:pPr>
      <w:r>
        <w:t>destaca a i</w:t>
      </w:r>
      <w:r>
        <w:rPr>
          <w:b/>
        </w:rPr>
        <w:t>mportância da participação frutífera dos jovens no mercado de trabalho</w:t>
      </w:r>
      <w:r>
        <w:t xml:space="preserve"> e salienta que a sua primeira experiência laboral deve ser positiva e que são contraproducentes as medidas que os tratam de uma forma menos favorável unicamente devido à sua idade;</w:t>
      </w:r>
    </w:p>
    <w:p w:rsidRPr="00B667ED" w:rsidR="00B667ED" w:rsidP="00A2086E" w:rsidRDefault="00B667ED" w14:paraId="5D4E0A68" w14:textId="76F3B3A0">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recomenda que a Comissão Europeia, os Estados-Membros e os parceiros sociais encarem a questão do </w:t>
      </w:r>
      <w:r>
        <w:rPr>
          <w:b/>
        </w:rPr>
        <w:t>«salário mínimo para os jovens» à luz do princípio da igualdade de tratamento e dos quadros jurídicos e políticos aplicáveis</w:t>
      </w:r>
      <w:r>
        <w:t>;</w:t>
      </w:r>
    </w:p>
    <w:p w:rsidRPr="00B667ED" w:rsidR="00B667ED" w:rsidP="00A2086E" w:rsidRDefault="002B0317" w14:paraId="15F21C6A" w14:textId="4E7F6F2A">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exorta os Estados-Membros a </w:t>
      </w:r>
      <w:r>
        <w:rPr>
          <w:b/>
        </w:rPr>
        <w:t>respeitarem o princípio da não discriminação</w:t>
      </w:r>
      <w:r>
        <w:t xml:space="preserve"> e a eliminarem as regras diferenciadas para os jovens no que respeita às </w:t>
      </w:r>
      <w:r>
        <w:rPr>
          <w:b/>
        </w:rPr>
        <w:t>prestações de desemprego e às prestações de assistência social</w:t>
      </w:r>
      <w:r>
        <w:t>, que podem influenciar a sua situação no mercado de trabalho e a sua capacidade de exercer o seu direito à livre circulação na UE;</w:t>
      </w:r>
    </w:p>
    <w:p w:rsidRPr="00B667ED" w:rsidR="00B667ED" w:rsidP="00A2086E" w:rsidRDefault="002B0317" w14:paraId="0438BFD1" w14:textId="5061AA4E">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entende que, para que os </w:t>
      </w:r>
      <w:r>
        <w:rPr>
          <w:b/>
        </w:rPr>
        <w:t>estágios</w:t>
      </w:r>
      <w:r>
        <w:t xml:space="preserve"> facilitem o acesso ao emprego, devem oferecer </w:t>
      </w:r>
      <w:r>
        <w:rPr>
          <w:b/>
        </w:rPr>
        <w:t>conteúdos de aprendizagem de qualidade</w:t>
      </w:r>
      <w:r>
        <w:t xml:space="preserve"> e </w:t>
      </w:r>
      <w:r>
        <w:rPr>
          <w:b/>
        </w:rPr>
        <w:t>condições de trabalho adequadas</w:t>
      </w:r>
      <w:r>
        <w:t>, não devendo constituir um substituto barato de empregos regulares ou um requisito para a obtenção de um emprego;</w:t>
      </w:r>
    </w:p>
    <w:p w:rsidRPr="00B667ED" w:rsidR="00B667ED" w:rsidP="00A2086E" w:rsidRDefault="002B0317" w14:paraId="102355F9" w14:textId="264259A8">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recomenda que as outras instituições e organismos da UE se interessem mais pela questão dos estágios </w:t>
      </w:r>
      <w:r>
        <w:rPr>
          <w:b/>
        </w:rPr>
        <w:t>não remunerados ou não compensados</w:t>
      </w:r>
      <w:r>
        <w:t xml:space="preserve"> como símbolo tangível do seu compromisso para com os jovens após o Ano Europeu da Juventude 2022;</w:t>
      </w:r>
    </w:p>
    <w:p w:rsidRPr="00B667ED" w:rsidR="00B667ED" w:rsidP="00A2086E" w:rsidRDefault="002B0317" w14:paraId="36A5E8E8" w14:textId="08285D4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recorda que o objetivo da Comissão é avaliar se o </w:t>
      </w:r>
      <w:r>
        <w:rPr>
          <w:b/>
        </w:rPr>
        <w:t>quadro de qualidade para os estágios</w:t>
      </w:r>
      <w:r>
        <w:t xml:space="preserve"> está a ser corretamente aplicado;</w:t>
      </w:r>
    </w:p>
    <w:p w:rsidRPr="00B667ED" w:rsidR="00B667ED" w:rsidP="00A2086E" w:rsidRDefault="00B667ED" w14:paraId="15E4CFA5"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apoia a generalização de uma </w:t>
      </w:r>
      <w:r>
        <w:rPr>
          <w:b/>
        </w:rPr>
        <w:t>avaliação da perspetiva dos jovens pela UE</w:t>
      </w:r>
      <w:r>
        <w:t xml:space="preserve"> que examine o impacto de todas as novas políticas nos jovens.</w:t>
      </w:r>
    </w:p>
    <w:p w:rsidRPr="00B667ED" w:rsidR="00B667ED" w:rsidP="00B667ED" w:rsidRDefault="00B667ED" w14:paraId="05FEABBC" w14:textId="77777777">
      <w:pPr>
        <w:widowControl w:val="0"/>
        <w:overflowPunct w:val="0"/>
        <w:autoSpaceDE w:val="0"/>
        <w:autoSpaceDN w:val="0"/>
        <w:adjustRightInd w:val="0"/>
        <w:ind w:left="709"/>
        <w:textAlignment w:val="baseline"/>
        <w:rPr>
          <w:szCs w:val="20"/>
        </w:rPr>
      </w:pPr>
    </w:p>
    <w:tbl>
      <w:tblPr>
        <w:tblStyle w:val="TableGrid3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B667ED" w:rsidR="00B667ED" w:rsidTr="00D97149" w14:paraId="0FAE4450" w14:textId="77777777">
        <w:tc>
          <w:tcPr>
            <w:tcW w:w="1418" w:type="dxa"/>
          </w:tcPr>
          <w:p w:rsidRPr="00B667ED" w:rsidR="00B667ED" w:rsidP="00B667ED" w:rsidRDefault="00B667ED" w14:paraId="160F0705" w14:textId="62E04FFA">
            <w:pPr>
              <w:overflowPunct w:val="0"/>
              <w:autoSpaceDE w:val="0"/>
              <w:autoSpaceDN w:val="0"/>
              <w:adjustRightInd w:val="0"/>
              <w:spacing w:line="240" w:lineRule="auto"/>
              <w:textAlignment w:val="baseline"/>
              <w:rPr>
                <w:i/>
              </w:rPr>
            </w:pPr>
            <w:r>
              <w:rPr>
                <w:b/>
                <w:i/>
              </w:rPr>
              <w:t>Contacto</w:t>
            </w:r>
          </w:p>
        </w:tc>
        <w:tc>
          <w:tcPr>
            <w:tcW w:w="5670" w:type="dxa"/>
          </w:tcPr>
          <w:p w:rsidRPr="00B667ED" w:rsidR="00B667ED" w:rsidP="00B667ED" w:rsidRDefault="00B667ED" w14:paraId="598CF560" w14:textId="77777777">
            <w:pPr>
              <w:overflowPunct w:val="0"/>
              <w:autoSpaceDE w:val="0"/>
              <w:autoSpaceDN w:val="0"/>
              <w:adjustRightInd w:val="0"/>
              <w:spacing w:line="240" w:lineRule="auto"/>
              <w:textAlignment w:val="baseline"/>
              <w:rPr>
                <w:i/>
              </w:rPr>
            </w:pPr>
            <w:r>
              <w:rPr>
                <w:i/>
              </w:rPr>
              <w:t>Bartek Bednarowicz</w:t>
            </w:r>
          </w:p>
        </w:tc>
      </w:tr>
      <w:tr w:rsidRPr="00B667ED" w:rsidR="00B667ED" w:rsidTr="00D97149" w14:paraId="58DBFA04" w14:textId="77777777">
        <w:tc>
          <w:tcPr>
            <w:tcW w:w="1418" w:type="dxa"/>
          </w:tcPr>
          <w:p w:rsidRPr="00B667ED" w:rsidR="00B667ED" w:rsidP="00B667ED" w:rsidRDefault="00B667ED" w14:paraId="2B7F5BC6" w14:textId="526927EC">
            <w:pPr>
              <w:overflowPunct w:val="0"/>
              <w:autoSpaceDE w:val="0"/>
              <w:autoSpaceDN w:val="0"/>
              <w:adjustRightInd w:val="0"/>
              <w:spacing w:line="240" w:lineRule="auto"/>
              <w:textAlignment w:val="baseline"/>
              <w:rPr>
                <w:i/>
              </w:rPr>
            </w:pPr>
            <w:r>
              <w:rPr>
                <w:i/>
              </w:rPr>
              <w:t>Tel.</w:t>
            </w:r>
          </w:p>
        </w:tc>
        <w:tc>
          <w:tcPr>
            <w:tcW w:w="5670" w:type="dxa"/>
          </w:tcPr>
          <w:p w:rsidRPr="00B667ED" w:rsidR="00B667ED" w:rsidP="00B667ED" w:rsidRDefault="00B667ED" w14:paraId="4FF082EF" w14:textId="77777777">
            <w:pPr>
              <w:overflowPunct w:val="0"/>
              <w:autoSpaceDE w:val="0"/>
              <w:autoSpaceDN w:val="0"/>
              <w:adjustRightInd w:val="0"/>
              <w:spacing w:line="240" w:lineRule="auto"/>
              <w:textAlignment w:val="baseline"/>
              <w:rPr>
                <w:i/>
              </w:rPr>
            </w:pPr>
            <w:r>
              <w:rPr>
                <w:i/>
              </w:rPr>
              <w:t>+32 2 546 92 29</w:t>
            </w:r>
          </w:p>
        </w:tc>
      </w:tr>
      <w:tr w:rsidRPr="00B667ED" w:rsidR="00B667ED" w:rsidTr="00D97149" w14:paraId="7930CCB5" w14:textId="77777777">
        <w:tc>
          <w:tcPr>
            <w:tcW w:w="1418" w:type="dxa"/>
          </w:tcPr>
          <w:p w:rsidRPr="00B667ED" w:rsidR="00B667ED" w:rsidP="00B667ED" w:rsidRDefault="002B0317" w14:paraId="0A135A93" w14:textId="272D7D79">
            <w:pPr>
              <w:overflowPunct w:val="0"/>
              <w:autoSpaceDE w:val="0"/>
              <w:autoSpaceDN w:val="0"/>
              <w:adjustRightInd w:val="0"/>
              <w:spacing w:line="240" w:lineRule="auto"/>
              <w:textAlignment w:val="baseline"/>
              <w:rPr>
                <w:i/>
              </w:rPr>
            </w:pPr>
            <w:r>
              <w:rPr>
                <w:i/>
              </w:rPr>
              <w:t>Endereço eletrónico</w:t>
            </w:r>
          </w:p>
        </w:tc>
        <w:tc>
          <w:tcPr>
            <w:tcW w:w="5670" w:type="dxa"/>
          </w:tcPr>
          <w:p w:rsidRPr="00B667ED" w:rsidR="00B667ED" w:rsidP="00B667ED" w:rsidRDefault="00B667ED" w14:paraId="23867B31" w14:textId="77777777">
            <w:pPr>
              <w:overflowPunct w:val="0"/>
              <w:autoSpaceDE w:val="0"/>
              <w:autoSpaceDN w:val="0"/>
              <w:adjustRightInd w:val="0"/>
              <w:spacing w:line="240" w:lineRule="auto"/>
              <w:textAlignment w:val="baseline"/>
              <w:rPr>
                <w:i/>
              </w:rPr>
            </w:pPr>
            <w:r>
              <w:rPr>
                <w:i/>
                <w:color w:val="0000FF"/>
                <w:u w:val="single"/>
              </w:rPr>
              <w:t>Bartek.Bednarowicz@eesc.europa.eu</w:t>
            </w:r>
          </w:p>
        </w:tc>
      </w:tr>
    </w:tbl>
    <w:p w:rsidRPr="005463FF" w:rsidR="00564B9E" w:rsidRDefault="00564B9E" w14:paraId="02C2FCE8" w14:textId="77777777">
      <w:r>
        <w:br w:type="page"/>
      </w:r>
    </w:p>
    <w:p w:rsidRPr="00A2086E" w:rsidR="00DC2874" w:rsidP="00DC2874" w:rsidRDefault="007E421A" w14:paraId="14E62683" w14:textId="0F8F10D6">
      <w:pPr>
        <w:widowControl w:val="0"/>
        <w:numPr>
          <w:ilvl w:val="0"/>
          <w:numId w:val="1"/>
        </w:numPr>
        <w:overflowPunct w:val="0"/>
        <w:autoSpaceDE w:val="0"/>
        <w:autoSpaceDN w:val="0"/>
        <w:adjustRightInd w:val="0"/>
        <w:ind w:hanging="567"/>
        <w:textAlignment w:val="baseline"/>
        <w:rPr>
          <w:sz w:val="24"/>
          <w:szCs w:val="24"/>
        </w:rPr>
      </w:pPr>
      <w:hyperlink w:history="1" r:id="rId29">
        <w:r w:rsidR="00E11732">
          <w:rPr>
            <w:b/>
            <w:i/>
            <w:color w:val="0000FF"/>
            <w:sz w:val="28"/>
            <w:u w:val="single"/>
          </w:rPr>
          <w:t>Protocolo sobre o Progresso Social</w:t>
        </w:r>
      </w:hyperlink>
    </w:p>
    <w:p w:rsidRPr="00DC2874" w:rsidR="00DC2874" w:rsidP="00DC2874" w:rsidRDefault="00DC2874" w14:paraId="5C60368C" w14:textId="77777777">
      <w:pPr>
        <w:tabs>
          <w:tab w:val="center" w:pos="284"/>
        </w:tabs>
        <w:overflowPunct w:val="0"/>
        <w:autoSpaceDE w:val="0"/>
        <w:autoSpaceDN w:val="0"/>
        <w:adjustRightInd w:val="0"/>
        <w:ind w:left="266" w:hanging="266"/>
        <w:textAlignment w:val="baseline"/>
        <w:rPr>
          <w:b/>
        </w:rPr>
      </w:pPr>
    </w:p>
    <w:tbl>
      <w:tblPr>
        <w:tblStyle w:val="TableGrid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79"/>
      </w:tblGrid>
      <w:tr w:rsidRPr="00DC2874" w:rsidR="00DC2874" w:rsidTr="00D97149" w14:paraId="4BF7A7BA" w14:textId="77777777">
        <w:tc>
          <w:tcPr>
            <w:tcW w:w="1701" w:type="dxa"/>
          </w:tcPr>
          <w:p w:rsidRPr="00DC2874" w:rsidR="00DC2874" w:rsidP="00A2086E" w:rsidRDefault="00DC2874" w14:paraId="72197338" w14:textId="77777777">
            <w:pPr>
              <w:tabs>
                <w:tab w:val="center" w:pos="284"/>
              </w:tabs>
              <w:overflowPunct w:val="0"/>
              <w:autoSpaceDE w:val="0"/>
              <w:autoSpaceDN w:val="0"/>
              <w:adjustRightInd w:val="0"/>
              <w:ind w:left="266" w:hanging="376"/>
              <w:textAlignment w:val="baseline"/>
              <w:rPr>
                <w:b/>
              </w:rPr>
            </w:pPr>
            <w:r>
              <w:rPr>
                <w:b/>
              </w:rPr>
              <w:t>Relatora</w:t>
            </w:r>
          </w:p>
        </w:tc>
        <w:tc>
          <w:tcPr>
            <w:tcW w:w="6379" w:type="dxa"/>
          </w:tcPr>
          <w:p w:rsidRPr="00DC2874" w:rsidR="00DC2874" w:rsidP="00A2086E" w:rsidRDefault="00DC2874" w14:paraId="55662DCB" w14:textId="2F4EA5AA">
            <w:pPr>
              <w:tabs>
                <w:tab w:val="center" w:pos="284"/>
              </w:tabs>
              <w:overflowPunct w:val="0"/>
              <w:autoSpaceDE w:val="0"/>
              <w:autoSpaceDN w:val="0"/>
              <w:adjustRightInd w:val="0"/>
              <w:ind w:left="266" w:hanging="376"/>
              <w:textAlignment w:val="baseline"/>
            </w:pPr>
            <w:r>
              <w:t>Maria del Carmen Barrera Chamorro (ES – Grupo dos Trabalhadores)</w:t>
            </w:r>
          </w:p>
        </w:tc>
      </w:tr>
      <w:tr w:rsidRPr="00DC2874" w:rsidR="00DC2874" w:rsidTr="00D97149" w14:paraId="15E8BD58" w14:textId="77777777">
        <w:tc>
          <w:tcPr>
            <w:tcW w:w="1701" w:type="dxa"/>
          </w:tcPr>
          <w:p w:rsidRPr="00DC2874" w:rsidR="00DC2874" w:rsidP="00A2086E" w:rsidRDefault="00DC2874" w14:paraId="76EA6262" w14:textId="77777777">
            <w:pPr>
              <w:tabs>
                <w:tab w:val="center" w:pos="284"/>
              </w:tabs>
              <w:overflowPunct w:val="0"/>
              <w:autoSpaceDE w:val="0"/>
              <w:autoSpaceDN w:val="0"/>
              <w:adjustRightInd w:val="0"/>
              <w:ind w:left="266" w:hanging="376"/>
              <w:textAlignment w:val="baseline"/>
              <w:rPr>
                <w:b/>
              </w:rPr>
            </w:pPr>
            <w:r>
              <w:rPr>
                <w:b/>
              </w:rPr>
              <w:t>Correlator:</w:t>
            </w:r>
          </w:p>
        </w:tc>
        <w:tc>
          <w:tcPr>
            <w:tcW w:w="6379" w:type="dxa"/>
          </w:tcPr>
          <w:p w:rsidRPr="00DC2874" w:rsidR="00DC2874" w:rsidP="00A2086E" w:rsidRDefault="00DC2874" w14:paraId="18CD4550" w14:textId="77362DE4">
            <w:pPr>
              <w:tabs>
                <w:tab w:val="center" w:pos="284"/>
              </w:tabs>
              <w:overflowPunct w:val="0"/>
              <w:autoSpaceDE w:val="0"/>
              <w:autoSpaceDN w:val="0"/>
              <w:adjustRightInd w:val="0"/>
              <w:ind w:left="266" w:hanging="376"/>
              <w:textAlignment w:val="baseline"/>
            </w:pPr>
            <w:r>
              <w:t>Diego Dutto (IT – Grupo das Organizações da Sociedade Civil)</w:t>
            </w:r>
          </w:p>
        </w:tc>
      </w:tr>
      <w:tr w:rsidRPr="00DC2874" w:rsidR="00DC2874" w:rsidTr="00D97149" w14:paraId="59063A59" w14:textId="77777777">
        <w:tc>
          <w:tcPr>
            <w:tcW w:w="8080" w:type="dxa"/>
            <w:gridSpan w:val="2"/>
          </w:tcPr>
          <w:p w:rsidRPr="00DC2874" w:rsidR="00DC2874" w:rsidP="00A2086E" w:rsidRDefault="00DC2874" w14:paraId="1CB4A40D" w14:textId="77777777">
            <w:pPr>
              <w:tabs>
                <w:tab w:val="center" w:pos="284"/>
              </w:tabs>
              <w:overflowPunct w:val="0"/>
              <w:autoSpaceDE w:val="0"/>
              <w:autoSpaceDN w:val="0"/>
              <w:adjustRightInd w:val="0"/>
              <w:spacing w:line="160" w:lineRule="exact"/>
              <w:ind w:left="266" w:hanging="376"/>
              <w:textAlignment w:val="baseline"/>
            </w:pPr>
          </w:p>
        </w:tc>
      </w:tr>
      <w:tr w:rsidRPr="00DC2874" w:rsidR="00DC2874" w:rsidTr="00D97149" w14:paraId="5365D700" w14:textId="77777777">
        <w:tc>
          <w:tcPr>
            <w:tcW w:w="1701" w:type="dxa"/>
            <w:vMerge w:val="restart"/>
          </w:tcPr>
          <w:p w:rsidRPr="00DC2874" w:rsidR="00DC2874" w:rsidP="00A2086E" w:rsidRDefault="00DC2874" w14:paraId="5EF947F0" w14:textId="77777777">
            <w:pPr>
              <w:tabs>
                <w:tab w:val="center" w:pos="284"/>
              </w:tabs>
              <w:overflowPunct w:val="0"/>
              <w:autoSpaceDE w:val="0"/>
              <w:autoSpaceDN w:val="0"/>
              <w:adjustRightInd w:val="0"/>
              <w:ind w:left="266" w:hanging="376"/>
              <w:textAlignment w:val="baseline"/>
              <w:rPr>
                <w:b/>
              </w:rPr>
            </w:pPr>
            <w:r>
              <w:rPr>
                <w:b/>
              </w:rPr>
              <w:t xml:space="preserve">Referência </w:t>
            </w:r>
          </w:p>
        </w:tc>
        <w:tc>
          <w:tcPr>
            <w:tcW w:w="6379" w:type="dxa"/>
          </w:tcPr>
          <w:p w:rsidRPr="00DC2874" w:rsidR="00DC2874" w:rsidP="00A2086E" w:rsidRDefault="00DC2874" w14:paraId="1C49B9B3" w14:textId="77777777">
            <w:pPr>
              <w:tabs>
                <w:tab w:val="center" w:pos="284"/>
              </w:tabs>
              <w:overflowPunct w:val="0"/>
              <w:autoSpaceDE w:val="0"/>
              <w:autoSpaceDN w:val="0"/>
              <w:adjustRightInd w:val="0"/>
              <w:ind w:left="266" w:hanging="376"/>
              <w:textAlignment w:val="baseline"/>
            </w:pPr>
            <w:r>
              <w:t>Parecer exploratório a pedido da Presidência espanhola</w:t>
            </w:r>
          </w:p>
        </w:tc>
      </w:tr>
      <w:tr w:rsidRPr="00DC2874" w:rsidR="00DC2874" w:rsidTr="00D97149" w14:paraId="4360A789" w14:textId="77777777">
        <w:tc>
          <w:tcPr>
            <w:tcW w:w="1701" w:type="dxa"/>
            <w:vMerge/>
          </w:tcPr>
          <w:p w:rsidRPr="00DC2874" w:rsidR="00DC2874" w:rsidP="00A2086E" w:rsidRDefault="00DC2874" w14:paraId="04F60614" w14:textId="77777777">
            <w:pPr>
              <w:tabs>
                <w:tab w:val="center" w:pos="284"/>
              </w:tabs>
              <w:overflowPunct w:val="0"/>
              <w:autoSpaceDE w:val="0"/>
              <w:autoSpaceDN w:val="0"/>
              <w:adjustRightInd w:val="0"/>
              <w:ind w:left="266" w:hanging="376"/>
              <w:textAlignment w:val="baseline"/>
              <w:rPr>
                <w:b/>
              </w:rPr>
            </w:pPr>
          </w:p>
        </w:tc>
        <w:tc>
          <w:tcPr>
            <w:tcW w:w="6379" w:type="dxa"/>
          </w:tcPr>
          <w:p w:rsidRPr="00DC2874" w:rsidR="00DC2874" w:rsidP="00A2086E" w:rsidRDefault="00DC2874" w14:paraId="6D53D008" w14:textId="67D99E92">
            <w:pPr>
              <w:tabs>
                <w:tab w:val="center" w:pos="284"/>
              </w:tabs>
              <w:overflowPunct w:val="0"/>
              <w:autoSpaceDE w:val="0"/>
              <w:autoSpaceDN w:val="0"/>
              <w:adjustRightInd w:val="0"/>
              <w:ind w:left="266" w:hanging="376"/>
              <w:textAlignment w:val="baseline"/>
            </w:pPr>
            <w:r>
              <w:t>EESC-2023-00563-00-00-AC</w:t>
            </w:r>
          </w:p>
        </w:tc>
      </w:tr>
    </w:tbl>
    <w:p w:rsidRPr="00DC2874" w:rsidR="00DC2874" w:rsidRDefault="00DC2874" w14:paraId="6E080A82" w14:textId="77777777">
      <w:pPr>
        <w:tabs>
          <w:tab w:val="center" w:pos="284"/>
        </w:tabs>
        <w:overflowPunct w:val="0"/>
        <w:autoSpaceDE w:val="0"/>
        <w:autoSpaceDN w:val="0"/>
        <w:adjustRightInd w:val="0"/>
        <w:ind w:left="266" w:hanging="266"/>
        <w:textAlignment w:val="baseline"/>
      </w:pPr>
    </w:p>
    <w:p w:rsidRPr="00DC2874" w:rsidR="00DC2874" w:rsidRDefault="00DC2874" w14:paraId="458811F7"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DC2874" w:rsidR="00DC2874" w:rsidRDefault="00DC2874" w14:paraId="10260A93" w14:textId="77777777">
      <w:pPr>
        <w:keepNext/>
        <w:keepLines/>
        <w:tabs>
          <w:tab w:val="center" w:pos="284"/>
        </w:tabs>
        <w:overflowPunct w:val="0"/>
        <w:autoSpaceDE w:val="0"/>
        <w:autoSpaceDN w:val="0"/>
        <w:adjustRightInd w:val="0"/>
        <w:ind w:left="266" w:hanging="266"/>
        <w:textAlignment w:val="baseline"/>
        <w:rPr>
          <w:b/>
        </w:rPr>
      </w:pPr>
    </w:p>
    <w:p w:rsidR="00DC2874" w:rsidRDefault="00DC2874" w14:paraId="1E7054B7" w14:textId="47513571">
      <w:pPr>
        <w:overflowPunct w:val="0"/>
        <w:autoSpaceDE w:val="0"/>
        <w:autoSpaceDN w:val="0"/>
        <w:adjustRightInd w:val="0"/>
        <w:textAlignment w:val="baseline"/>
        <w:rPr>
          <w:bCs/>
          <w:iCs/>
        </w:rPr>
      </w:pPr>
      <w:r>
        <w:t>O Comité Económico e Social Europeu:</w:t>
      </w:r>
    </w:p>
    <w:p w:rsidR="00EE0235" w:rsidRDefault="00EE0235" w14:paraId="117BF84A" w14:textId="77777777">
      <w:pPr>
        <w:overflowPunct w:val="0"/>
        <w:autoSpaceDE w:val="0"/>
        <w:autoSpaceDN w:val="0"/>
        <w:adjustRightInd w:val="0"/>
        <w:textAlignment w:val="baseline"/>
        <w:rPr>
          <w:bCs/>
          <w:iCs/>
        </w:rPr>
      </w:pPr>
    </w:p>
    <w:p w:rsidRPr="00DC2874" w:rsidR="00DC2874" w:rsidP="00A2086E" w:rsidRDefault="00DC2874" w14:paraId="566EA381" w14:textId="22A53B41">
      <w:pPr>
        <w:numPr>
          <w:ilvl w:val="0"/>
          <w:numId w:val="21"/>
        </w:numPr>
        <w:overflowPunct w:val="0"/>
        <w:autoSpaceDE w:val="0"/>
        <w:autoSpaceDN w:val="0"/>
        <w:adjustRightInd w:val="0"/>
        <w:spacing w:after="200" w:line="276" w:lineRule="auto"/>
        <w:ind w:left="426" w:hanging="426"/>
        <w:contextualSpacing/>
        <w:textAlignment w:val="baseline"/>
      </w:pPr>
      <w:r>
        <w:t>concorda com a proposta do relatório final da Conferência sobre o Futuro da Europa (maio de 2022) de aditar aos Tratados, tendo em vista uma economia social de mercado, um Protocolo sobre o Progresso Social. Tal contribuiria para promover melhores garantias para assegurar uma proteção eficaz dos direitos sociais em caso de conflito com as liberdades económicas e evitar regressões nesses direitos, a fim de garantir o progresso social, zelando pela promoção e pela proteção das mais elevadas normas em matéria de direitos sociais;</w:t>
      </w:r>
    </w:p>
    <w:p w:rsidRPr="00DC2874" w:rsidR="00DC2874" w:rsidP="00A2086E" w:rsidRDefault="00DC2874" w14:paraId="6D838073" w14:textId="37DEFBE3">
      <w:pPr>
        <w:numPr>
          <w:ilvl w:val="0"/>
          <w:numId w:val="21"/>
        </w:numPr>
        <w:overflowPunct w:val="0"/>
        <w:autoSpaceDE w:val="0"/>
        <w:autoSpaceDN w:val="0"/>
        <w:adjustRightInd w:val="0"/>
        <w:spacing w:after="200" w:line="276" w:lineRule="auto"/>
        <w:ind w:left="426" w:hanging="426"/>
        <w:contextualSpacing/>
        <w:textAlignment w:val="baseline"/>
      </w:pPr>
      <w:r>
        <w:t>incentiva a Presidência espanhola a promover uma reunião do Conselho (Emprego, Política Social, Saúde e Consumidores) para concertar uma proposta conjunta e permitir a realização de uma cimeira europeia específica para a adotar. Esta questão exige o máximo empenho institucional nos diferentes níveis de competências da UE;</w:t>
      </w:r>
    </w:p>
    <w:p w:rsidRPr="00DC2874" w:rsidR="00DC2874" w:rsidP="00A2086E" w:rsidRDefault="00DC2874" w14:paraId="68E3ADE4" w14:textId="0072140D">
      <w:pPr>
        <w:numPr>
          <w:ilvl w:val="0"/>
          <w:numId w:val="21"/>
        </w:numPr>
        <w:overflowPunct w:val="0"/>
        <w:autoSpaceDE w:val="0"/>
        <w:autoSpaceDN w:val="0"/>
        <w:adjustRightInd w:val="0"/>
        <w:spacing w:after="200" w:line="276" w:lineRule="auto"/>
        <w:ind w:left="426" w:hanging="426"/>
        <w:contextualSpacing/>
        <w:textAlignment w:val="baseline"/>
      </w:pPr>
      <w:r>
        <w:t>considera que, embora esta proposta da Conferência e do Parlamento Europeu tenha de ser introduzida sob a forma de um protocolo (aditado ao TFUE) ou de uma cláusula transversal (reforma do artigo 9.º do TFUE), há outros instrumentos políticos que podem contribuir para os objetivos do Protocolo sobre o Progresso Social; considera que o Protocolo sobre o Progresso Social é essencial para reforçar a autonomia dos parceiros sociais, estabelecendo uma ligação entre, por um lado, o correto funcionamento do mercado interno e as liberdades económicas, incluindo a concorrência leal entre os Estados-Membros, e, por outro lado, o respeito e a promoção dos direitos sociais coletivos;</w:t>
      </w:r>
    </w:p>
    <w:p w:rsidRPr="00DC2874" w:rsidR="00DC2874" w:rsidP="00A2086E" w:rsidRDefault="00DC2874" w14:paraId="0192F63F" w14:textId="3377EF5F">
      <w:pPr>
        <w:numPr>
          <w:ilvl w:val="0"/>
          <w:numId w:val="21"/>
        </w:numPr>
        <w:overflowPunct w:val="0"/>
        <w:autoSpaceDE w:val="0"/>
        <w:autoSpaceDN w:val="0"/>
        <w:adjustRightInd w:val="0"/>
        <w:spacing w:after="200" w:line="276" w:lineRule="auto"/>
        <w:ind w:left="426" w:hanging="426"/>
        <w:contextualSpacing/>
        <w:textAlignment w:val="baseline"/>
      </w:pPr>
      <w:r>
        <w:t>está convicto de que o Protocolo sobre o Progresso Social permitirá à UE assumir a liderança quando se trata de impulsionar o crescimento económico e promover o bem-estar dos seus cidadãos, com empresas sólidas e sustentáveis. As liberdades económicas no mercado único não devem significar a proibição de restrições, devendo prever, isso sim, a igualdade de tratamento dos operadores económicos como meio de garantir uma concorrência leal e condições de concorrência equitativas;</w:t>
      </w:r>
    </w:p>
    <w:p w:rsidRPr="00DC2874" w:rsidR="00DC2874" w:rsidP="00A2086E" w:rsidRDefault="00DC2874" w14:paraId="7DFD905F" w14:textId="77777777">
      <w:pPr>
        <w:numPr>
          <w:ilvl w:val="0"/>
          <w:numId w:val="21"/>
        </w:numPr>
        <w:overflowPunct w:val="0"/>
        <w:autoSpaceDE w:val="0"/>
        <w:autoSpaceDN w:val="0"/>
        <w:adjustRightInd w:val="0"/>
        <w:spacing w:after="200" w:line="276" w:lineRule="auto"/>
        <w:ind w:left="426" w:hanging="426"/>
        <w:contextualSpacing/>
        <w:textAlignment w:val="baseline"/>
      </w:pPr>
      <w:r>
        <w:t>lamenta que a UE ainda não tenha aderido à Convenção Europeia dos Direitos Humanos e recomenda à UE que adira à Carta Social Europeia do Conselho da Europa, a fim de promover uma coexistência harmoniosa entre o direito da UE e o direito do Conselho da Europa no domínio social.</w:t>
      </w:r>
    </w:p>
    <w:p w:rsidRPr="00DC2874" w:rsidR="00DC2874" w:rsidP="00DC2874" w:rsidRDefault="00DC2874" w14:paraId="03988347" w14:textId="77777777">
      <w:pPr>
        <w:widowControl w:val="0"/>
        <w:overflowPunct w:val="0"/>
        <w:autoSpaceDE w:val="0"/>
        <w:autoSpaceDN w:val="0"/>
        <w:adjustRightInd w:val="0"/>
        <w:ind w:left="709"/>
        <w:textAlignment w:val="baseline"/>
        <w:rPr>
          <w:szCs w:val="20"/>
        </w:rPr>
      </w:pPr>
    </w:p>
    <w:tbl>
      <w:tblPr>
        <w:tblStyle w:val="TableGrid4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DC2874" w:rsidR="00DC2874" w:rsidTr="00D97149" w14:paraId="49FE96AE" w14:textId="77777777">
        <w:tc>
          <w:tcPr>
            <w:tcW w:w="1418" w:type="dxa"/>
          </w:tcPr>
          <w:p w:rsidRPr="00DC2874" w:rsidR="00DC2874" w:rsidP="00DC2874" w:rsidRDefault="00DC2874" w14:paraId="0CF0F611" w14:textId="77777777">
            <w:pPr>
              <w:overflowPunct w:val="0"/>
              <w:autoSpaceDE w:val="0"/>
              <w:autoSpaceDN w:val="0"/>
              <w:adjustRightInd w:val="0"/>
              <w:spacing w:line="240" w:lineRule="auto"/>
              <w:textAlignment w:val="baseline"/>
              <w:rPr>
                <w:i/>
              </w:rPr>
            </w:pPr>
            <w:r>
              <w:rPr>
                <w:b/>
                <w:i/>
              </w:rPr>
              <w:t>Contacto</w:t>
            </w:r>
          </w:p>
        </w:tc>
        <w:tc>
          <w:tcPr>
            <w:tcW w:w="5670" w:type="dxa"/>
          </w:tcPr>
          <w:p w:rsidRPr="00DC2874" w:rsidR="00DC2874" w:rsidP="00DC2874" w:rsidRDefault="00DC2874" w14:paraId="131C914B" w14:textId="1B26CF48">
            <w:pPr>
              <w:overflowPunct w:val="0"/>
              <w:autoSpaceDE w:val="0"/>
              <w:autoSpaceDN w:val="0"/>
              <w:adjustRightInd w:val="0"/>
              <w:spacing w:line="240" w:lineRule="auto"/>
              <w:textAlignment w:val="baseline"/>
              <w:rPr>
                <w:i/>
              </w:rPr>
            </w:pPr>
            <w:r>
              <w:rPr>
                <w:i/>
              </w:rPr>
              <w:t>June Bedaton</w:t>
            </w:r>
          </w:p>
        </w:tc>
      </w:tr>
      <w:tr w:rsidRPr="00DC2874" w:rsidR="00DC2874" w:rsidTr="00D97149" w14:paraId="28D46528" w14:textId="77777777">
        <w:tc>
          <w:tcPr>
            <w:tcW w:w="1418" w:type="dxa"/>
          </w:tcPr>
          <w:p w:rsidRPr="00DC2874" w:rsidR="00DC2874" w:rsidP="00DC2874" w:rsidRDefault="00DC2874" w14:paraId="46E76009" w14:textId="77777777">
            <w:pPr>
              <w:overflowPunct w:val="0"/>
              <w:autoSpaceDE w:val="0"/>
              <w:autoSpaceDN w:val="0"/>
              <w:adjustRightInd w:val="0"/>
              <w:spacing w:line="240" w:lineRule="auto"/>
              <w:textAlignment w:val="baseline"/>
              <w:rPr>
                <w:i/>
              </w:rPr>
            </w:pPr>
            <w:r>
              <w:rPr>
                <w:i/>
              </w:rPr>
              <w:t>Tel.</w:t>
            </w:r>
          </w:p>
        </w:tc>
        <w:tc>
          <w:tcPr>
            <w:tcW w:w="5670" w:type="dxa"/>
          </w:tcPr>
          <w:p w:rsidRPr="00DC2874" w:rsidR="00DC2874" w:rsidP="00DC2874" w:rsidRDefault="00621329" w14:paraId="355C1668" w14:textId="57D080BC">
            <w:pPr>
              <w:overflowPunct w:val="0"/>
              <w:autoSpaceDE w:val="0"/>
              <w:autoSpaceDN w:val="0"/>
              <w:adjustRightInd w:val="0"/>
              <w:spacing w:line="240" w:lineRule="auto"/>
              <w:textAlignment w:val="baseline"/>
              <w:rPr>
                <w:i/>
              </w:rPr>
            </w:pPr>
            <w:r>
              <w:rPr>
                <w:i/>
              </w:rPr>
              <w:t>+32 2 546 8134</w:t>
            </w:r>
          </w:p>
        </w:tc>
      </w:tr>
      <w:tr w:rsidRPr="00DC2874" w:rsidR="00DC2874" w:rsidTr="00D97149" w14:paraId="715530CA" w14:textId="77777777">
        <w:tc>
          <w:tcPr>
            <w:tcW w:w="1418" w:type="dxa"/>
          </w:tcPr>
          <w:p w:rsidRPr="00DC2874" w:rsidR="00DC2874" w:rsidP="00DC2874" w:rsidRDefault="00DC2874" w14:paraId="77396D0B" w14:textId="77777777">
            <w:pPr>
              <w:overflowPunct w:val="0"/>
              <w:autoSpaceDE w:val="0"/>
              <w:autoSpaceDN w:val="0"/>
              <w:adjustRightInd w:val="0"/>
              <w:spacing w:line="240" w:lineRule="auto"/>
              <w:textAlignment w:val="baseline"/>
              <w:rPr>
                <w:i/>
              </w:rPr>
            </w:pPr>
            <w:r>
              <w:rPr>
                <w:i/>
              </w:rPr>
              <w:t>Endereço eletrónico</w:t>
            </w:r>
          </w:p>
        </w:tc>
        <w:tc>
          <w:tcPr>
            <w:tcW w:w="5670" w:type="dxa"/>
          </w:tcPr>
          <w:p w:rsidRPr="00DC2874" w:rsidR="00DC2874" w:rsidP="00DC2874" w:rsidRDefault="007E421A" w14:paraId="71194411" w14:textId="77777777">
            <w:pPr>
              <w:overflowPunct w:val="0"/>
              <w:autoSpaceDE w:val="0"/>
              <w:autoSpaceDN w:val="0"/>
              <w:adjustRightInd w:val="0"/>
              <w:spacing w:line="240" w:lineRule="auto"/>
              <w:textAlignment w:val="baseline"/>
              <w:rPr>
                <w:i/>
                <w:iCs/>
              </w:rPr>
            </w:pPr>
            <w:hyperlink w:history="1" r:id="rId30">
              <w:r w:rsidR="00E11732">
                <w:rPr>
                  <w:i/>
                  <w:color w:val="0000FF"/>
                  <w:u w:val="single"/>
                </w:rPr>
                <w:t>June.Bedaton@eesc.europa.eu</w:t>
              </w:r>
            </w:hyperlink>
          </w:p>
        </w:tc>
      </w:tr>
    </w:tbl>
    <w:p w:rsidRPr="005463FF" w:rsidR="005A67F3" w:rsidRDefault="005A67F3" w14:paraId="692E706C" w14:textId="359BDDA4">
      <w:pPr>
        <w:spacing w:after="160" w:line="259" w:lineRule="auto"/>
        <w:jc w:val="left"/>
        <w:rPr>
          <w:b/>
          <w:i/>
          <w:sz w:val="28"/>
          <w:szCs w:val="28"/>
        </w:rPr>
      </w:pPr>
      <w:r>
        <w:br w:type="page"/>
      </w:r>
    </w:p>
    <w:p w:rsidRPr="009042F3" w:rsidR="009042F3" w:rsidP="0076753A" w:rsidRDefault="007E421A" w14:paraId="4EDB626C" w14:textId="74E7920C">
      <w:pPr>
        <w:widowControl w:val="0"/>
        <w:numPr>
          <w:ilvl w:val="0"/>
          <w:numId w:val="2"/>
        </w:numPr>
        <w:overflowPunct w:val="0"/>
        <w:autoSpaceDE w:val="0"/>
        <w:autoSpaceDN w:val="0"/>
        <w:adjustRightInd w:val="0"/>
        <w:ind w:hanging="567"/>
        <w:textAlignment w:val="baseline"/>
        <w:rPr>
          <w:b/>
        </w:rPr>
      </w:pPr>
      <w:hyperlink w:history="1" r:id="rId31">
        <w:r w:rsidR="00E11732">
          <w:rPr>
            <w:b/>
            <w:i/>
            <w:color w:val="0000FF"/>
            <w:sz w:val="28"/>
            <w:u w:val="single"/>
          </w:rPr>
          <w:t>Cooperação no domínio da juventude</w:t>
        </w:r>
      </w:hyperlink>
    </w:p>
    <w:p w:rsidRPr="009042F3" w:rsidR="009042F3" w:rsidP="00C86B5D" w:rsidRDefault="009042F3" w14:paraId="515BA060" w14:textId="77777777">
      <w:pPr>
        <w:overflowPunct w:val="0"/>
        <w:autoSpaceDE w:val="0"/>
        <w:autoSpaceDN w:val="0"/>
        <w:adjustRightInd w:val="0"/>
        <w:spacing w:after="200" w:line="168" w:lineRule="auto"/>
        <w:ind w:left="357"/>
        <w:contextualSpacing/>
        <w:textAlignment w:val="baseline"/>
        <w:rPr>
          <w:sz w:val="16"/>
          <w:szCs w:val="16"/>
        </w:rPr>
      </w:pPr>
    </w:p>
    <w:tbl>
      <w:tblPr>
        <w:tblStyle w:val="TableGrid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0"/>
      </w:tblGrid>
      <w:tr w:rsidRPr="009042F3" w:rsidR="009042F3" w:rsidTr="00D97149" w14:paraId="541319CF" w14:textId="77777777">
        <w:tc>
          <w:tcPr>
            <w:tcW w:w="1701" w:type="dxa"/>
          </w:tcPr>
          <w:p w:rsidRPr="009042F3" w:rsidR="009042F3" w:rsidP="009042F3" w:rsidRDefault="009042F3" w14:paraId="6672B9BA" w14:textId="72DAC9D2">
            <w:pPr>
              <w:tabs>
                <w:tab w:val="center" w:pos="284"/>
              </w:tabs>
              <w:overflowPunct w:val="0"/>
              <w:autoSpaceDE w:val="0"/>
              <w:autoSpaceDN w:val="0"/>
              <w:adjustRightInd w:val="0"/>
              <w:ind w:left="266" w:hanging="266"/>
              <w:textAlignment w:val="baseline"/>
              <w:rPr>
                <w:b/>
              </w:rPr>
            </w:pPr>
            <w:r>
              <w:rPr>
                <w:b/>
              </w:rPr>
              <w:t>Relatora</w:t>
            </w:r>
          </w:p>
          <w:p w:rsidRPr="009042F3" w:rsidR="009042F3" w:rsidP="009042F3" w:rsidRDefault="009042F3" w14:paraId="5A4BFBAC" w14:textId="77777777">
            <w:pPr>
              <w:tabs>
                <w:tab w:val="center" w:pos="284"/>
              </w:tabs>
              <w:overflowPunct w:val="0"/>
              <w:autoSpaceDE w:val="0"/>
              <w:autoSpaceDN w:val="0"/>
              <w:adjustRightInd w:val="0"/>
              <w:ind w:left="266" w:hanging="266"/>
              <w:textAlignment w:val="baseline"/>
              <w:rPr>
                <w:b/>
                <w:sz w:val="16"/>
                <w:szCs w:val="16"/>
              </w:rPr>
            </w:pPr>
          </w:p>
        </w:tc>
        <w:tc>
          <w:tcPr>
            <w:tcW w:w="5670" w:type="dxa"/>
          </w:tcPr>
          <w:p w:rsidRPr="009042F3" w:rsidR="009042F3" w:rsidRDefault="009042F3" w14:paraId="20395F8B" w14:textId="16151FA1">
            <w:pPr>
              <w:tabs>
                <w:tab w:val="center" w:pos="284"/>
              </w:tabs>
              <w:overflowPunct w:val="0"/>
              <w:autoSpaceDE w:val="0"/>
              <w:autoSpaceDN w:val="0"/>
              <w:adjustRightInd w:val="0"/>
              <w:ind w:left="266" w:hanging="266"/>
              <w:textAlignment w:val="baseline"/>
              <w:rPr>
                <w:sz w:val="16"/>
                <w:szCs w:val="16"/>
              </w:rPr>
            </w:pPr>
            <w:r>
              <w:t>Nicoletta Merlo (IT – Grupo dos Trabalhadores)</w:t>
            </w:r>
          </w:p>
        </w:tc>
      </w:tr>
      <w:tr w:rsidRPr="009042F3" w:rsidR="009042F3" w:rsidTr="00D97149" w14:paraId="4153E5EA" w14:textId="77777777">
        <w:tc>
          <w:tcPr>
            <w:tcW w:w="1701" w:type="dxa"/>
          </w:tcPr>
          <w:p w:rsidRPr="009042F3" w:rsidR="009042F3" w:rsidP="009042F3" w:rsidRDefault="009042F3" w14:paraId="7BD1EA85" w14:textId="77777777">
            <w:pPr>
              <w:tabs>
                <w:tab w:val="center" w:pos="284"/>
              </w:tabs>
              <w:overflowPunct w:val="0"/>
              <w:autoSpaceDE w:val="0"/>
              <w:autoSpaceDN w:val="0"/>
              <w:adjustRightInd w:val="0"/>
              <w:ind w:left="266" w:hanging="266"/>
              <w:textAlignment w:val="baseline"/>
              <w:rPr>
                <w:b/>
              </w:rPr>
            </w:pPr>
            <w:r>
              <w:rPr>
                <w:b/>
              </w:rPr>
              <w:t>Referência</w:t>
            </w:r>
          </w:p>
        </w:tc>
        <w:tc>
          <w:tcPr>
            <w:tcW w:w="5670" w:type="dxa"/>
          </w:tcPr>
          <w:p w:rsidRPr="009042F3" w:rsidR="009042F3" w:rsidP="009042F3" w:rsidRDefault="009042F3" w14:paraId="3F1EE5BB" w14:textId="77777777">
            <w:pPr>
              <w:tabs>
                <w:tab w:val="center" w:pos="0"/>
              </w:tabs>
              <w:overflowPunct w:val="0"/>
              <w:autoSpaceDE w:val="0"/>
              <w:autoSpaceDN w:val="0"/>
              <w:adjustRightInd w:val="0"/>
              <w:ind w:left="33" w:hanging="33"/>
              <w:textAlignment w:val="baseline"/>
            </w:pPr>
            <w:r>
              <w:t>Parecer exploratório a pedido da Presidência espanhola</w:t>
            </w:r>
          </w:p>
          <w:p w:rsidRPr="009042F3" w:rsidR="009042F3" w:rsidP="009042F3" w:rsidRDefault="009042F3" w14:paraId="1F6002B0" w14:textId="7D967C53">
            <w:pPr>
              <w:tabs>
                <w:tab w:val="center" w:pos="284"/>
              </w:tabs>
              <w:overflowPunct w:val="0"/>
              <w:autoSpaceDE w:val="0"/>
              <w:autoSpaceDN w:val="0"/>
              <w:adjustRightInd w:val="0"/>
              <w:ind w:left="266" w:hanging="266"/>
              <w:textAlignment w:val="baseline"/>
            </w:pPr>
            <w:r>
              <w:t>EESC-2023-01291-00-00-AC</w:t>
            </w:r>
          </w:p>
        </w:tc>
      </w:tr>
    </w:tbl>
    <w:p w:rsidR="00275A32" w:rsidRDefault="00275A32" w14:paraId="18446DAE" w14:textId="77777777">
      <w:pPr>
        <w:tabs>
          <w:tab w:val="center" w:pos="284"/>
        </w:tabs>
        <w:overflowPunct w:val="0"/>
        <w:autoSpaceDE w:val="0"/>
        <w:autoSpaceDN w:val="0"/>
        <w:adjustRightInd w:val="0"/>
        <w:ind w:left="266" w:hanging="124"/>
        <w:textAlignment w:val="baseline"/>
        <w:rPr>
          <w:b/>
        </w:rPr>
      </w:pPr>
    </w:p>
    <w:p w:rsidRPr="009042F3" w:rsidR="009042F3" w:rsidP="00A2086E" w:rsidRDefault="009042F3" w14:paraId="7717C1E5" w14:textId="78ACCD14">
      <w:pPr>
        <w:tabs>
          <w:tab w:val="center" w:pos="284"/>
        </w:tabs>
        <w:overflowPunct w:val="0"/>
        <w:autoSpaceDE w:val="0"/>
        <w:autoSpaceDN w:val="0"/>
        <w:adjustRightInd w:val="0"/>
        <w:ind w:left="266" w:hanging="124"/>
        <w:textAlignment w:val="baseline"/>
        <w:rPr>
          <w:b/>
        </w:rPr>
      </w:pPr>
      <w:r>
        <w:rPr>
          <w:b/>
        </w:rPr>
        <w:t>Pontos principais</w:t>
      </w:r>
    </w:p>
    <w:p w:rsidR="009042F3" w:rsidP="009042F3" w:rsidRDefault="009042F3" w14:paraId="65766E8B" w14:textId="5BF0D6E5">
      <w:pPr>
        <w:keepNext/>
        <w:keepLines/>
        <w:tabs>
          <w:tab w:val="center" w:pos="284"/>
        </w:tabs>
        <w:overflowPunct w:val="0"/>
        <w:autoSpaceDE w:val="0"/>
        <w:autoSpaceDN w:val="0"/>
        <w:adjustRightInd w:val="0"/>
        <w:ind w:left="266" w:hanging="266"/>
        <w:textAlignment w:val="baseline"/>
        <w:rPr>
          <w:b/>
          <w:sz w:val="16"/>
          <w:szCs w:val="16"/>
        </w:rPr>
      </w:pPr>
    </w:p>
    <w:p w:rsidR="009042F3" w:rsidRDefault="009042F3" w14:paraId="0B7BAA2F" w14:textId="49F690BE">
      <w:pPr>
        <w:tabs>
          <w:tab w:val="center" w:pos="142"/>
        </w:tabs>
        <w:overflowPunct w:val="0"/>
        <w:autoSpaceDE w:val="0"/>
        <w:autoSpaceDN w:val="0"/>
        <w:adjustRightInd w:val="0"/>
        <w:ind w:left="266" w:hanging="124"/>
        <w:textAlignment w:val="baseline"/>
        <w:rPr>
          <w:bCs/>
          <w:iCs/>
        </w:rPr>
      </w:pPr>
      <w:r>
        <w:t>O Comité Económico e Social Europeu:</w:t>
      </w:r>
    </w:p>
    <w:p w:rsidR="006F31A0" w:rsidP="00C86B5D" w:rsidRDefault="006F31A0" w14:paraId="131B92AE" w14:textId="77777777">
      <w:pPr>
        <w:overflowPunct w:val="0"/>
        <w:autoSpaceDE w:val="0"/>
        <w:autoSpaceDN w:val="0"/>
        <w:adjustRightInd w:val="0"/>
        <w:spacing w:after="200" w:line="168" w:lineRule="auto"/>
        <w:ind w:left="357"/>
        <w:contextualSpacing/>
        <w:textAlignment w:val="baseline"/>
        <w:rPr>
          <w:bCs/>
          <w:iCs/>
        </w:rPr>
      </w:pPr>
    </w:p>
    <w:p w:rsidRPr="009042F3" w:rsidR="009042F3" w:rsidP="00A2086E" w:rsidRDefault="009042F3" w14:paraId="223C7ED4"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considera que a agenda da UE para a juventude deve, tanto no presente como no futuro, abordar os principais desafios que os jovens europeus enfrentam e determinar a forma de a UE ajudar os jovens a ultrapassar essas dificuldades; sublinha a importância de dispor de dados exatos e atualizados a fim de acompanhar e avaliar os efeitos das políticas na juventude, bem como definir boas práticas que se dirijam aos jovens; </w:t>
      </w:r>
    </w:p>
    <w:p w:rsidRPr="009042F3" w:rsidR="009042F3" w:rsidP="00A2086E" w:rsidRDefault="009042F3" w14:paraId="05DA55DF"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estima que é fundamental reforçar o Diálogo da UE com a Juventude e assegurar a participação significativa dos organismos que representam os jovens em todo o processo de elaboração de políticas, tendo em conta as novas formas de participação, debate e mobilização dos jovens; importa identificar e superar os obstáculos sociais, económicos e culturais à plena participação dos jovens, nomeadamente dos mais vulneráveis;</w:t>
      </w:r>
    </w:p>
    <w:p w:rsidRPr="009042F3" w:rsidR="009042F3" w:rsidP="00A2086E" w:rsidRDefault="009042F3" w14:paraId="241D1119"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considera que cumpre prestar um maior apoio ao reforço das capacidades dos parceiros sociais, em especial dos jovens, no quadro do diálogo social e da negociação coletiva;</w:t>
      </w:r>
    </w:p>
    <w:p w:rsidRPr="009042F3" w:rsidR="009042F3" w:rsidP="00A2086E" w:rsidRDefault="009042F3" w14:paraId="0A25B1B2"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reputa essencial que todos os atos legislativos, políticas, programas, medidas e investimentos públicos dos Estados-Membros sejam subordinados a uma consulta para a avaliação da perspetiva dos jovens, a uma avaliação de impacto, a um trabalho de conceção relativo às políticas aplicadas e a propostas de medidas corretoras, e que esses instrumentos previnam a violação dos direitos dos jovens e a sua discriminação;</w:t>
      </w:r>
    </w:p>
    <w:p w:rsidRPr="009042F3" w:rsidR="009042F3" w:rsidP="00A2086E" w:rsidRDefault="009042F3" w14:paraId="631EA353"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salienta a importância da aprendizagem ao longo da vida, das competências transversais, do desenvolvimento de competências no domínio da ação climática e das questões ambientais e da promoção das competências digitais e em matéria de CTEM, em especial entre as raparigas;</w:t>
      </w:r>
    </w:p>
    <w:p w:rsidRPr="009042F3" w:rsidR="009042F3" w:rsidP="00A2086E" w:rsidRDefault="009042F3" w14:paraId="296C80B1"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sublinha a necessidade de assegurar que os adolescentes adquirem competências socioemocionais e de prestar apoio psicológico e social gratuito nas escolas e noutras grandes estruturas, a fim de promover a saúde mental e combater a violência e a intimidação;</w:t>
      </w:r>
    </w:p>
    <w:p w:rsidRPr="009042F3" w:rsidR="009042F3" w:rsidP="00A2086E" w:rsidRDefault="009042F3" w14:paraId="4291E276"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assinala a necessidade de ajudar os jovens a fazer face aos custos da habitação e promover políticas públicas de habitação, a fim de garantir o acesso dos jovens a uma habitação digna, incentivando-os a viver de forma independente e apoiando-os no planeamento da sua vida familiar;</w:t>
      </w:r>
    </w:p>
    <w:p w:rsidRPr="009042F3" w:rsidR="009042F3" w:rsidP="00A2086E" w:rsidRDefault="009042F3" w14:paraId="71A9B2BD" w14:textId="77777777">
      <w:pPr>
        <w:numPr>
          <w:ilvl w:val="0"/>
          <w:numId w:val="21"/>
        </w:numPr>
        <w:overflowPunct w:val="0"/>
        <w:autoSpaceDE w:val="0"/>
        <w:autoSpaceDN w:val="0"/>
        <w:adjustRightInd w:val="0"/>
        <w:spacing w:after="200" w:line="276" w:lineRule="auto"/>
        <w:ind w:left="567" w:hanging="425"/>
        <w:contextualSpacing/>
        <w:textAlignment w:val="baseline"/>
        <w:rPr>
          <w:bCs/>
          <w:iCs/>
        </w:rPr>
      </w:pPr>
      <w:r>
        <w:t>recomenda a todas as instituições públicas que usem uma linguagem acessível e adaptada aos jovens e utilizem de forma mais eficiente os média sociais para transmitir informações essenciais e comunicar as suas ações e políticas;</w:t>
      </w:r>
    </w:p>
    <w:p w:rsidRPr="00A2086E" w:rsidR="009042F3" w:rsidP="00A2086E" w:rsidRDefault="009042F3" w14:paraId="163AEFC1" w14:textId="7D4AF3B2">
      <w:pPr>
        <w:numPr>
          <w:ilvl w:val="0"/>
          <w:numId w:val="21"/>
        </w:numPr>
        <w:overflowPunct w:val="0"/>
        <w:autoSpaceDE w:val="0"/>
        <w:autoSpaceDN w:val="0"/>
        <w:adjustRightInd w:val="0"/>
        <w:spacing w:after="200" w:line="276" w:lineRule="auto"/>
        <w:ind w:left="567" w:hanging="425"/>
        <w:contextualSpacing/>
        <w:textAlignment w:val="baseline"/>
        <w:rPr>
          <w:bCs/>
          <w:iCs/>
        </w:rPr>
      </w:pPr>
      <w:r>
        <w:t xml:space="preserve">considera que a integração dos jovens no mercado de trabalho através de empregos de qualidade e a melhoria do apoio aos jovens NEET devem ser uma prioridade para a UE e os Estados-Membros; exorta os Estados-Membros a utilizarem fundos ao abrigo dos planos nacionais de recuperação e resiliência e de outros fundos existentes para a melhoria das competências dos jovens, sempre que necessário; insta ao investimento em infraestruturas materiais e imateriais para acolhimento de crianças bem como em estabelecimentos de cuidados continuados a fim de promover o pleno emprego das mulheres. </w:t>
      </w:r>
    </w:p>
    <w:p w:rsidRPr="009042F3" w:rsidR="00A35436" w:rsidP="00C86B5D" w:rsidRDefault="00A35436" w14:paraId="3F73F4B1" w14:textId="77777777">
      <w:pPr>
        <w:overflowPunct w:val="0"/>
        <w:autoSpaceDE w:val="0"/>
        <w:autoSpaceDN w:val="0"/>
        <w:adjustRightInd w:val="0"/>
        <w:spacing w:after="200" w:line="168" w:lineRule="auto"/>
        <w:ind w:left="357"/>
        <w:contextualSpacing/>
        <w:textAlignment w:val="baseline"/>
        <w:rPr>
          <w:bCs/>
          <w:iCs/>
          <w:lang w:eastAsia="zh-CN"/>
        </w:rPr>
      </w:pPr>
    </w:p>
    <w:tbl>
      <w:tblPr>
        <w:tblStyle w:val="TableGrid4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10"/>
        <w:gridCol w:w="4493"/>
      </w:tblGrid>
      <w:tr w:rsidRPr="009042F3" w:rsidR="009042F3" w:rsidTr="00D97149" w14:paraId="5FDD0095" w14:textId="77777777">
        <w:tc>
          <w:tcPr>
            <w:tcW w:w="1210" w:type="dxa"/>
          </w:tcPr>
          <w:p w:rsidRPr="009042F3" w:rsidR="009042F3" w:rsidP="009042F3" w:rsidRDefault="009042F3" w14:paraId="6E0C7296" w14:textId="5E7EFC0C">
            <w:pPr>
              <w:overflowPunct w:val="0"/>
              <w:autoSpaceDE w:val="0"/>
              <w:autoSpaceDN w:val="0"/>
              <w:adjustRightInd w:val="0"/>
              <w:spacing w:line="240" w:lineRule="auto"/>
              <w:textAlignment w:val="baseline"/>
              <w:rPr>
                <w:i/>
              </w:rPr>
            </w:pPr>
            <w:r>
              <w:rPr>
                <w:b/>
                <w:i/>
              </w:rPr>
              <w:t>Contacto</w:t>
            </w:r>
          </w:p>
        </w:tc>
        <w:tc>
          <w:tcPr>
            <w:tcW w:w="4493" w:type="dxa"/>
          </w:tcPr>
          <w:p w:rsidRPr="009042F3" w:rsidR="009042F3" w:rsidP="009042F3" w:rsidRDefault="009042F3" w14:paraId="6E94DC86" w14:textId="77777777">
            <w:pPr>
              <w:overflowPunct w:val="0"/>
              <w:autoSpaceDE w:val="0"/>
              <w:autoSpaceDN w:val="0"/>
              <w:adjustRightInd w:val="0"/>
              <w:spacing w:line="240" w:lineRule="auto"/>
              <w:ind w:hanging="12"/>
              <w:textAlignment w:val="baseline"/>
              <w:rPr>
                <w:i/>
              </w:rPr>
            </w:pPr>
            <w:r>
              <w:rPr>
                <w:i/>
              </w:rPr>
              <w:t>Sabrina Borg</w:t>
            </w:r>
          </w:p>
        </w:tc>
      </w:tr>
      <w:tr w:rsidRPr="009042F3" w:rsidR="009042F3" w:rsidTr="00D97149" w14:paraId="1189F919" w14:textId="77777777">
        <w:tc>
          <w:tcPr>
            <w:tcW w:w="1210" w:type="dxa"/>
          </w:tcPr>
          <w:p w:rsidRPr="009042F3" w:rsidR="009042F3" w:rsidP="009042F3" w:rsidRDefault="009042F3" w14:paraId="3C6C305E" w14:textId="038A9F15">
            <w:pPr>
              <w:overflowPunct w:val="0"/>
              <w:autoSpaceDE w:val="0"/>
              <w:autoSpaceDN w:val="0"/>
              <w:adjustRightInd w:val="0"/>
              <w:spacing w:line="240" w:lineRule="auto"/>
              <w:textAlignment w:val="baseline"/>
              <w:rPr>
                <w:i/>
              </w:rPr>
            </w:pPr>
            <w:r>
              <w:rPr>
                <w:i/>
              </w:rPr>
              <w:t>Tel.</w:t>
            </w:r>
          </w:p>
        </w:tc>
        <w:tc>
          <w:tcPr>
            <w:tcW w:w="4493" w:type="dxa"/>
          </w:tcPr>
          <w:p w:rsidRPr="009042F3" w:rsidR="009042F3" w:rsidP="009042F3" w:rsidRDefault="007D2E29" w14:paraId="1D8850A1" w14:textId="112C655B">
            <w:pPr>
              <w:overflowPunct w:val="0"/>
              <w:autoSpaceDE w:val="0"/>
              <w:autoSpaceDN w:val="0"/>
              <w:adjustRightInd w:val="0"/>
              <w:spacing w:line="240" w:lineRule="auto"/>
              <w:textAlignment w:val="baseline"/>
              <w:rPr>
                <w:i/>
              </w:rPr>
            </w:pPr>
            <w:r>
              <w:rPr>
                <w:i/>
              </w:rPr>
              <w:t>+32 2 546 9727</w:t>
            </w:r>
          </w:p>
        </w:tc>
      </w:tr>
      <w:tr w:rsidRPr="009042F3" w:rsidR="009042F3" w:rsidTr="00D97149" w14:paraId="029D00AF" w14:textId="77777777">
        <w:tc>
          <w:tcPr>
            <w:tcW w:w="1210" w:type="dxa"/>
          </w:tcPr>
          <w:p w:rsidRPr="009042F3" w:rsidR="009042F3" w:rsidP="009042F3" w:rsidRDefault="009042F3" w14:paraId="7525E7EE" w14:textId="7805ACA9">
            <w:pPr>
              <w:overflowPunct w:val="0"/>
              <w:autoSpaceDE w:val="0"/>
              <w:autoSpaceDN w:val="0"/>
              <w:adjustRightInd w:val="0"/>
              <w:spacing w:line="240" w:lineRule="auto"/>
              <w:textAlignment w:val="baseline"/>
              <w:rPr>
                <w:i/>
              </w:rPr>
            </w:pPr>
            <w:r>
              <w:rPr>
                <w:i/>
              </w:rPr>
              <w:t>Endereço eletrónico</w:t>
            </w:r>
          </w:p>
        </w:tc>
        <w:tc>
          <w:tcPr>
            <w:tcW w:w="4493" w:type="dxa"/>
          </w:tcPr>
          <w:p w:rsidRPr="009042F3" w:rsidR="009042F3" w:rsidP="009042F3" w:rsidRDefault="00412C56" w14:paraId="4A3F89F9" w14:textId="7A0562E3">
            <w:pPr>
              <w:overflowPunct w:val="0"/>
              <w:autoSpaceDE w:val="0"/>
              <w:autoSpaceDN w:val="0"/>
              <w:adjustRightInd w:val="0"/>
              <w:spacing w:line="240" w:lineRule="auto"/>
              <w:textAlignment w:val="baseline"/>
              <w:rPr>
                <w:i/>
              </w:rPr>
            </w:pPr>
            <w:r>
              <w:rPr>
                <w:i/>
                <w:color w:val="0000FF"/>
                <w:u w:val="single"/>
              </w:rPr>
              <w:t>Sabrina.Borg@eesc.europa.eu</w:t>
            </w:r>
          </w:p>
        </w:tc>
      </w:tr>
    </w:tbl>
    <w:p w:rsidR="00275A32" w:rsidRDefault="00275A32" w14:paraId="3ADA023F" w14:textId="732E344B">
      <w:pPr>
        <w:spacing w:after="160" w:line="259" w:lineRule="auto"/>
        <w:jc w:val="left"/>
        <w:rPr>
          <w:sz w:val="16"/>
          <w:szCs w:val="16"/>
        </w:rPr>
      </w:pPr>
      <w:r>
        <w:br w:type="page"/>
      </w:r>
    </w:p>
    <w:p w:rsidRPr="00A2086E" w:rsidR="00330A97" w:rsidRDefault="007E421A" w14:paraId="6579B518" w14:textId="59B1EB86">
      <w:pPr>
        <w:widowControl w:val="0"/>
        <w:numPr>
          <w:ilvl w:val="0"/>
          <w:numId w:val="1"/>
        </w:numPr>
        <w:tabs>
          <w:tab w:val="center" w:pos="567"/>
        </w:tabs>
        <w:overflowPunct w:val="0"/>
        <w:autoSpaceDE w:val="0"/>
        <w:autoSpaceDN w:val="0"/>
        <w:adjustRightInd w:val="0"/>
        <w:ind w:left="709" w:hanging="709"/>
        <w:textAlignment w:val="baseline"/>
        <w:rPr>
          <w:b/>
          <w:sz w:val="16"/>
          <w:szCs w:val="16"/>
        </w:rPr>
      </w:pPr>
      <w:hyperlink w:history="1" r:id="rId32">
        <w:r w:rsidR="00E11732">
          <w:rPr>
            <w:b/>
            <w:i/>
            <w:color w:val="0000FF"/>
            <w:sz w:val="28"/>
            <w:u w:val="single"/>
          </w:rPr>
          <w:t>Negociação coletiva ecológica</w:t>
        </w:r>
      </w:hyperlink>
    </w:p>
    <w:p w:rsidRPr="00330A97" w:rsidR="00115FCA" w:rsidP="00A2086E" w:rsidRDefault="00115FCA" w14:paraId="16A5E779" w14:textId="77777777">
      <w:pPr>
        <w:widowControl w:val="0"/>
        <w:tabs>
          <w:tab w:val="center" w:pos="284"/>
        </w:tabs>
        <w:overflowPunct w:val="0"/>
        <w:autoSpaceDE w:val="0"/>
        <w:autoSpaceDN w:val="0"/>
        <w:adjustRightInd w:val="0"/>
        <w:ind w:left="266"/>
        <w:textAlignment w:val="baseline"/>
        <w:rPr>
          <w:b/>
          <w:sz w:val="16"/>
          <w:szCs w:val="16"/>
        </w:rPr>
      </w:pPr>
    </w:p>
    <w:tbl>
      <w:tblPr>
        <w:tblStyle w:val="TableGrid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345"/>
      </w:tblGrid>
      <w:tr w:rsidRPr="00330A97" w:rsidR="00330A97" w:rsidTr="00D97149" w14:paraId="2199778E" w14:textId="77777777">
        <w:tc>
          <w:tcPr>
            <w:tcW w:w="1701" w:type="dxa"/>
          </w:tcPr>
          <w:p w:rsidRPr="00330A97" w:rsidR="00330A97" w:rsidP="00A2086E" w:rsidRDefault="00330A97" w14:paraId="09254C81" w14:textId="77777777">
            <w:pPr>
              <w:overflowPunct w:val="0"/>
              <w:autoSpaceDE w:val="0"/>
              <w:autoSpaceDN w:val="0"/>
              <w:adjustRightInd w:val="0"/>
              <w:spacing w:line="276" w:lineRule="auto"/>
              <w:ind w:left="266" w:hanging="376"/>
              <w:textAlignment w:val="baseline"/>
              <w:rPr>
                <w:b/>
              </w:rPr>
            </w:pPr>
            <w:r>
              <w:rPr>
                <w:b/>
              </w:rPr>
              <w:t>Relatora</w:t>
            </w:r>
          </w:p>
        </w:tc>
        <w:tc>
          <w:tcPr>
            <w:tcW w:w="6345" w:type="dxa"/>
          </w:tcPr>
          <w:p w:rsidRPr="00330A97" w:rsidR="00330A97" w:rsidP="00A2086E" w:rsidRDefault="00330A97" w14:paraId="76F49F8A" w14:textId="7878B802">
            <w:pPr>
              <w:overflowPunct w:val="0"/>
              <w:autoSpaceDE w:val="0"/>
              <w:autoSpaceDN w:val="0"/>
              <w:adjustRightInd w:val="0"/>
              <w:spacing w:line="276" w:lineRule="auto"/>
              <w:ind w:left="266" w:hanging="266"/>
              <w:jc w:val="left"/>
              <w:textAlignment w:val="baseline"/>
            </w:pPr>
            <w:r>
              <w:t>Maria del Carmen Barrera Chamorro (ES – Grupo dos Trabalhadores)</w:t>
            </w:r>
          </w:p>
        </w:tc>
      </w:tr>
      <w:tr w:rsidRPr="00330A97" w:rsidR="00330A97" w:rsidTr="00D97149" w14:paraId="3EE476E4" w14:textId="77777777">
        <w:tc>
          <w:tcPr>
            <w:tcW w:w="1701" w:type="dxa"/>
          </w:tcPr>
          <w:p w:rsidRPr="00330A97" w:rsidR="00330A97" w:rsidP="00A2086E" w:rsidRDefault="00330A97" w14:paraId="178C5755" w14:textId="77777777">
            <w:pPr>
              <w:overflowPunct w:val="0"/>
              <w:autoSpaceDE w:val="0"/>
              <w:autoSpaceDN w:val="0"/>
              <w:adjustRightInd w:val="0"/>
              <w:spacing w:line="276" w:lineRule="auto"/>
              <w:ind w:left="266" w:hanging="376"/>
              <w:textAlignment w:val="baseline"/>
              <w:rPr>
                <w:b/>
              </w:rPr>
            </w:pPr>
            <w:r>
              <w:rPr>
                <w:b/>
              </w:rPr>
              <w:t>Correlator</w:t>
            </w:r>
          </w:p>
        </w:tc>
        <w:tc>
          <w:tcPr>
            <w:tcW w:w="6345" w:type="dxa"/>
          </w:tcPr>
          <w:p w:rsidRPr="00330A97" w:rsidR="00330A97" w:rsidP="00A2086E" w:rsidRDefault="00330A97" w14:paraId="7DFF1C0F" w14:textId="649A8AE7">
            <w:pPr>
              <w:overflowPunct w:val="0"/>
              <w:autoSpaceDE w:val="0"/>
              <w:autoSpaceDN w:val="0"/>
              <w:adjustRightInd w:val="0"/>
              <w:spacing w:line="276" w:lineRule="auto"/>
              <w:ind w:left="266" w:hanging="266"/>
              <w:textAlignment w:val="baseline"/>
            </w:pPr>
            <w:r>
              <w:t>Marinel Dănuț Mureşan (RO – Grupo dos Empregadores)</w:t>
            </w:r>
          </w:p>
        </w:tc>
      </w:tr>
      <w:tr w:rsidRPr="00330A97" w:rsidR="00330A97" w:rsidTr="00D97149" w14:paraId="0C854978" w14:textId="77777777">
        <w:tc>
          <w:tcPr>
            <w:tcW w:w="8046" w:type="dxa"/>
            <w:gridSpan w:val="2"/>
          </w:tcPr>
          <w:p w:rsidRPr="00330A97" w:rsidR="00330A97" w:rsidP="00A2086E" w:rsidRDefault="00330A97" w14:paraId="5DB1E404" w14:textId="77777777">
            <w:pPr>
              <w:overflowPunct w:val="0"/>
              <w:autoSpaceDE w:val="0"/>
              <w:autoSpaceDN w:val="0"/>
              <w:adjustRightInd w:val="0"/>
              <w:spacing w:line="276" w:lineRule="auto"/>
              <w:ind w:left="266" w:hanging="266"/>
              <w:textAlignment w:val="baseline"/>
            </w:pPr>
          </w:p>
        </w:tc>
      </w:tr>
      <w:tr w:rsidRPr="00330A97" w:rsidR="00330A97" w:rsidTr="00D97149" w14:paraId="4FF0D55F" w14:textId="77777777">
        <w:tc>
          <w:tcPr>
            <w:tcW w:w="1701" w:type="dxa"/>
          </w:tcPr>
          <w:p w:rsidRPr="00A2086E" w:rsidR="00330A97" w:rsidP="00A2086E" w:rsidRDefault="00330A97" w14:paraId="7060362A" w14:textId="77777777">
            <w:pPr>
              <w:overflowPunct w:val="0"/>
              <w:autoSpaceDE w:val="0"/>
              <w:autoSpaceDN w:val="0"/>
              <w:adjustRightInd w:val="0"/>
              <w:spacing w:line="276" w:lineRule="auto"/>
              <w:ind w:left="266" w:hanging="376"/>
              <w:textAlignment w:val="baseline"/>
              <w:rPr>
                <w:b/>
              </w:rPr>
            </w:pPr>
            <w:r>
              <w:rPr>
                <w:b/>
              </w:rPr>
              <w:t>Referência</w:t>
            </w:r>
          </w:p>
        </w:tc>
        <w:tc>
          <w:tcPr>
            <w:tcW w:w="6345" w:type="dxa"/>
          </w:tcPr>
          <w:p w:rsidRPr="00330A97" w:rsidR="00330A97" w:rsidP="00A2086E" w:rsidRDefault="00330A97" w14:paraId="360AE497" w14:textId="77777777">
            <w:pPr>
              <w:overflowPunct w:val="0"/>
              <w:autoSpaceDE w:val="0"/>
              <w:autoSpaceDN w:val="0"/>
              <w:adjustRightInd w:val="0"/>
              <w:spacing w:line="276" w:lineRule="auto"/>
              <w:ind w:left="266" w:hanging="266"/>
              <w:textAlignment w:val="baseline"/>
            </w:pPr>
            <w:r>
              <w:t>Parecer exploratório a pedido da Presidência espanhola</w:t>
            </w:r>
          </w:p>
          <w:p w:rsidRPr="00330A97" w:rsidR="00330A97" w:rsidP="00A2086E" w:rsidRDefault="00330A97" w14:paraId="5AF04E18" w14:textId="13950A47">
            <w:pPr>
              <w:overflowPunct w:val="0"/>
              <w:autoSpaceDE w:val="0"/>
              <w:autoSpaceDN w:val="0"/>
              <w:adjustRightInd w:val="0"/>
              <w:spacing w:line="276" w:lineRule="auto"/>
              <w:ind w:left="266" w:hanging="266"/>
              <w:textAlignment w:val="baseline"/>
            </w:pPr>
            <w:r>
              <w:t>EESC-2022-06018-00-00-AC</w:t>
            </w:r>
          </w:p>
        </w:tc>
      </w:tr>
    </w:tbl>
    <w:p w:rsidR="00850767" w:rsidP="00850767" w:rsidRDefault="00850767" w14:paraId="57DD1B33" w14:textId="77777777">
      <w:pPr>
        <w:keepNext/>
        <w:keepLines/>
        <w:overflowPunct w:val="0"/>
        <w:autoSpaceDE w:val="0"/>
        <w:autoSpaceDN w:val="0"/>
        <w:adjustRightInd w:val="0"/>
        <w:spacing w:line="276" w:lineRule="auto"/>
        <w:ind w:left="266" w:hanging="266"/>
        <w:textAlignment w:val="baseline"/>
        <w:rPr>
          <w:b/>
        </w:rPr>
      </w:pPr>
    </w:p>
    <w:p w:rsidRPr="00330A97" w:rsidR="00330A97" w:rsidP="00A2086E" w:rsidRDefault="00330A97" w14:paraId="65367181" w14:textId="597425DB">
      <w:pPr>
        <w:keepNext/>
        <w:keepLines/>
        <w:overflowPunct w:val="0"/>
        <w:autoSpaceDE w:val="0"/>
        <w:autoSpaceDN w:val="0"/>
        <w:adjustRightInd w:val="0"/>
        <w:spacing w:line="276" w:lineRule="auto"/>
        <w:ind w:left="266" w:hanging="266"/>
        <w:textAlignment w:val="baseline"/>
        <w:rPr>
          <w:b/>
        </w:rPr>
      </w:pPr>
      <w:r>
        <w:rPr>
          <w:b/>
        </w:rPr>
        <w:t>Pontos principais</w:t>
      </w:r>
    </w:p>
    <w:p w:rsidR="00330A97" w:rsidP="00A2086E" w:rsidRDefault="00330A97" w14:paraId="74AD5374" w14:textId="3A967E0C">
      <w:pPr>
        <w:keepNext/>
        <w:keepLines/>
        <w:overflowPunct w:val="0"/>
        <w:autoSpaceDE w:val="0"/>
        <w:autoSpaceDN w:val="0"/>
        <w:adjustRightInd w:val="0"/>
        <w:spacing w:line="276" w:lineRule="auto"/>
        <w:ind w:left="266" w:hanging="266"/>
        <w:textAlignment w:val="baseline"/>
        <w:rPr>
          <w:b/>
          <w:sz w:val="16"/>
          <w:szCs w:val="16"/>
        </w:rPr>
      </w:pPr>
    </w:p>
    <w:p w:rsidRPr="00330A97" w:rsidR="00850767" w:rsidP="00A2086E" w:rsidRDefault="00850767" w14:paraId="3A6E5B0A" w14:textId="77777777">
      <w:pPr>
        <w:keepNext/>
        <w:keepLines/>
        <w:overflowPunct w:val="0"/>
        <w:autoSpaceDE w:val="0"/>
        <w:autoSpaceDN w:val="0"/>
        <w:adjustRightInd w:val="0"/>
        <w:spacing w:line="276" w:lineRule="auto"/>
        <w:ind w:left="266" w:hanging="266"/>
        <w:textAlignment w:val="baseline"/>
        <w:rPr>
          <w:b/>
          <w:sz w:val="16"/>
          <w:szCs w:val="16"/>
        </w:rPr>
      </w:pPr>
    </w:p>
    <w:p w:rsidR="00330A97" w:rsidRDefault="00330A97" w14:paraId="38677111" w14:textId="753F6906">
      <w:pPr>
        <w:overflowPunct w:val="0"/>
        <w:autoSpaceDE w:val="0"/>
        <w:autoSpaceDN w:val="0"/>
        <w:adjustRightInd w:val="0"/>
        <w:spacing w:line="276" w:lineRule="auto"/>
        <w:textAlignment w:val="baseline"/>
        <w:rPr>
          <w:szCs w:val="20"/>
        </w:rPr>
      </w:pPr>
      <w:r>
        <w:t>O Comité Económico e Social Europeu:</w:t>
      </w:r>
    </w:p>
    <w:p w:rsidR="00D22BC5" w:rsidP="00A2086E" w:rsidRDefault="00D22BC5" w14:paraId="1CAD0FF5" w14:textId="77777777">
      <w:pPr>
        <w:overflowPunct w:val="0"/>
        <w:autoSpaceDE w:val="0"/>
        <w:autoSpaceDN w:val="0"/>
        <w:adjustRightInd w:val="0"/>
        <w:spacing w:line="276" w:lineRule="auto"/>
        <w:textAlignment w:val="baseline"/>
        <w:rPr>
          <w:szCs w:val="20"/>
        </w:rPr>
      </w:pPr>
    </w:p>
    <w:p w:rsidRPr="00330A97" w:rsidR="00330A97" w:rsidP="00A2086E" w:rsidRDefault="00330A97" w14:paraId="7369709D" w14:textId="77777777">
      <w:pPr>
        <w:numPr>
          <w:ilvl w:val="0"/>
          <w:numId w:val="24"/>
        </w:numPr>
        <w:overflowPunct w:val="0"/>
        <w:autoSpaceDE w:val="0"/>
        <w:autoSpaceDN w:val="0"/>
        <w:adjustRightInd w:val="0"/>
        <w:ind w:left="426" w:hanging="426"/>
        <w:contextualSpacing/>
        <w:textAlignment w:val="baseline"/>
      </w:pPr>
      <w:r>
        <w:t xml:space="preserve">parte do princípio de que </w:t>
      </w:r>
      <w:r>
        <w:rPr>
          <w:b/>
        </w:rPr>
        <w:t>as empresas e os trabalhadores devem dispor de canais adequados</w:t>
      </w:r>
      <w:r>
        <w:t xml:space="preserve"> para participar nos esforços destinados a apoiar a </w:t>
      </w:r>
      <w:r>
        <w:rPr>
          <w:b/>
        </w:rPr>
        <w:t>proteção do ambiente</w:t>
      </w:r>
      <w:r>
        <w:t xml:space="preserve"> e </w:t>
      </w:r>
      <w:r>
        <w:rPr>
          <w:b/>
        </w:rPr>
        <w:t>combater as alterações climáticas</w:t>
      </w:r>
      <w:r>
        <w:t xml:space="preserve">; </w:t>
      </w:r>
    </w:p>
    <w:p w:rsidRPr="00330A97" w:rsidR="00330A97" w:rsidP="00A2086E" w:rsidRDefault="00330A97" w14:paraId="2F123644" w14:textId="77777777">
      <w:pPr>
        <w:numPr>
          <w:ilvl w:val="0"/>
          <w:numId w:val="24"/>
        </w:numPr>
        <w:overflowPunct w:val="0"/>
        <w:autoSpaceDE w:val="0"/>
        <w:autoSpaceDN w:val="0"/>
        <w:adjustRightInd w:val="0"/>
        <w:ind w:left="426" w:hanging="426"/>
        <w:contextualSpacing/>
        <w:textAlignment w:val="baseline"/>
      </w:pPr>
      <w:r>
        <w:t xml:space="preserve">considera que a </w:t>
      </w:r>
      <w:r>
        <w:rPr>
          <w:b/>
        </w:rPr>
        <w:t>negociação coletiva</w:t>
      </w:r>
      <w:r>
        <w:t xml:space="preserve"> pode </w:t>
      </w:r>
      <w:r>
        <w:rPr>
          <w:b/>
        </w:rPr>
        <w:t>dedicar mais atenção</w:t>
      </w:r>
      <w:r>
        <w:t xml:space="preserve"> às questões relacionadas com a </w:t>
      </w:r>
      <w:r>
        <w:rPr>
          <w:b/>
        </w:rPr>
        <w:t>transição ecológica</w:t>
      </w:r>
      <w:r>
        <w:t xml:space="preserve"> aos níveis adequados;</w:t>
      </w:r>
    </w:p>
    <w:p w:rsidRPr="00330A97" w:rsidR="00330A97" w:rsidP="00A2086E" w:rsidRDefault="00330A97" w14:paraId="68B892A9" w14:textId="77777777">
      <w:pPr>
        <w:numPr>
          <w:ilvl w:val="0"/>
          <w:numId w:val="24"/>
        </w:numPr>
        <w:overflowPunct w:val="0"/>
        <w:autoSpaceDE w:val="0"/>
        <w:autoSpaceDN w:val="0"/>
        <w:adjustRightInd w:val="0"/>
        <w:ind w:left="426" w:hanging="426"/>
        <w:contextualSpacing/>
        <w:textAlignment w:val="baseline"/>
      </w:pPr>
      <w:r>
        <w:t xml:space="preserve">considera que o debate sobre as questões da ecologia na negociação coletiva se centra nas </w:t>
      </w:r>
      <w:r>
        <w:rPr>
          <w:b/>
        </w:rPr>
        <w:t>cláusulas negociáveis entre os parceiros sociais</w:t>
      </w:r>
      <w:r>
        <w:t xml:space="preserve"> no âmbito de convenções coletivas que têm um efeito direto e indireto no ambiente. Essas cláusulas podem abranger, nomeadamente:</w:t>
      </w:r>
    </w:p>
    <w:p w:rsidRPr="00330A97" w:rsidR="00330A97" w:rsidP="00A2086E" w:rsidRDefault="00330A97" w14:paraId="0BDF53EF" w14:textId="77777777">
      <w:pPr>
        <w:numPr>
          <w:ilvl w:val="0"/>
          <w:numId w:val="14"/>
        </w:numPr>
        <w:overflowPunct w:val="0"/>
        <w:autoSpaceDE w:val="0"/>
        <w:autoSpaceDN w:val="0"/>
        <w:adjustRightInd w:val="0"/>
        <w:ind w:left="851" w:hanging="425"/>
        <w:contextualSpacing/>
        <w:textAlignment w:val="baseline"/>
      </w:pPr>
      <w:r>
        <w:t xml:space="preserve">O </w:t>
      </w:r>
      <w:r>
        <w:rPr>
          <w:b/>
        </w:rPr>
        <w:t>impacto da atividade das empresas no ambiente</w:t>
      </w:r>
      <w:r>
        <w:t>;</w:t>
      </w:r>
    </w:p>
    <w:p w:rsidRPr="00330A97" w:rsidR="00330A97" w:rsidP="00A2086E" w:rsidRDefault="00330A97" w14:paraId="11A3B8F1" w14:textId="77777777">
      <w:pPr>
        <w:numPr>
          <w:ilvl w:val="0"/>
          <w:numId w:val="14"/>
        </w:numPr>
        <w:overflowPunct w:val="0"/>
        <w:autoSpaceDE w:val="0"/>
        <w:autoSpaceDN w:val="0"/>
        <w:adjustRightInd w:val="0"/>
        <w:ind w:left="851" w:hanging="425"/>
        <w:contextualSpacing/>
        <w:textAlignment w:val="baseline"/>
      </w:pPr>
      <w:r>
        <w:t>A</w:t>
      </w:r>
      <w:r>
        <w:rPr>
          <w:b/>
        </w:rPr>
        <w:t xml:space="preserve"> proteção dos trabalhadores</w:t>
      </w:r>
      <w:r>
        <w:t xml:space="preserve"> contra os </w:t>
      </w:r>
      <w:r>
        <w:rPr>
          <w:b/>
        </w:rPr>
        <w:t>efeitos do ambiente e das alterações climáticas</w:t>
      </w:r>
      <w:r>
        <w:t>;</w:t>
      </w:r>
    </w:p>
    <w:p w:rsidRPr="00330A97" w:rsidR="00330A97" w:rsidP="00A2086E" w:rsidRDefault="00330A97" w14:paraId="50FAA31B" w14:textId="77777777">
      <w:pPr>
        <w:numPr>
          <w:ilvl w:val="0"/>
          <w:numId w:val="14"/>
        </w:numPr>
        <w:overflowPunct w:val="0"/>
        <w:autoSpaceDE w:val="0"/>
        <w:autoSpaceDN w:val="0"/>
        <w:adjustRightInd w:val="0"/>
        <w:ind w:left="851" w:hanging="425"/>
        <w:contextualSpacing/>
        <w:textAlignment w:val="baseline"/>
      </w:pPr>
      <w:r>
        <w:t>O impacto da transformação ecológica na atividade de uma empresa no que diz respeito à organização do trabalho, à evolução dos perfis profissionais e às competências dos trabalhadores;</w:t>
      </w:r>
    </w:p>
    <w:p w:rsidRPr="00330A97" w:rsidR="00330A97" w:rsidP="00A2086E" w:rsidRDefault="00330A97" w14:paraId="3A502D6F" w14:textId="77777777">
      <w:pPr>
        <w:numPr>
          <w:ilvl w:val="0"/>
          <w:numId w:val="14"/>
        </w:numPr>
        <w:overflowPunct w:val="0"/>
        <w:autoSpaceDE w:val="0"/>
        <w:autoSpaceDN w:val="0"/>
        <w:adjustRightInd w:val="0"/>
        <w:ind w:left="851" w:hanging="425"/>
        <w:contextualSpacing/>
        <w:textAlignment w:val="baseline"/>
      </w:pPr>
      <w:r>
        <w:t>O controlo interno da aplicação das alíneas a), b) e c);</w:t>
      </w:r>
    </w:p>
    <w:p w:rsidRPr="00330A97" w:rsidR="00330A97" w:rsidP="00A2086E" w:rsidRDefault="00330A97" w14:paraId="30EBC102" w14:textId="77777777">
      <w:pPr>
        <w:numPr>
          <w:ilvl w:val="0"/>
          <w:numId w:val="24"/>
        </w:numPr>
        <w:overflowPunct w:val="0"/>
        <w:autoSpaceDE w:val="0"/>
        <w:autoSpaceDN w:val="0"/>
        <w:adjustRightInd w:val="0"/>
        <w:ind w:left="426" w:hanging="426"/>
        <w:contextualSpacing/>
        <w:textAlignment w:val="baseline"/>
      </w:pPr>
      <w:r>
        <w:t>destaca a</w:t>
      </w:r>
      <w:r>
        <w:rPr>
          <w:b/>
        </w:rPr>
        <w:t xml:space="preserve"> negociação coletiva</w:t>
      </w:r>
      <w:r>
        <w:t xml:space="preserve"> como um </w:t>
      </w:r>
      <w:r>
        <w:rPr>
          <w:b/>
        </w:rPr>
        <w:t>instrumento fundamental</w:t>
      </w:r>
      <w:r>
        <w:t xml:space="preserve"> que pode ajudar as empresas e os trabalhadores a </w:t>
      </w:r>
      <w:r>
        <w:rPr>
          <w:b/>
        </w:rPr>
        <w:t>enfrentar os desafios da crise climática</w:t>
      </w:r>
      <w:r>
        <w:t>, incluindo os custos derivados para as empresas;</w:t>
      </w:r>
    </w:p>
    <w:p w:rsidRPr="00330A97" w:rsidR="00330A97" w:rsidP="00A2086E" w:rsidRDefault="00330A97" w14:paraId="5F5840B7" w14:textId="77777777">
      <w:pPr>
        <w:numPr>
          <w:ilvl w:val="0"/>
          <w:numId w:val="24"/>
        </w:numPr>
        <w:overflowPunct w:val="0"/>
        <w:autoSpaceDE w:val="0"/>
        <w:autoSpaceDN w:val="0"/>
        <w:adjustRightInd w:val="0"/>
        <w:ind w:left="426" w:hanging="426"/>
        <w:contextualSpacing/>
        <w:textAlignment w:val="baseline"/>
      </w:pPr>
      <w:r>
        <w:t xml:space="preserve">salienta que o impacto da </w:t>
      </w:r>
      <w:r>
        <w:rPr>
          <w:b/>
        </w:rPr>
        <w:t>transição ecológica</w:t>
      </w:r>
      <w:r>
        <w:t xml:space="preserve">, nomeadamente no </w:t>
      </w:r>
      <w:r>
        <w:rPr>
          <w:b/>
        </w:rPr>
        <w:t>emprego</w:t>
      </w:r>
      <w:r>
        <w:t xml:space="preserve"> e na coesão territorial e social, bem como a</w:t>
      </w:r>
      <w:r>
        <w:rPr>
          <w:b/>
        </w:rPr>
        <w:t xml:space="preserve"> criação de emprego</w:t>
      </w:r>
      <w:r>
        <w:t xml:space="preserve">, as transições entre diferentes setores de atividade e a </w:t>
      </w:r>
      <w:r>
        <w:rPr>
          <w:b/>
        </w:rPr>
        <w:t>formação e requalificação dos trabalhadores</w:t>
      </w:r>
      <w:r>
        <w:t xml:space="preserve">, a especial </w:t>
      </w:r>
      <w:r>
        <w:rPr>
          <w:b/>
        </w:rPr>
        <w:t>vulnerabilidade dos trabalhadores mais velhos</w:t>
      </w:r>
      <w:r>
        <w:t xml:space="preserve"> e a </w:t>
      </w:r>
      <w:r>
        <w:rPr>
          <w:b/>
        </w:rPr>
        <w:t>saúde e segurança no trabalho</w:t>
      </w:r>
      <w:r>
        <w:t xml:space="preserve"> são questões suscetíveis de ser abordadas na negociação coletiva, tendo sempre em devida consideração a perspetiva de género;</w:t>
      </w:r>
    </w:p>
    <w:p w:rsidRPr="00330A97" w:rsidR="00330A97" w:rsidP="00A2086E" w:rsidRDefault="00330A97" w14:paraId="57B7A843" w14:textId="77777777">
      <w:pPr>
        <w:numPr>
          <w:ilvl w:val="0"/>
          <w:numId w:val="24"/>
        </w:numPr>
        <w:overflowPunct w:val="0"/>
        <w:autoSpaceDE w:val="0"/>
        <w:autoSpaceDN w:val="0"/>
        <w:adjustRightInd w:val="0"/>
        <w:ind w:left="426" w:hanging="426"/>
        <w:contextualSpacing/>
        <w:textAlignment w:val="baseline"/>
      </w:pPr>
      <w:r>
        <w:t xml:space="preserve">insta a UE, os Estados-Membros e os parceiros sociais, no </w:t>
      </w:r>
      <w:r>
        <w:rPr>
          <w:b/>
        </w:rPr>
        <w:t>pleno respeito da autonomia coletiva</w:t>
      </w:r>
      <w:r>
        <w:t xml:space="preserve">, a tomarem </w:t>
      </w:r>
      <w:r>
        <w:rPr>
          <w:b/>
        </w:rPr>
        <w:t>medidas mais enérgicas e eficazes</w:t>
      </w:r>
      <w:r>
        <w:t xml:space="preserve"> para promover o desenvolvimento da </w:t>
      </w:r>
      <w:r>
        <w:rPr>
          <w:b/>
        </w:rPr>
        <w:t>negociação coletiva ecológica</w:t>
      </w:r>
      <w:r>
        <w:t xml:space="preserve"> e aumentar a sua importância nos vários níveis adequados;</w:t>
      </w:r>
    </w:p>
    <w:p w:rsidR="00121BCE" w:rsidP="00121BCE" w:rsidRDefault="00330A97" w14:paraId="0C0CC93E" w14:textId="0A95D38F">
      <w:pPr>
        <w:widowControl w:val="0"/>
        <w:numPr>
          <w:ilvl w:val="0"/>
          <w:numId w:val="15"/>
        </w:numPr>
        <w:overflowPunct w:val="0"/>
        <w:autoSpaceDE w:val="0"/>
        <w:autoSpaceDN w:val="0"/>
        <w:adjustRightInd w:val="0"/>
        <w:ind w:left="426" w:hanging="426"/>
        <w:contextualSpacing/>
        <w:textAlignment w:val="baseline"/>
      </w:pPr>
      <w:r>
        <w:t xml:space="preserve">insta a UE e os Estados-Membros a </w:t>
      </w:r>
      <w:r>
        <w:rPr>
          <w:b/>
        </w:rPr>
        <w:t>continuarem a apoiar ações e iniciativas</w:t>
      </w:r>
      <w:r>
        <w:t xml:space="preserve"> que </w:t>
      </w:r>
      <w:r>
        <w:rPr>
          <w:b/>
        </w:rPr>
        <w:t>incentivem</w:t>
      </w:r>
      <w:r>
        <w:t xml:space="preserve"> os empregadores e os trabalhadores a </w:t>
      </w:r>
      <w:r>
        <w:rPr>
          <w:b/>
        </w:rPr>
        <w:t>adaptar-se à transição ecológica</w:t>
      </w:r>
      <w:r>
        <w:t>.</w:t>
      </w:r>
    </w:p>
    <w:p w:rsidRPr="00330A97" w:rsidR="00121BCE" w:rsidP="00A2086E" w:rsidRDefault="00121BCE" w14:paraId="30E1C641" w14:textId="77777777">
      <w:pPr>
        <w:widowControl w:val="0"/>
        <w:overflowPunct w:val="0"/>
        <w:autoSpaceDE w:val="0"/>
        <w:autoSpaceDN w:val="0"/>
        <w:adjustRightInd w:val="0"/>
        <w:ind w:left="360"/>
        <w:contextualSpacing/>
        <w:textAlignment w:val="baseline"/>
        <w:rPr>
          <w:lang w:eastAsia="zh-CN"/>
        </w:rPr>
      </w:pPr>
    </w:p>
    <w:tbl>
      <w:tblPr>
        <w:tblStyle w:val="TableGrid5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30A97" w:rsidR="00330A97" w:rsidTr="00D97149" w14:paraId="1397EB8A" w14:textId="77777777">
        <w:tc>
          <w:tcPr>
            <w:tcW w:w="1418" w:type="dxa"/>
          </w:tcPr>
          <w:p w:rsidRPr="00330A97" w:rsidR="00330A97" w:rsidP="00330A97" w:rsidRDefault="00330A97" w14:paraId="5152D70E" w14:textId="607F7305">
            <w:pPr>
              <w:overflowPunct w:val="0"/>
              <w:autoSpaceDE w:val="0"/>
              <w:autoSpaceDN w:val="0"/>
              <w:adjustRightInd w:val="0"/>
              <w:spacing w:line="240" w:lineRule="auto"/>
              <w:textAlignment w:val="baseline"/>
              <w:rPr>
                <w:i/>
              </w:rPr>
            </w:pPr>
            <w:r>
              <w:rPr>
                <w:b/>
                <w:i/>
              </w:rPr>
              <w:t>Contacto</w:t>
            </w:r>
          </w:p>
        </w:tc>
        <w:tc>
          <w:tcPr>
            <w:tcW w:w="5670" w:type="dxa"/>
          </w:tcPr>
          <w:p w:rsidRPr="00330A97" w:rsidR="00330A97" w:rsidP="00330A97" w:rsidRDefault="00330A97" w14:paraId="72110FCC" w14:textId="77777777">
            <w:pPr>
              <w:overflowPunct w:val="0"/>
              <w:autoSpaceDE w:val="0"/>
              <w:autoSpaceDN w:val="0"/>
              <w:adjustRightInd w:val="0"/>
              <w:spacing w:line="240" w:lineRule="auto"/>
              <w:textAlignment w:val="baseline"/>
              <w:rPr>
                <w:i/>
              </w:rPr>
            </w:pPr>
            <w:r>
              <w:rPr>
                <w:i/>
              </w:rPr>
              <w:t>Triin Aasmaa Gomes</w:t>
            </w:r>
          </w:p>
        </w:tc>
      </w:tr>
      <w:tr w:rsidRPr="00330A97" w:rsidR="00330A97" w:rsidTr="00D97149" w14:paraId="1CF67A4E" w14:textId="77777777">
        <w:tc>
          <w:tcPr>
            <w:tcW w:w="1418" w:type="dxa"/>
          </w:tcPr>
          <w:p w:rsidRPr="00330A97" w:rsidR="00330A97" w:rsidP="00330A97" w:rsidRDefault="00330A97" w14:paraId="4633CC4C" w14:textId="146C64A1">
            <w:pPr>
              <w:overflowPunct w:val="0"/>
              <w:autoSpaceDE w:val="0"/>
              <w:autoSpaceDN w:val="0"/>
              <w:adjustRightInd w:val="0"/>
              <w:spacing w:line="240" w:lineRule="auto"/>
              <w:textAlignment w:val="baseline"/>
              <w:rPr>
                <w:i/>
              </w:rPr>
            </w:pPr>
            <w:r>
              <w:rPr>
                <w:i/>
              </w:rPr>
              <w:t>Tel.</w:t>
            </w:r>
          </w:p>
        </w:tc>
        <w:tc>
          <w:tcPr>
            <w:tcW w:w="5670" w:type="dxa"/>
          </w:tcPr>
          <w:p w:rsidRPr="00330A97" w:rsidR="00330A97" w:rsidP="00330A97" w:rsidRDefault="007D2E29" w14:paraId="4C315E2B" w14:textId="4B88D3B5">
            <w:pPr>
              <w:overflowPunct w:val="0"/>
              <w:autoSpaceDE w:val="0"/>
              <w:autoSpaceDN w:val="0"/>
              <w:adjustRightInd w:val="0"/>
              <w:spacing w:line="240" w:lineRule="auto"/>
              <w:textAlignment w:val="baseline"/>
              <w:rPr>
                <w:i/>
              </w:rPr>
            </w:pPr>
            <w:r>
              <w:rPr>
                <w:i/>
              </w:rPr>
              <w:t>+32 2 546 9524</w:t>
            </w:r>
          </w:p>
        </w:tc>
      </w:tr>
      <w:tr w:rsidRPr="00330A97" w:rsidR="00330A97" w:rsidTr="00D97149" w14:paraId="01109AD6" w14:textId="77777777">
        <w:tc>
          <w:tcPr>
            <w:tcW w:w="1418" w:type="dxa"/>
          </w:tcPr>
          <w:p w:rsidRPr="00330A97" w:rsidR="00330A97" w:rsidP="00330A97" w:rsidRDefault="00121BCE" w14:paraId="36BEBE48" w14:textId="2112F9A1">
            <w:pPr>
              <w:overflowPunct w:val="0"/>
              <w:autoSpaceDE w:val="0"/>
              <w:autoSpaceDN w:val="0"/>
              <w:adjustRightInd w:val="0"/>
              <w:spacing w:line="240" w:lineRule="auto"/>
              <w:textAlignment w:val="baseline"/>
              <w:rPr>
                <w:i/>
              </w:rPr>
            </w:pPr>
            <w:r>
              <w:rPr>
                <w:i/>
              </w:rPr>
              <w:t>Endereço eletrónico</w:t>
            </w:r>
          </w:p>
        </w:tc>
        <w:tc>
          <w:tcPr>
            <w:tcW w:w="5670" w:type="dxa"/>
          </w:tcPr>
          <w:p w:rsidRPr="00330A97" w:rsidR="00330A97" w:rsidP="00330A97" w:rsidRDefault="007E421A" w14:paraId="4E968F9F" w14:textId="77777777">
            <w:pPr>
              <w:overflowPunct w:val="0"/>
              <w:autoSpaceDE w:val="0"/>
              <w:autoSpaceDN w:val="0"/>
              <w:adjustRightInd w:val="0"/>
              <w:spacing w:line="240" w:lineRule="auto"/>
              <w:textAlignment w:val="baseline"/>
              <w:rPr>
                <w:i/>
              </w:rPr>
            </w:pPr>
            <w:hyperlink w:history="1" r:id="rId33">
              <w:r w:rsidR="00E11732">
                <w:rPr>
                  <w:i/>
                  <w:color w:val="0000FF"/>
                  <w:u w:val="single"/>
                </w:rPr>
                <w:t>Triin.AasmaaGomes@eesc.europa.eu</w:t>
              </w:r>
            </w:hyperlink>
          </w:p>
        </w:tc>
      </w:tr>
    </w:tbl>
    <w:p w:rsidR="00330A97" w:rsidP="004E1AA1" w:rsidRDefault="00330A97" w14:paraId="271CCB50" w14:textId="77777777">
      <w:pPr>
        <w:spacing w:after="160" w:line="259" w:lineRule="auto"/>
        <w:jc w:val="left"/>
        <w:rPr>
          <w:sz w:val="16"/>
          <w:szCs w:val="16"/>
        </w:rPr>
      </w:pPr>
    </w:p>
    <w:p w:rsidR="00330A97" w:rsidRDefault="00330A97" w14:paraId="0B90FD57" w14:textId="77777777">
      <w:pPr>
        <w:spacing w:after="160" w:line="259" w:lineRule="auto"/>
        <w:jc w:val="left"/>
        <w:rPr>
          <w:sz w:val="16"/>
          <w:szCs w:val="16"/>
        </w:rPr>
      </w:pPr>
      <w:r>
        <w:br w:type="page"/>
      </w:r>
    </w:p>
    <w:p w:rsidRPr="00330A97" w:rsidR="00330A97" w:rsidP="00330A97" w:rsidRDefault="007E421A" w14:paraId="4BD31084" w14:textId="5B2EA384">
      <w:pPr>
        <w:widowControl w:val="0"/>
        <w:numPr>
          <w:ilvl w:val="0"/>
          <w:numId w:val="1"/>
        </w:numPr>
        <w:overflowPunct w:val="0"/>
        <w:autoSpaceDE w:val="0"/>
        <w:autoSpaceDN w:val="0"/>
        <w:adjustRightInd w:val="0"/>
        <w:ind w:hanging="567"/>
        <w:textAlignment w:val="baseline"/>
        <w:rPr>
          <w:sz w:val="24"/>
          <w:szCs w:val="24"/>
        </w:rPr>
      </w:pPr>
      <w:hyperlink w:history="1" r:id="rId34">
        <w:r w:rsidR="00E11732">
          <w:rPr>
            <w:b/>
            <w:i/>
            <w:color w:val="0000FF"/>
            <w:sz w:val="28"/>
            <w:u w:val="single"/>
          </w:rPr>
          <w:t>Medidas para combater o estigma associado ao VIH</w:t>
        </w:r>
      </w:hyperlink>
    </w:p>
    <w:p w:rsidRPr="00330A97" w:rsidR="00330A97" w:rsidP="00330A97" w:rsidRDefault="00330A97" w14:paraId="7B2D7D07" w14:textId="77777777">
      <w:pPr>
        <w:tabs>
          <w:tab w:val="center" w:pos="284"/>
        </w:tabs>
        <w:overflowPunct w:val="0"/>
        <w:autoSpaceDE w:val="0"/>
        <w:autoSpaceDN w:val="0"/>
        <w:adjustRightInd w:val="0"/>
        <w:ind w:left="266" w:hanging="266"/>
        <w:textAlignment w:val="baseline"/>
        <w:rPr>
          <w:b/>
        </w:rPr>
      </w:pPr>
    </w:p>
    <w:tbl>
      <w:tblPr>
        <w:tblStyle w:val="TableGrid5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6521"/>
      </w:tblGrid>
      <w:tr w:rsidRPr="00330A97" w:rsidR="00330A97" w:rsidTr="00D97149" w14:paraId="7BFF0AFA" w14:textId="77777777">
        <w:tc>
          <w:tcPr>
            <w:tcW w:w="1701" w:type="dxa"/>
          </w:tcPr>
          <w:p w:rsidRPr="00330A97" w:rsidR="00330A97" w:rsidRDefault="00330A97" w14:paraId="1B227706" w14:textId="77777777">
            <w:pPr>
              <w:tabs>
                <w:tab w:val="center" w:pos="284"/>
              </w:tabs>
              <w:overflowPunct w:val="0"/>
              <w:autoSpaceDE w:val="0"/>
              <w:autoSpaceDN w:val="0"/>
              <w:adjustRightInd w:val="0"/>
              <w:ind w:left="266" w:hanging="266"/>
              <w:textAlignment w:val="baseline"/>
              <w:rPr>
                <w:b/>
              </w:rPr>
            </w:pPr>
            <w:r>
              <w:rPr>
                <w:b/>
              </w:rPr>
              <w:t>Relator</w:t>
            </w:r>
          </w:p>
        </w:tc>
        <w:tc>
          <w:tcPr>
            <w:tcW w:w="6521" w:type="dxa"/>
          </w:tcPr>
          <w:p w:rsidRPr="00330A97" w:rsidR="00330A97" w:rsidRDefault="00330A97" w14:paraId="143CCFDD" w14:textId="7022FDF3">
            <w:pPr>
              <w:tabs>
                <w:tab w:val="center" w:pos="284"/>
              </w:tabs>
              <w:overflowPunct w:val="0"/>
              <w:autoSpaceDE w:val="0"/>
              <w:autoSpaceDN w:val="0"/>
              <w:adjustRightInd w:val="0"/>
              <w:ind w:left="266" w:hanging="266"/>
              <w:textAlignment w:val="baseline"/>
            </w:pPr>
            <w:r>
              <w:t>Pietro Vittorio Barbieri (IT - Grupo das Organizações da Sociedade Civil)</w:t>
            </w:r>
          </w:p>
        </w:tc>
      </w:tr>
      <w:tr w:rsidRPr="00330A97" w:rsidR="00330A97" w:rsidTr="00D97149" w14:paraId="205A8C1D" w14:textId="77777777">
        <w:tc>
          <w:tcPr>
            <w:tcW w:w="1701" w:type="dxa"/>
          </w:tcPr>
          <w:p w:rsidRPr="00330A97" w:rsidR="00330A97" w:rsidRDefault="00330A97" w14:paraId="025513C8" w14:textId="77777777">
            <w:pPr>
              <w:tabs>
                <w:tab w:val="center" w:pos="284"/>
              </w:tabs>
              <w:overflowPunct w:val="0"/>
              <w:autoSpaceDE w:val="0"/>
              <w:autoSpaceDN w:val="0"/>
              <w:adjustRightInd w:val="0"/>
              <w:ind w:left="266" w:hanging="266"/>
              <w:textAlignment w:val="baseline"/>
              <w:rPr>
                <w:b/>
              </w:rPr>
            </w:pPr>
            <w:r>
              <w:rPr>
                <w:b/>
              </w:rPr>
              <w:t>Correlatora</w:t>
            </w:r>
          </w:p>
        </w:tc>
        <w:tc>
          <w:tcPr>
            <w:tcW w:w="6521" w:type="dxa"/>
          </w:tcPr>
          <w:p w:rsidRPr="00330A97" w:rsidR="00330A97" w:rsidRDefault="00330A97" w14:paraId="14E495FB" w14:textId="75836241">
            <w:pPr>
              <w:tabs>
                <w:tab w:val="center" w:pos="284"/>
              </w:tabs>
              <w:overflowPunct w:val="0"/>
              <w:autoSpaceDE w:val="0"/>
              <w:autoSpaceDN w:val="0"/>
              <w:adjustRightInd w:val="0"/>
              <w:ind w:left="266" w:hanging="266"/>
              <w:textAlignment w:val="baseline"/>
            </w:pPr>
            <w:r>
              <w:t>Nicoletta Merlo (IT – Grupo dos Trabalhadores)</w:t>
            </w:r>
          </w:p>
        </w:tc>
      </w:tr>
      <w:tr w:rsidRPr="00330A97" w:rsidR="00330A97" w:rsidTr="00D97149" w14:paraId="2F630B45" w14:textId="77777777">
        <w:tc>
          <w:tcPr>
            <w:tcW w:w="8222" w:type="dxa"/>
            <w:gridSpan w:val="2"/>
          </w:tcPr>
          <w:p w:rsidRPr="00330A97" w:rsidR="00330A97" w:rsidRDefault="00330A97" w14:paraId="4CBDFB6B"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D97149" w14:paraId="2E51D2B8" w14:textId="77777777">
        <w:tc>
          <w:tcPr>
            <w:tcW w:w="1701" w:type="dxa"/>
            <w:vMerge w:val="restart"/>
          </w:tcPr>
          <w:p w:rsidRPr="00330A97" w:rsidR="00330A97" w:rsidRDefault="00330A97" w14:paraId="05B40FEA" w14:textId="77777777">
            <w:pPr>
              <w:tabs>
                <w:tab w:val="center" w:pos="284"/>
              </w:tabs>
              <w:overflowPunct w:val="0"/>
              <w:autoSpaceDE w:val="0"/>
              <w:autoSpaceDN w:val="0"/>
              <w:adjustRightInd w:val="0"/>
              <w:ind w:left="266" w:hanging="266"/>
              <w:textAlignment w:val="baseline"/>
              <w:rPr>
                <w:b/>
              </w:rPr>
            </w:pPr>
            <w:r>
              <w:rPr>
                <w:b/>
              </w:rPr>
              <w:t xml:space="preserve">Referência </w:t>
            </w:r>
          </w:p>
        </w:tc>
        <w:tc>
          <w:tcPr>
            <w:tcW w:w="6521" w:type="dxa"/>
          </w:tcPr>
          <w:p w:rsidRPr="00330A97" w:rsidR="00330A97" w:rsidRDefault="00330A97" w14:paraId="67D3402C" w14:textId="77777777">
            <w:pPr>
              <w:tabs>
                <w:tab w:val="center" w:pos="284"/>
              </w:tabs>
              <w:overflowPunct w:val="0"/>
              <w:autoSpaceDE w:val="0"/>
              <w:autoSpaceDN w:val="0"/>
              <w:adjustRightInd w:val="0"/>
              <w:ind w:left="266" w:hanging="266"/>
              <w:textAlignment w:val="baseline"/>
            </w:pPr>
            <w:r>
              <w:t>Parecer exploratório a pedido da Presidência espanhola</w:t>
            </w:r>
          </w:p>
        </w:tc>
      </w:tr>
      <w:tr w:rsidRPr="00330A97" w:rsidR="00330A97" w:rsidTr="00D97149" w14:paraId="2D7915BD" w14:textId="77777777">
        <w:tc>
          <w:tcPr>
            <w:tcW w:w="1701" w:type="dxa"/>
            <w:vMerge/>
          </w:tcPr>
          <w:p w:rsidRPr="00330A97" w:rsidR="00330A97" w:rsidRDefault="00330A97" w14:paraId="140DA48E" w14:textId="77777777">
            <w:pPr>
              <w:tabs>
                <w:tab w:val="center" w:pos="284"/>
              </w:tabs>
              <w:overflowPunct w:val="0"/>
              <w:autoSpaceDE w:val="0"/>
              <w:autoSpaceDN w:val="0"/>
              <w:adjustRightInd w:val="0"/>
              <w:ind w:left="266" w:hanging="266"/>
              <w:textAlignment w:val="baseline"/>
              <w:rPr>
                <w:b/>
              </w:rPr>
            </w:pPr>
          </w:p>
        </w:tc>
        <w:tc>
          <w:tcPr>
            <w:tcW w:w="6521" w:type="dxa"/>
          </w:tcPr>
          <w:p w:rsidRPr="00330A97" w:rsidR="00330A97" w:rsidRDefault="00330A97" w14:paraId="6A6E888A" w14:textId="4F07A9D2">
            <w:pPr>
              <w:tabs>
                <w:tab w:val="center" w:pos="284"/>
              </w:tabs>
              <w:overflowPunct w:val="0"/>
              <w:autoSpaceDE w:val="0"/>
              <w:autoSpaceDN w:val="0"/>
              <w:adjustRightInd w:val="0"/>
              <w:ind w:left="266" w:hanging="266"/>
              <w:textAlignment w:val="baseline"/>
            </w:pPr>
            <w:r>
              <w:t xml:space="preserve">EESC-2023-00863-00-00-AC </w:t>
            </w:r>
          </w:p>
        </w:tc>
      </w:tr>
    </w:tbl>
    <w:p w:rsidRPr="00330A97" w:rsidR="00330A97" w:rsidRDefault="00330A97" w14:paraId="1943B3F4" w14:textId="77777777">
      <w:pPr>
        <w:tabs>
          <w:tab w:val="center" w:pos="284"/>
        </w:tabs>
        <w:overflowPunct w:val="0"/>
        <w:autoSpaceDE w:val="0"/>
        <w:autoSpaceDN w:val="0"/>
        <w:adjustRightInd w:val="0"/>
        <w:ind w:left="266" w:hanging="266"/>
        <w:textAlignment w:val="baseline"/>
      </w:pPr>
    </w:p>
    <w:p w:rsidRPr="00330A97" w:rsidR="00330A97" w:rsidRDefault="00330A97" w14:paraId="555B4545"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330A97" w:rsidR="00330A97" w:rsidRDefault="00330A97" w14:paraId="297D59A9" w14:textId="77777777">
      <w:pPr>
        <w:keepNext/>
        <w:keepLines/>
        <w:tabs>
          <w:tab w:val="center" w:pos="284"/>
        </w:tabs>
        <w:overflowPunct w:val="0"/>
        <w:autoSpaceDE w:val="0"/>
        <w:autoSpaceDN w:val="0"/>
        <w:adjustRightInd w:val="0"/>
        <w:ind w:left="266" w:hanging="266"/>
        <w:textAlignment w:val="baseline"/>
        <w:rPr>
          <w:b/>
        </w:rPr>
      </w:pPr>
    </w:p>
    <w:p w:rsidR="00330A97" w:rsidP="00D50A85" w:rsidRDefault="00330A97" w14:paraId="48E569F5" w14:textId="3649D863">
      <w:pPr>
        <w:overflowPunct w:val="0"/>
        <w:autoSpaceDE w:val="0"/>
        <w:autoSpaceDN w:val="0"/>
        <w:adjustRightInd w:val="0"/>
        <w:textAlignment w:val="baseline"/>
        <w:rPr>
          <w:bCs/>
          <w:iCs/>
        </w:rPr>
      </w:pPr>
      <w:r>
        <w:t>O Comité Económico e Social Europeu:</w:t>
      </w:r>
    </w:p>
    <w:p w:rsidR="00D22BC5" w:rsidP="00D50A85" w:rsidRDefault="00D22BC5" w14:paraId="49FF1226" w14:textId="77777777">
      <w:pPr>
        <w:overflowPunct w:val="0"/>
        <w:autoSpaceDE w:val="0"/>
        <w:autoSpaceDN w:val="0"/>
        <w:adjustRightInd w:val="0"/>
        <w:textAlignment w:val="baseline"/>
        <w:rPr>
          <w:bCs/>
          <w:iCs/>
        </w:rPr>
      </w:pPr>
    </w:p>
    <w:p w:rsidRPr="00330A97" w:rsidR="00330A97" w:rsidP="00A2086E" w:rsidRDefault="00D07ABE" w14:paraId="48D41568" w14:textId="594008BF">
      <w:pPr>
        <w:widowControl w:val="0"/>
        <w:numPr>
          <w:ilvl w:val="0"/>
          <w:numId w:val="26"/>
        </w:numPr>
        <w:overflowPunct w:val="0"/>
        <w:autoSpaceDE w:val="0"/>
        <w:autoSpaceDN w:val="0"/>
        <w:adjustRightInd w:val="0"/>
        <w:ind w:left="426" w:hanging="426"/>
        <w:textAlignment w:val="baseline"/>
      </w:pPr>
      <w:r>
        <w:t xml:space="preserve">acolhe com agrado a iniciativa da Presidência espanhola de definir como objetivo a </w:t>
      </w:r>
      <w:r>
        <w:rPr>
          <w:b/>
        </w:rPr>
        <w:t>eliminação do estigma e da discriminação associados ao vírus da imunodeficiência humana (VIH) na Europa até 2030</w:t>
      </w:r>
      <w:r>
        <w:t xml:space="preserve">; </w:t>
      </w:r>
    </w:p>
    <w:p w:rsidRPr="00330A97" w:rsidR="00330A97" w:rsidP="00A2086E" w:rsidRDefault="00D22BC5" w14:paraId="0B462514" w14:textId="7467276D">
      <w:pPr>
        <w:widowControl w:val="0"/>
        <w:numPr>
          <w:ilvl w:val="0"/>
          <w:numId w:val="26"/>
        </w:numPr>
        <w:overflowPunct w:val="0"/>
        <w:autoSpaceDE w:val="0"/>
        <w:autoSpaceDN w:val="0"/>
        <w:adjustRightInd w:val="0"/>
        <w:ind w:left="426" w:hanging="426"/>
        <w:textAlignment w:val="baseline"/>
      </w:pPr>
      <w:r>
        <w:t xml:space="preserve">concorda com a necessidade de uma </w:t>
      </w:r>
      <w:r>
        <w:rPr>
          <w:b/>
        </w:rPr>
        <w:t>declaração de alto nível</w:t>
      </w:r>
      <w:r>
        <w:t xml:space="preserve"> das instituições europeias, a apresentar ao Parlamento Europeu em 1 de dezembro de 2023, e compromete-se a apoiar e a participar nessa declaração em todos os níveis, formas e fóruns possíveis;</w:t>
      </w:r>
    </w:p>
    <w:p w:rsidRPr="00330A97" w:rsidR="00330A97" w:rsidP="00A2086E" w:rsidRDefault="00D07ABE" w14:paraId="1D093221" w14:textId="740957ED">
      <w:pPr>
        <w:widowControl w:val="0"/>
        <w:numPr>
          <w:ilvl w:val="0"/>
          <w:numId w:val="26"/>
        </w:numPr>
        <w:overflowPunct w:val="0"/>
        <w:autoSpaceDE w:val="0"/>
        <w:autoSpaceDN w:val="0"/>
        <w:adjustRightInd w:val="0"/>
        <w:ind w:left="426" w:hanging="426"/>
        <w:textAlignment w:val="baseline"/>
      </w:pPr>
      <w:r>
        <w:t xml:space="preserve">considera que, para combater o estigma, a discriminação e os estereótipos, é essencial promover </w:t>
      </w:r>
      <w:r>
        <w:rPr>
          <w:b/>
        </w:rPr>
        <w:t>ações de sensibilização, formação e informação</w:t>
      </w:r>
      <w:r>
        <w:t>, sobretudo nas escolas, contando com a participação da sociedade civil organizada e das organizações de jovens e de estudantes.</w:t>
      </w:r>
    </w:p>
    <w:p w:rsidRPr="00330A97" w:rsidR="00330A97" w:rsidP="00A2086E" w:rsidRDefault="00D22BC5" w14:paraId="04D4E8DE" w14:textId="16541C01">
      <w:pPr>
        <w:widowControl w:val="0"/>
        <w:numPr>
          <w:ilvl w:val="0"/>
          <w:numId w:val="26"/>
        </w:numPr>
        <w:overflowPunct w:val="0"/>
        <w:autoSpaceDE w:val="0"/>
        <w:autoSpaceDN w:val="0"/>
        <w:adjustRightInd w:val="0"/>
        <w:ind w:left="426" w:hanging="426"/>
        <w:textAlignment w:val="baseline"/>
      </w:pPr>
      <w:r>
        <w:t xml:space="preserve">frisa que é necessário que as informações específicas e os programas de prevenção aplicados a nível institucional cheguem a </w:t>
      </w:r>
      <w:r>
        <w:rPr>
          <w:b/>
        </w:rPr>
        <w:t>grupos populacionais fundamentais</w:t>
      </w:r>
      <w:r>
        <w:t>, para que os serviços específicos possam entrar em contacto com eles de forma proativa, eventualmente através de associações não governamentais de base comunitária.</w:t>
      </w:r>
    </w:p>
    <w:p w:rsidRPr="00330A97" w:rsidR="00330A97" w:rsidP="00A2086E" w:rsidRDefault="00D07ABE" w14:paraId="76F64E0F" w14:textId="5DE8E213">
      <w:pPr>
        <w:widowControl w:val="0"/>
        <w:numPr>
          <w:ilvl w:val="0"/>
          <w:numId w:val="26"/>
        </w:numPr>
        <w:overflowPunct w:val="0"/>
        <w:autoSpaceDE w:val="0"/>
        <w:autoSpaceDN w:val="0"/>
        <w:adjustRightInd w:val="0"/>
        <w:ind w:left="426" w:hanging="426"/>
        <w:textAlignment w:val="baseline"/>
      </w:pPr>
      <w:r>
        <w:t>salienta a importância de os países de acolhimento a</w:t>
      </w:r>
      <w:r>
        <w:rPr>
          <w:b/>
        </w:rPr>
        <w:t>ssegurarem a continuidade e a gratuitidade dos testes de rastreio e do tratamento do VIH para os refugiados ucranianos</w:t>
      </w:r>
      <w:r>
        <w:t xml:space="preserve"> e de melhorarem as oportunidades de testagem, independentemente do seu estatuto de residência;</w:t>
      </w:r>
    </w:p>
    <w:p w:rsidRPr="00330A97" w:rsidR="00330A97" w:rsidP="00A2086E" w:rsidRDefault="00D07ABE" w14:paraId="621D853E" w14:textId="0FB12788">
      <w:pPr>
        <w:widowControl w:val="0"/>
        <w:numPr>
          <w:ilvl w:val="0"/>
          <w:numId w:val="26"/>
        </w:numPr>
        <w:overflowPunct w:val="0"/>
        <w:autoSpaceDE w:val="0"/>
        <w:autoSpaceDN w:val="0"/>
        <w:adjustRightInd w:val="0"/>
        <w:ind w:left="426" w:hanging="426"/>
        <w:textAlignment w:val="baseline"/>
      </w:pPr>
      <w:r>
        <w:t xml:space="preserve">solicita a fixação de uma nova meta mais ambiciosa para todos os países até 2030, prevendo a </w:t>
      </w:r>
      <w:r>
        <w:rPr>
          <w:b/>
        </w:rPr>
        <w:t>melhoria dos níveis de cobertura até 95%</w:t>
      </w:r>
      <w:r>
        <w:t xml:space="preserve"> para os testes, o tratamento e a supressão virológica;</w:t>
      </w:r>
    </w:p>
    <w:p w:rsidRPr="00330A97" w:rsidR="00330A97" w:rsidP="00A2086E" w:rsidRDefault="00D22BC5" w14:paraId="218D75AA" w14:textId="1A4643B5">
      <w:pPr>
        <w:widowControl w:val="0"/>
        <w:numPr>
          <w:ilvl w:val="0"/>
          <w:numId w:val="26"/>
        </w:numPr>
        <w:overflowPunct w:val="0"/>
        <w:autoSpaceDE w:val="0"/>
        <w:autoSpaceDN w:val="0"/>
        <w:adjustRightInd w:val="0"/>
        <w:ind w:left="426" w:hanging="426"/>
        <w:textAlignment w:val="baseline"/>
      </w:pPr>
      <w:r>
        <w:t xml:space="preserve">defende a criação de </w:t>
      </w:r>
      <w:r>
        <w:rPr>
          <w:b/>
        </w:rPr>
        <w:t>estratégias novas e inovadoras que visem melhorar o diagnóstico precoce</w:t>
      </w:r>
      <w:r>
        <w:t xml:space="preserve"> e sensibilizar um maior número de pessoas para a sua infeção através de um maior recurso a abordagens diversificadas e de fácil utilização para uma maior disponibilidade de testes de rastreio do VIH.</w:t>
      </w:r>
    </w:p>
    <w:p w:rsidRPr="00330A97" w:rsidR="00330A97" w:rsidP="00330A97" w:rsidRDefault="00330A97" w14:paraId="4AE7C1F0" w14:textId="77777777">
      <w:pPr>
        <w:widowControl w:val="0"/>
        <w:overflowPunct w:val="0"/>
        <w:autoSpaceDE w:val="0"/>
        <w:autoSpaceDN w:val="0"/>
        <w:adjustRightInd w:val="0"/>
        <w:ind w:left="709"/>
        <w:textAlignment w:val="baseline"/>
        <w:rPr>
          <w:szCs w:val="20"/>
        </w:rPr>
      </w:pPr>
    </w:p>
    <w:tbl>
      <w:tblPr>
        <w:tblStyle w:val="TableGrid5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30A97" w:rsidR="00330A97" w:rsidTr="00D97149" w14:paraId="1BACE81A" w14:textId="77777777">
        <w:tc>
          <w:tcPr>
            <w:tcW w:w="1418" w:type="dxa"/>
          </w:tcPr>
          <w:p w:rsidRPr="00330A97" w:rsidR="00330A97" w:rsidP="00330A97" w:rsidRDefault="00330A97" w14:paraId="38080375" w14:textId="3DBF9D3B">
            <w:pPr>
              <w:overflowPunct w:val="0"/>
              <w:autoSpaceDE w:val="0"/>
              <w:autoSpaceDN w:val="0"/>
              <w:adjustRightInd w:val="0"/>
              <w:spacing w:line="240" w:lineRule="auto"/>
              <w:textAlignment w:val="baseline"/>
              <w:rPr>
                <w:i/>
              </w:rPr>
            </w:pPr>
            <w:r>
              <w:rPr>
                <w:b/>
                <w:i/>
              </w:rPr>
              <w:t>Contacto</w:t>
            </w:r>
          </w:p>
        </w:tc>
        <w:tc>
          <w:tcPr>
            <w:tcW w:w="5670" w:type="dxa"/>
          </w:tcPr>
          <w:p w:rsidRPr="00330A97" w:rsidR="00330A97" w:rsidP="00330A97" w:rsidRDefault="00330A97" w14:paraId="26796F3B" w14:textId="77777777">
            <w:pPr>
              <w:overflowPunct w:val="0"/>
              <w:autoSpaceDE w:val="0"/>
              <w:autoSpaceDN w:val="0"/>
              <w:adjustRightInd w:val="0"/>
              <w:spacing w:line="240" w:lineRule="auto"/>
              <w:textAlignment w:val="baseline"/>
              <w:rPr>
                <w:i/>
              </w:rPr>
            </w:pPr>
            <w:r>
              <w:rPr>
                <w:i/>
              </w:rPr>
              <w:t>Margherita Logrillo</w:t>
            </w:r>
          </w:p>
        </w:tc>
      </w:tr>
      <w:tr w:rsidRPr="00330A97" w:rsidR="00330A97" w:rsidTr="00D97149" w14:paraId="018134BB" w14:textId="77777777">
        <w:tc>
          <w:tcPr>
            <w:tcW w:w="1418" w:type="dxa"/>
          </w:tcPr>
          <w:p w:rsidRPr="00330A97" w:rsidR="00330A97" w:rsidP="00330A97" w:rsidRDefault="00330A97" w14:paraId="5350F3BA" w14:textId="7AFFB5A0">
            <w:pPr>
              <w:overflowPunct w:val="0"/>
              <w:autoSpaceDE w:val="0"/>
              <w:autoSpaceDN w:val="0"/>
              <w:adjustRightInd w:val="0"/>
              <w:spacing w:line="240" w:lineRule="auto"/>
              <w:textAlignment w:val="baseline"/>
              <w:rPr>
                <w:i/>
              </w:rPr>
            </w:pPr>
            <w:r>
              <w:rPr>
                <w:i/>
              </w:rPr>
              <w:t>Tel.</w:t>
            </w:r>
          </w:p>
        </w:tc>
        <w:tc>
          <w:tcPr>
            <w:tcW w:w="5670" w:type="dxa"/>
          </w:tcPr>
          <w:p w:rsidRPr="00330A97" w:rsidR="00330A97" w:rsidP="00330A97" w:rsidRDefault="00330A97" w14:paraId="63A30EF2" w14:textId="46AD4C06">
            <w:pPr>
              <w:overflowPunct w:val="0"/>
              <w:autoSpaceDE w:val="0"/>
              <w:autoSpaceDN w:val="0"/>
              <w:adjustRightInd w:val="0"/>
              <w:spacing w:line="240" w:lineRule="auto"/>
              <w:textAlignment w:val="baseline"/>
              <w:rPr>
                <w:i/>
              </w:rPr>
            </w:pPr>
            <w:r>
              <w:rPr>
                <w:i/>
              </w:rPr>
              <w:t>+32 2 546 9099</w:t>
            </w:r>
          </w:p>
        </w:tc>
      </w:tr>
      <w:tr w:rsidRPr="00330A97" w:rsidR="00330A97" w:rsidTr="00D97149" w14:paraId="2D152479" w14:textId="77777777">
        <w:tc>
          <w:tcPr>
            <w:tcW w:w="1418" w:type="dxa"/>
          </w:tcPr>
          <w:p w:rsidRPr="00330A97" w:rsidR="00330A97" w:rsidP="00330A97" w:rsidRDefault="00D07ABE" w14:paraId="54D0A31A" w14:textId="3EE7A91F">
            <w:pPr>
              <w:overflowPunct w:val="0"/>
              <w:autoSpaceDE w:val="0"/>
              <w:autoSpaceDN w:val="0"/>
              <w:adjustRightInd w:val="0"/>
              <w:spacing w:line="240" w:lineRule="auto"/>
              <w:textAlignment w:val="baseline"/>
              <w:rPr>
                <w:i/>
              </w:rPr>
            </w:pPr>
            <w:r>
              <w:rPr>
                <w:i/>
              </w:rPr>
              <w:t>Endereço eletrónico</w:t>
            </w:r>
          </w:p>
        </w:tc>
        <w:tc>
          <w:tcPr>
            <w:tcW w:w="5670" w:type="dxa"/>
          </w:tcPr>
          <w:p w:rsidRPr="00330A97" w:rsidR="00330A97" w:rsidP="00330A97" w:rsidRDefault="007E421A" w14:paraId="630E0CFD" w14:textId="1E232D32">
            <w:pPr>
              <w:overflowPunct w:val="0"/>
              <w:autoSpaceDE w:val="0"/>
              <w:autoSpaceDN w:val="0"/>
              <w:adjustRightInd w:val="0"/>
              <w:spacing w:line="240" w:lineRule="auto"/>
              <w:textAlignment w:val="baseline"/>
              <w:rPr>
                <w:i/>
              </w:rPr>
            </w:pPr>
            <w:hyperlink w:history="1" r:id="rId35">
              <w:r w:rsidR="00E11732">
                <w:rPr>
                  <w:rStyle w:val="Hyperlink"/>
                  <w:i/>
                </w:rPr>
                <w:t>Margherita.Logrillo@eesc.europa.eu</w:t>
              </w:r>
            </w:hyperlink>
          </w:p>
        </w:tc>
      </w:tr>
    </w:tbl>
    <w:p w:rsidR="008D5168" w:rsidP="004E1AA1" w:rsidRDefault="008D5168" w14:paraId="61175CC7" w14:textId="6426F4C2">
      <w:pPr>
        <w:spacing w:after="160" w:line="259" w:lineRule="auto"/>
        <w:jc w:val="left"/>
        <w:rPr>
          <w:sz w:val="16"/>
          <w:szCs w:val="16"/>
        </w:rPr>
      </w:pPr>
    </w:p>
    <w:p w:rsidR="008D5168" w:rsidRDefault="008D5168" w14:paraId="4588908A" w14:textId="77777777">
      <w:pPr>
        <w:spacing w:after="160" w:line="259" w:lineRule="auto"/>
        <w:jc w:val="left"/>
        <w:rPr>
          <w:sz w:val="16"/>
          <w:szCs w:val="16"/>
        </w:rPr>
      </w:pPr>
      <w:r>
        <w:br w:type="page"/>
      </w:r>
    </w:p>
    <w:p w:rsidRPr="005463FF" w:rsidR="004E1AA1" w:rsidP="004E1AA1" w:rsidRDefault="004E1AA1" w14:paraId="3B1D0A75" w14:textId="77777777">
      <w:pPr>
        <w:spacing w:after="160" w:line="259" w:lineRule="auto"/>
        <w:jc w:val="left"/>
        <w:rPr>
          <w:sz w:val="16"/>
          <w:szCs w:val="16"/>
        </w:rPr>
      </w:pPr>
    </w:p>
    <w:p w:rsidRPr="005463FF" w:rsidR="005A67F3" w:rsidRDefault="004C3902" w14:paraId="3792A077" w14:textId="733900DF">
      <w:pPr>
        <w:pStyle w:val="Heading1"/>
        <w:numPr>
          <w:ilvl w:val="0"/>
          <w:numId w:val="3"/>
        </w:numPr>
        <w:ind w:hanging="578"/>
        <w:rPr>
          <w:b/>
        </w:rPr>
      </w:pPr>
      <w:bookmarkStart w:name="_Toc136006469" w:id="2"/>
      <w:r>
        <w:rPr>
          <w:b/>
        </w:rPr>
        <w:t>MERCADO ÚNICO, PRODUÇÃO E CONSUMO</w:t>
      </w:r>
      <w:bookmarkEnd w:id="2"/>
    </w:p>
    <w:p w:rsidRPr="005463FF" w:rsidR="004C3902" w:rsidP="00A2086E" w:rsidRDefault="004C3902" w14:paraId="51590E30" w14:textId="60821E81">
      <w:pPr>
        <w:spacing w:line="259" w:lineRule="auto"/>
        <w:jc w:val="left"/>
        <w:rPr>
          <w:b/>
          <w:iCs/>
        </w:rPr>
      </w:pPr>
    </w:p>
    <w:p w:rsidRPr="006E4430" w:rsidR="006E4430" w:rsidRDefault="006E4430" w14:paraId="33BC3B64" w14:textId="46899C06">
      <w:pPr>
        <w:widowControl w:val="0"/>
        <w:numPr>
          <w:ilvl w:val="0"/>
          <w:numId w:val="1"/>
        </w:numPr>
        <w:overflowPunct w:val="0"/>
        <w:autoSpaceDE w:val="0"/>
        <w:autoSpaceDN w:val="0"/>
        <w:adjustRightInd w:val="0"/>
        <w:ind w:hanging="567"/>
        <w:textAlignment w:val="baseline"/>
        <w:rPr>
          <w:sz w:val="20"/>
          <w:szCs w:val="20"/>
        </w:rPr>
      </w:pPr>
      <w:r>
        <w:rPr>
          <w:b/>
          <w:i/>
          <w:sz w:val="28"/>
        </w:rPr>
        <w:t>Máquinas móveis não rodoviárias</w:t>
      </w:r>
    </w:p>
    <w:p w:rsidRPr="006E4430" w:rsidR="006E4430" w:rsidP="006E4430" w:rsidRDefault="006E4430" w14:paraId="573F3D60" w14:textId="77777777">
      <w:pPr>
        <w:tabs>
          <w:tab w:val="center" w:pos="284"/>
        </w:tabs>
        <w:overflowPunct w:val="0"/>
        <w:autoSpaceDE w:val="0"/>
        <w:autoSpaceDN w:val="0"/>
        <w:adjustRightInd w:val="0"/>
        <w:ind w:left="266" w:hanging="266"/>
        <w:textAlignment w:val="baseline"/>
        <w:rPr>
          <w:b/>
        </w:rPr>
      </w:pPr>
    </w:p>
    <w:tbl>
      <w:tblPr>
        <w:tblStyle w:val="TableGrid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
        <w:gridCol w:w="4820"/>
      </w:tblGrid>
      <w:tr w:rsidRPr="006E4430" w:rsidR="006E4430" w:rsidTr="00D97149" w14:paraId="27E3985B" w14:textId="77777777">
        <w:tc>
          <w:tcPr>
            <w:tcW w:w="2268" w:type="dxa"/>
            <w:gridSpan w:val="2"/>
          </w:tcPr>
          <w:p w:rsidRPr="006E4430" w:rsidR="006E4430" w:rsidP="006E4430" w:rsidRDefault="006E4430" w14:paraId="302261BE" w14:textId="77777777">
            <w:pPr>
              <w:tabs>
                <w:tab w:val="center" w:pos="284"/>
              </w:tabs>
              <w:overflowPunct w:val="0"/>
              <w:autoSpaceDE w:val="0"/>
              <w:autoSpaceDN w:val="0"/>
              <w:adjustRightInd w:val="0"/>
              <w:ind w:left="266" w:hanging="266"/>
              <w:textAlignment w:val="baseline"/>
              <w:rPr>
                <w:b/>
              </w:rPr>
            </w:pPr>
            <w:r>
              <w:rPr>
                <w:b/>
              </w:rPr>
              <w:t>Parecer da Categoria C</w:t>
            </w:r>
          </w:p>
        </w:tc>
        <w:tc>
          <w:tcPr>
            <w:tcW w:w="4820" w:type="dxa"/>
          </w:tcPr>
          <w:p w:rsidRPr="006E4430" w:rsidR="006E4430" w:rsidP="006E4430" w:rsidRDefault="006E4430" w14:paraId="320C9602" w14:textId="77777777">
            <w:pPr>
              <w:tabs>
                <w:tab w:val="center" w:pos="284"/>
              </w:tabs>
              <w:overflowPunct w:val="0"/>
              <w:autoSpaceDE w:val="0"/>
              <w:autoSpaceDN w:val="0"/>
              <w:adjustRightInd w:val="0"/>
              <w:ind w:left="266" w:hanging="266"/>
              <w:textAlignment w:val="baseline"/>
            </w:pPr>
          </w:p>
        </w:tc>
      </w:tr>
      <w:tr w:rsidRPr="006E4430" w:rsidR="006E4430" w:rsidTr="00D97149" w14:paraId="1E69638C" w14:textId="77777777">
        <w:tc>
          <w:tcPr>
            <w:tcW w:w="7088" w:type="dxa"/>
            <w:gridSpan w:val="3"/>
          </w:tcPr>
          <w:p w:rsidRPr="006E4430" w:rsidR="006E4430" w:rsidP="006E4430" w:rsidRDefault="006E4430" w14:paraId="6158956D" w14:textId="77777777">
            <w:pPr>
              <w:tabs>
                <w:tab w:val="center" w:pos="284"/>
              </w:tabs>
              <w:overflowPunct w:val="0"/>
              <w:autoSpaceDE w:val="0"/>
              <w:autoSpaceDN w:val="0"/>
              <w:adjustRightInd w:val="0"/>
              <w:spacing w:line="160" w:lineRule="exact"/>
              <w:ind w:left="266" w:hanging="266"/>
              <w:textAlignment w:val="baseline"/>
            </w:pPr>
          </w:p>
        </w:tc>
      </w:tr>
      <w:tr w:rsidRPr="006E4430" w:rsidR="006E4430" w:rsidTr="00D97149" w14:paraId="0A67317F" w14:textId="77777777">
        <w:tc>
          <w:tcPr>
            <w:tcW w:w="1701" w:type="dxa"/>
            <w:vMerge w:val="restart"/>
          </w:tcPr>
          <w:p w:rsidRPr="006E4430" w:rsidR="006E4430" w:rsidP="006E4430" w:rsidRDefault="006E4430" w14:paraId="4C1CA961" w14:textId="77777777">
            <w:pPr>
              <w:tabs>
                <w:tab w:val="center" w:pos="284"/>
              </w:tabs>
              <w:overflowPunct w:val="0"/>
              <w:autoSpaceDE w:val="0"/>
              <w:autoSpaceDN w:val="0"/>
              <w:adjustRightInd w:val="0"/>
              <w:ind w:left="266" w:hanging="266"/>
              <w:textAlignment w:val="baseline"/>
              <w:rPr>
                <w:b/>
              </w:rPr>
            </w:pPr>
            <w:r>
              <w:rPr>
                <w:b/>
              </w:rPr>
              <w:t>Referências</w:t>
            </w:r>
          </w:p>
        </w:tc>
        <w:tc>
          <w:tcPr>
            <w:tcW w:w="5387" w:type="dxa"/>
            <w:gridSpan w:val="2"/>
          </w:tcPr>
          <w:p w:rsidRPr="006E4430" w:rsidR="006E4430" w:rsidP="006E4430" w:rsidRDefault="006E4430" w14:paraId="029ADEEF" w14:textId="5912AE62">
            <w:pPr>
              <w:tabs>
                <w:tab w:val="center" w:pos="284"/>
              </w:tabs>
              <w:overflowPunct w:val="0"/>
              <w:autoSpaceDE w:val="0"/>
              <w:autoSpaceDN w:val="0"/>
              <w:adjustRightInd w:val="0"/>
              <w:ind w:left="266" w:hanging="266"/>
              <w:textAlignment w:val="baseline"/>
            </w:pPr>
            <w:r>
              <w:t xml:space="preserve">COM(2023) 178 final </w:t>
            </w:r>
          </w:p>
        </w:tc>
      </w:tr>
      <w:tr w:rsidRPr="006E4430" w:rsidR="006E4430" w:rsidTr="00D97149" w14:paraId="5CC466E4" w14:textId="77777777">
        <w:tc>
          <w:tcPr>
            <w:tcW w:w="1701" w:type="dxa"/>
            <w:vMerge/>
          </w:tcPr>
          <w:p w:rsidRPr="006E4430" w:rsidR="006E4430" w:rsidP="006E4430" w:rsidRDefault="006E4430" w14:paraId="33E2913C" w14:textId="77777777">
            <w:pPr>
              <w:tabs>
                <w:tab w:val="center" w:pos="284"/>
              </w:tabs>
              <w:overflowPunct w:val="0"/>
              <w:autoSpaceDE w:val="0"/>
              <w:autoSpaceDN w:val="0"/>
              <w:adjustRightInd w:val="0"/>
              <w:ind w:left="266" w:hanging="266"/>
              <w:textAlignment w:val="baseline"/>
              <w:rPr>
                <w:b/>
              </w:rPr>
            </w:pPr>
          </w:p>
        </w:tc>
        <w:tc>
          <w:tcPr>
            <w:tcW w:w="5387" w:type="dxa"/>
            <w:gridSpan w:val="2"/>
          </w:tcPr>
          <w:p w:rsidRPr="006E4430" w:rsidR="006E4430" w:rsidP="006E4430" w:rsidRDefault="006E4430" w14:paraId="15EA68D5" w14:textId="3CB8CE21">
            <w:pPr>
              <w:tabs>
                <w:tab w:val="center" w:pos="284"/>
              </w:tabs>
              <w:overflowPunct w:val="0"/>
              <w:autoSpaceDE w:val="0"/>
              <w:autoSpaceDN w:val="0"/>
              <w:adjustRightInd w:val="0"/>
              <w:ind w:left="266" w:hanging="266"/>
              <w:textAlignment w:val="baseline"/>
            </w:pPr>
            <w:r>
              <w:t>INT/1031 – EESC-2023-02346-00-00-AC</w:t>
            </w:r>
          </w:p>
        </w:tc>
      </w:tr>
    </w:tbl>
    <w:p w:rsidRPr="006E4430" w:rsidR="006E4430" w:rsidP="006E4430" w:rsidRDefault="006E4430" w14:paraId="75AC212A" w14:textId="77777777">
      <w:pPr>
        <w:tabs>
          <w:tab w:val="center" w:pos="284"/>
        </w:tabs>
        <w:overflowPunct w:val="0"/>
        <w:autoSpaceDE w:val="0"/>
        <w:autoSpaceDN w:val="0"/>
        <w:adjustRightInd w:val="0"/>
        <w:ind w:left="266" w:hanging="266"/>
        <w:textAlignment w:val="baseline"/>
      </w:pPr>
    </w:p>
    <w:p w:rsidRPr="006E4430" w:rsidR="006E4430" w:rsidP="006E4430" w:rsidRDefault="006E4430" w14:paraId="678132CE"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6E4430" w:rsidR="006E4430" w:rsidP="006E4430" w:rsidRDefault="006E4430" w14:paraId="6286EE10" w14:textId="77777777">
      <w:pPr>
        <w:keepNext/>
        <w:keepLines/>
        <w:tabs>
          <w:tab w:val="center" w:pos="284"/>
        </w:tabs>
        <w:overflowPunct w:val="0"/>
        <w:autoSpaceDE w:val="0"/>
        <w:autoSpaceDN w:val="0"/>
        <w:adjustRightInd w:val="0"/>
        <w:ind w:left="266" w:hanging="266"/>
        <w:textAlignment w:val="baseline"/>
        <w:rPr>
          <w:b/>
        </w:rPr>
      </w:pPr>
    </w:p>
    <w:p w:rsidRPr="006E4430" w:rsidR="006E4430" w:rsidP="006E4430" w:rsidRDefault="006E4430" w14:paraId="6D67C4DC" w14:textId="77777777">
      <w:pPr>
        <w:overflowPunct w:val="0"/>
        <w:autoSpaceDE w:val="0"/>
        <w:autoSpaceDN w:val="0"/>
        <w:adjustRightInd w:val="0"/>
        <w:textAlignment w:val="baseline"/>
        <w:rPr>
          <w:bCs/>
          <w:iCs/>
        </w:rPr>
      </w:pPr>
      <w:r>
        <w:t>O CESE decidiu emitir parecer favorável ao texto proposto.</w:t>
      </w:r>
    </w:p>
    <w:p w:rsidRPr="006E4430" w:rsidR="006E4430" w:rsidP="006E4430" w:rsidRDefault="006E4430" w14:paraId="40F81F16" w14:textId="77777777">
      <w:pPr>
        <w:overflowPunct w:val="0"/>
        <w:autoSpaceDE w:val="0"/>
        <w:autoSpaceDN w:val="0"/>
        <w:adjustRightInd w:val="0"/>
        <w:textAlignment w:val="baseline"/>
        <w:rPr>
          <w:bCs/>
          <w:iCs/>
        </w:rPr>
      </w:pPr>
    </w:p>
    <w:tbl>
      <w:tblPr>
        <w:tblStyle w:val="TableGrid4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E4430" w:rsidR="006E4430" w:rsidTr="00D97149" w14:paraId="0C46FED7" w14:textId="77777777">
        <w:tc>
          <w:tcPr>
            <w:tcW w:w="1418" w:type="dxa"/>
          </w:tcPr>
          <w:p w:rsidRPr="006E4430" w:rsidR="006E4430" w:rsidP="00A2086E" w:rsidRDefault="006E4430" w14:paraId="09CD6FE1" w14:textId="18C88A61">
            <w:pPr>
              <w:overflowPunct w:val="0"/>
              <w:autoSpaceDE w:val="0"/>
              <w:autoSpaceDN w:val="0"/>
              <w:adjustRightInd w:val="0"/>
              <w:spacing w:line="240" w:lineRule="auto"/>
              <w:ind w:hanging="110"/>
              <w:textAlignment w:val="baseline"/>
              <w:rPr>
                <w:i/>
              </w:rPr>
            </w:pPr>
            <w:r>
              <w:rPr>
                <w:b/>
                <w:i/>
              </w:rPr>
              <w:t>Contacto</w:t>
            </w:r>
          </w:p>
        </w:tc>
        <w:tc>
          <w:tcPr>
            <w:tcW w:w="5670" w:type="dxa"/>
          </w:tcPr>
          <w:p w:rsidRPr="006E4430" w:rsidR="006E4430" w:rsidP="00A2086E" w:rsidRDefault="006E4430" w14:paraId="2949B8E5" w14:textId="77777777">
            <w:pPr>
              <w:overflowPunct w:val="0"/>
              <w:autoSpaceDE w:val="0"/>
              <w:autoSpaceDN w:val="0"/>
              <w:adjustRightInd w:val="0"/>
              <w:spacing w:line="240" w:lineRule="auto"/>
              <w:ind w:hanging="110"/>
              <w:textAlignment w:val="baseline"/>
              <w:rPr>
                <w:i/>
              </w:rPr>
            </w:pPr>
            <w:r>
              <w:rPr>
                <w:i/>
              </w:rPr>
              <w:t>Alice Tétu</w:t>
            </w:r>
          </w:p>
        </w:tc>
      </w:tr>
      <w:tr w:rsidRPr="006E4430" w:rsidR="006E4430" w:rsidTr="00D97149" w14:paraId="34D4FF67" w14:textId="77777777">
        <w:tc>
          <w:tcPr>
            <w:tcW w:w="1418" w:type="dxa"/>
          </w:tcPr>
          <w:p w:rsidRPr="006E4430" w:rsidR="006E4430" w:rsidP="00A2086E" w:rsidRDefault="006E4430" w14:paraId="1AAB22D3" w14:textId="399B026A">
            <w:pPr>
              <w:overflowPunct w:val="0"/>
              <w:autoSpaceDE w:val="0"/>
              <w:autoSpaceDN w:val="0"/>
              <w:adjustRightInd w:val="0"/>
              <w:spacing w:line="240" w:lineRule="auto"/>
              <w:ind w:hanging="110"/>
              <w:textAlignment w:val="baseline"/>
              <w:rPr>
                <w:i/>
              </w:rPr>
            </w:pPr>
            <w:r>
              <w:rPr>
                <w:i/>
              </w:rPr>
              <w:t>Tel.</w:t>
            </w:r>
          </w:p>
        </w:tc>
        <w:tc>
          <w:tcPr>
            <w:tcW w:w="5670" w:type="dxa"/>
          </w:tcPr>
          <w:p w:rsidRPr="006E4430" w:rsidR="006E4430" w:rsidP="00A2086E" w:rsidRDefault="007D2E29" w14:paraId="3263AC47" w14:textId="77E9A88C">
            <w:pPr>
              <w:overflowPunct w:val="0"/>
              <w:autoSpaceDE w:val="0"/>
              <w:autoSpaceDN w:val="0"/>
              <w:adjustRightInd w:val="0"/>
              <w:spacing w:line="240" w:lineRule="auto"/>
              <w:ind w:hanging="110"/>
              <w:textAlignment w:val="baseline"/>
              <w:rPr>
                <w:i/>
              </w:rPr>
            </w:pPr>
            <w:r>
              <w:rPr>
                <w:i/>
              </w:rPr>
              <w:t>+32 2 546 8286</w:t>
            </w:r>
          </w:p>
        </w:tc>
      </w:tr>
      <w:tr w:rsidRPr="006E4430" w:rsidR="006E4430" w:rsidTr="00D97149" w14:paraId="17D6CB61" w14:textId="77777777">
        <w:tc>
          <w:tcPr>
            <w:tcW w:w="1418" w:type="dxa"/>
          </w:tcPr>
          <w:p w:rsidRPr="006E4430" w:rsidR="006E4430" w:rsidP="00A2086E" w:rsidRDefault="001A1CC5" w14:paraId="6A56E390" w14:textId="59F3F546">
            <w:pPr>
              <w:overflowPunct w:val="0"/>
              <w:autoSpaceDE w:val="0"/>
              <w:autoSpaceDN w:val="0"/>
              <w:adjustRightInd w:val="0"/>
              <w:spacing w:line="240" w:lineRule="auto"/>
              <w:ind w:hanging="110"/>
              <w:textAlignment w:val="baseline"/>
              <w:rPr>
                <w:i/>
              </w:rPr>
            </w:pPr>
            <w:r>
              <w:rPr>
                <w:i/>
              </w:rPr>
              <w:t>Endereço eletrónico</w:t>
            </w:r>
          </w:p>
        </w:tc>
        <w:tc>
          <w:tcPr>
            <w:tcW w:w="5670" w:type="dxa"/>
          </w:tcPr>
          <w:p w:rsidRPr="006E4430" w:rsidR="006E4430" w:rsidP="00A2086E" w:rsidRDefault="007E421A" w14:paraId="226500A7" w14:textId="0FF28FA6">
            <w:pPr>
              <w:overflowPunct w:val="0"/>
              <w:autoSpaceDE w:val="0"/>
              <w:autoSpaceDN w:val="0"/>
              <w:adjustRightInd w:val="0"/>
              <w:spacing w:line="240" w:lineRule="auto"/>
              <w:ind w:hanging="110"/>
              <w:textAlignment w:val="baseline"/>
              <w:rPr>
                <w:i/>
              </w:rPr>
            </w:pPr>
            <w:hyperlink w:history="1" r:id="rId36">
              <w:r w:rsidR="00E11732">
                <w:rPr>
                  <w:rStyle w:val="Hyperlink"/>
                  <w:i/>
                </w:rPr>
                <w:t>Alice.Tetu@eesc.europa.eu</w:t>
              </w:r>
            </w:hyperlink>
          </w:p>
        </w:tc>
      </w:tr>
    </w:tbl>
    <w:p w:rsidRPr="005463FF" w:rsidR="00C14111" w:rsidP="00C14111" w:rsidRDefault="00C14111" w14:paraId="271E15D2" w14:textId="77777777">
      <w:pPr>
        <w:spacing w:after="160" w:line="259" w:lineRule="auto"/>
        <w:jc w:val="left"/>
        <w:rPr>
          <w:sz w:val="16"/>
          <w:szCs w:val="16"/>
        </w:rPr>
      </w:pPr>
    </w:p>
    <w:p w:rsidRPr="005463FF" w:rsidR="00C14111" w:rsidP="00C14111" w:rsidRDefault="00C14111" w14:paraId="4837DA67" w14:textId="77777777">
      <w:pPr>
        <w:spacing w:after="160" w:line="259" w:lineRule="auto"/>
        <w:jc w:val="left"/>
        <w:rPr>
          <w:sz w:val="16"/>
          <w:szCs w:val="16"/>
        </w:rPr>
      </w:pPr>
      <w:r>
        <w:br w:type="page"/>
      </w:r>
    </w:p>
    <w:p w:rsidRPr="00921C81" w:rsidR="00921C81" w:rsidP="00921C81" w:rsidRDefault="00921C81" w14:paraId="1D3F2AE2" w14:textId="677D82E2">
      <w:pPr>
        <w:widowControl w:val="0"/>
        <w:numPr>
          <w:ilvl w:val="0"/>
          <w:numId w:val="1"/>
        </w:numPr>
        <w:overflowPunct w:val="0"/>
        <w:autoSpaceDE w:val="0"/>
        <w:autoSpaceDN w:val="0"/>
        <w:adjustRightInd w:val="0"/>
        <w:ind w:hanging="567"/>
        <w:textAlignment w:val="baseline"/>
        <w:rPr>
          <w:sz w:val="20"/>
          <w:szCs w:val="20"/>
        </w:rPr>
      </w:pPr>
      <w:r>
        <w:rPr>
          <w:b/>
          <w:i/>
          <w:sz w:val="28"/>
        </w:rPr>
        <w:lastRenderedPageBreak/>
        <w:t>Apoio à produção de munições</w:t>
      </w:r>
    </w:p>
    <w:p w:rsidRPr="00921C81" w:rsidR="00921C81" w:rsidP="00921C81" w:rsidRDefault="00921C81" w14:paraId="1B5CF3E0" w14:textId="77777777">
      <w:pPr>
        <w:tabs>
          <w:tab w:val="center" w:pos="284"/>
        </w:tabs>
        <w:overflowPunct w:val="0"/>
        <w:autoSpaceDE w:val="0"/>
        <w:autoSpaceDN w:val="0"/>
        <w:adjustRightInd w:val="0"/>
        <w:ind w:left="266" w:hanging="266"/>
        <w:textAlignment w:val="baseline"/>
        <w:rPr>
          <w:b/>
        </w:rPr>
      </w:pPr>
    </w:p>
    <w:tbl>
      <w:tblPr>
        <w:tblStyle w:val="TableGrid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67"/>
        <w:gridCol w:w="4820"/>
      </w:tblGrid>
      <w:tr w:rsidRPr="00921C81" w:rsidR="00921C81" w:rsidTr="00D97149" w14:paraId="44C004E2" w14:textId="77777777">
        <w:tc>
          <w:tcPr>
            <w:tcW w:w="2268" w:type="dxa"/>
            <w:gridSpan w:val="2"/>
          </w:tcPr>
          <w:p w:rsidRPr="00921C81" w:rsidR="00921C81" w:rsidP="00921C81" w:rsidRDefault="00921C81" w14:paraId="58048EB2" w14:textId="77777777">
            <w:pPr>
              <w:tabs>
                <w:tab w:val="center" w:pos="284"/>
              </w:tabs>
              <w:overflowPunct w:val="0"/>
              <w:autoSpaceDE w:val="0"/>
              <w:autoSpaceDN w:val="0"/>
              <w:adjustRightInd w:val="0"/>
              <w:ind w:left="266" w:hanging="266"/>
              <w:textAlignment w:val="baseline"/>
              <w:rPr>
                <w:b/>
              </w:rPr>
            </w:pPr>
            <w:r>
              <w:rPr>
                <w:b/>
              </w:rPr>
              <w:t>Parecer da Categoria C</w:t>
            </w:r>
          </w:p>
        </w:tc>
        <w:tc>
          <w:tcPr>
            <w:tcW w:w="4820" w:type="dxa"/>
          </w:tcPr>
          <w:p w:rsidRPr="00921C81" w:rsidR="00921C81" w:rsidP="00921C81" w:rsidRDefault="00921C81" w14:paraId="41E336F4" w14:textId="77777777">
            <w:pPr>
              <w:tabs>
                <w:tab w:val="center" w:pos="284"/>
              </w:tabs>
              <w:overflowPunct w:val="0"/>
              <w:autoSpaceDE w:val="0"/>
              <w:autoSpaceDN w:val="0"/>
              <w:adjustRightInd w:val="0"/>
              <w:ind w:left="266" w:hanging="266"/>
              <w:textAlignment w:val="baseline"/>
            </w:pPr>
          </w:p>
        </w:tc>
      </w:tr>
      <w:tr w:rsidRPr="00921C81" w:rsidR="00921C81" w:rsidTr="00D97149" w14:paraId="246F29B3" w14:textId="77777777">
        <w:tc>
          <w:tcPr>
            <w:tcW w:w="7088" w:type="dxa"/>
            <w:gridSpan w:val="3"/>
          </w:tcPr>
          <w:p w:rsidRPr="00921C81" w:rsidR="00921C81" w:rsidP="00921C81" w:rsidRDefault="00921C81" w14:paraId="15882E91" w14:textId="77777777">
            <w:pPr>
              <w:tabs>
                <w:tab w:val="center" w:pos="284"/>
              </w:tabs>
              <w:overflowPunct w:val="0"/>
              <w:autoSpaceDE w:val="0"/>
              <w:autoSpaceDN w:val="0"/>
              <w:adjustRightInd w:val="0"/>
              <w:spacing w:line="160" w:lineRule="exact"/>
              <w:ind w:left="266" w:hanging="266"/>
              <w:textAlignment w:val="baseline"/>
            </w:pPr>
          </w:p>
        </w:tc>
      </w:tr>
      <w:tr w:rsidRPr="00921C81" w:rsidR="00921C81" w:rsidTr="00D97149" w14:paraId="74CB975D" w14:textId="77777777">
        <w:tc>
          <w:tcPr>
            <w:tcW w:w="1701" w:type="dxa"/>
            <w:vMerge w:val="restart"/>
          </w:tcPr>
          <w:p w:rsidRPr="00921C81" w:rsidR="00921C81" w:rsidP="00921C81" w:rsidRDefault="00921C81" w14:paraId="579F7445" w14:textId="77777777">
            <w:pPr>
              <w:tabs>
                <w:tab w:val="center" w:pos="284"/>
              </w:tabs>
              <w:overflowPunct w:val="0"/>
              <w:autoSpaceDE w:val="0"/>
              <w:autoSpaceDN w:val="0"/>
              <w:adjustRightInd w:val="0"/>
              <w:ind w:left="266" w:hanging="266"/>
              <w:textAlignment w:val="baseline"/>
              <w:rPr>
                <w:b/>
              </w:rPr>
            </w:pPr>
            <w:r>
              <w:rPr>
                <w:b/>
              </w:rPr>
              <w:t>Referências</w:t>
            </w:r>
          </w:p>
        </w:tc>
        <w:tc>
          <w:tcPr>
            <w:tcW w:w="5387" w:type="dxa"/>
            <w:gridSpan w:val="2"/>
          </w:tcPr>
          <w:p w:rsidRPr="00921C81" w:rsidR="00921C81" w:rsidP="00921C81" w:rsidRDefault="00921C81" w14:paraId="1B3C5668" w14:textId="5512FF0D">
            <w:pPr>
              <w:tabs>
                <w:tab w:val="center" w:pos="284"/>
              </w:tabs>
              <w:overflowPunct w:val="0"/>
              <w:autoSpaceDE w:val="0"/>
              <w:autoSpaceDN w:val="0"/>
              <w:adjustRightInd w:val="0"/>
              <w:ind w:left="266" w:hanging="266"/>
              <w:textAlignment w:val="baseline"/>
            </w:pPr>
            <w:r>
              <w:t xml:space="preserve">COM(2023) 237 final </w:t>
            </w:r>
          </w:p>
        </w:tc>
      </w:tr>
      <w:tr w:rsidRPr="00921C81" w:rsidR="00921C81" w:rsidTr="00D97149" w14:paraId="7852AB5A" w14:textId="77777777">
        <w:tc>
          <w:tcPr>
            <w:tcW w:w="1701" w:type="dxa"/>
            <w:vMerge/>
          </w:tcPr>
          <w:p w:rsidRPr="00921C81" w:rsidR="00921C81" w:rsidP="00921C81" w:rsidRDefault="00921C81" w14:paraId="417AC4D8" w14:textId="77777777">
            <w:pPr>
              <w:tabs>
                <w:tab w:val="center" w:pos="284"/>
              </w:tabs>
              <w:overflowPunct w:val="0"/>
              <w:autoSpaceDE w:val="0"/>
              <w:autoSpaceDN w:val="0"/>
              <w:adjustRightInd w:val="0"/>
              <w:ind w:left="266" w:hanging="266"/>
              <w:textAlignment w:val="baseline"/>
              <w:rPr>
                <w:b/>
              </w:rPr>
            </w:pPr>
          </w:p>
        </w:tc>
        <w:tc>
          <w:tcPr>
            <w:tcW w:w="5387" w:type="dxa"/>
            <w:gridSpan w:val="2"/>
          </w:tcPr>
          <w:p w:rsidRPr="00921C81" w:rsidR="00921C81" w:rsidP="00921C81" w:rsidRDefault="00921C81" w14:paraId="1DDE6844" w14:textId="3844D2F7">
            <w:pPr>
              <w:tabs>
                <w:tab w:val="center" w:pos="284"/>
              </w:tabs>
              <w:overflowPunct w:val="0"/>
              <w:autoSpaceDE w:val="0"/>
              <w:autoSpaceDN w:val="0"/>
              <w:adjustRightInd w:val="0"/>
              <w:ind w:left="266" w:hanging="266"/>
              <w:textAlignment w:val="baseline"/>
            </w:pPr>
            <w:r>
              <w:t>EESC-2023-2425-00-00-AC</w:t>
            </w:r>
          </w:p>
        </w:tc>
      </w:tr>
    </w:tbl>
    <w:p w:rsidRPr="00921C81" w:rsidR="00921C81" w:rsidP="00921C81" w:rsidRDefault="00921C81" w14:paraId="168493CF" w14:textId="77777777">
      <w:pPr>
        <w:tabs>
          <w:tab w:val="center" w:pos="284"/>
        </w:tabs>
        <w:overflowPunct w:val="0"/>
        <w:autoSpaceDE w:val="0"/>
        <w:autoSpaceDN w:val="0"/>
        <w:adjustRightInd w:val="0"/>
        <w:ind w:left="266" w:hanging="266"/>
        <w:textAlignment w:val="baseline"/>
      </w:pPr>
    </w:p>
    <w:p w:rsidRPr="00921C81" w:rsidR="00921C81" w:rsidP="00921C81" w:rsidRDefault="00921C81" w14:paraId="77272644"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921C81" w:rsidR="00921C81" w:rsidP="00921C81" w:rsidRDefault="00921C81" w14:paraId="33F3F624" w14:textId="77777777">
      <w:pPr>
        <w:keepNext/>
        <w:keepLines/>
        <w:tabs>
          <w:tab w:val="center" w:pos="284"/>
        </w:tabs>
        <w:overflowPunct w:val="0"/>
        <w:autoSpaceDE w:val="0"/>
        <w:autoSpaceDN w:val="0"/>
        <w:adjustRightInd w:val="0"/>
        <w:ind w:left="266" w:hanging="266"/>
        <w:textAlignment w:val="baseline"/>
        <w:rPr>
          <w:b/>
        </w:rPr>
      </w:pPr>
    </w:p>
    <w:p w:rsidRPr="00921C81" w:rsidR="00921C81" w:rsidP="00921C81" w:rsidRDefault="00921C81" w14:paraId="31368B3C" w14:textId="77777777">
      <w:pPr>
        <w:overflowPunct w:val="0"/>
        <w:autoSpaceDE w:val="0"/>
        <w:autoSpaceDN w:val="0"/>
        <w:adjustRightInd w:val="0"/>
        <w:textAlignment w:val="baseline"/>
        <w:rPr>
          <w:bCs/>
          <w:iCs/>
        </w:rPr>
      </w:pPr>
      <w:r>
        <w:t>O CESE decidiu emitir parecer favorável ao texto proposto.</w:t>
      </w:r>
    </w:p>
    <w:p w:rsidRPr="00921C81" w:rsidR="00921C81" w:rsidP="00921C81" w:rsidRDefault="00921C81" w14:paraId="4CFAA230" w14:textId="77777777">
      <w:pPr>
        <w:overflowPunct w:val="0"/>
        <w:autoSpaceDE w:val="0"/>
        <w:autoSpaceDN w:val="0"/>
        <w:adjustRightInd w:val="0"/>
        <w:textAlignment w:val="baseline"/>
        <w:rPr>
          <w:bCs/>
          <w:iCs/>
        </w:rPr>
      </w:pPr>
    </w:p>
    <w:tbl>
      <w:tblPr>
        <w:tblStyle w:val="TableGrid4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21C81" w:rsidR="00921C81" w:rsidTr="00D97149" w14:paraId="1C9C20A5" w14:textId="77777777">
        <w:tc>
          <w:tcPr>
            <w:tcW w:w="1418" w:type="dxa"/>
          </w:tcPr>
          <w:p w:rsidRPr="00921C81" w:rsidR="00921C81" w:rsidP="00A2086E" w:rsidRDefault="00921C81" w14:paraId="462CF456" w14:textId="3F7E45B7">
            <w:pPr>
              <w:overflowPunct w:val="0"/>
              <w:autoSpaceDE w:val="0"/>
              <w:autoSpaceDN w:val="0"/>
              <w:adjustRightInd w:val="0"/>
              <w:spacing w:line="240" w:lineRule="auto"/>
              <w:ind w:hanging="110"/>
              <w:textAlignment w:val="baseline"/>
              <w:rPr>
                <w:i/>
              </w:rPr>
            </w:pPr>
            <w:r>
              <w:rPr>
                <w:b/>
                <w:i/>
              </w:rPr>
              <w:t>Contacto</w:t>
            </w:r>
          </w:p>
        </w:tc>
        <w:tc>
          <w:tcPr>
            <w:tcW w:w="5670" w:type="dxa"/>
          </w:tcPr>
          <w:p w:rsidRPr="00921C81" w:rsidR="00921C81" w:rsidP="00A2086E" w:rsidRDefault="00921C81" w14:paraId="45A66C78" w14:textId="77777777">
            <w:pPr>
              <w:overflowPunct w:val="0"/>
              <w:autoSpaceDE w:val="0"/>
              <w:autoSpaceDN w:val="0"/>
              <w:adjustRightInd w:val="0"/>
              <w:spacing w:line="240" w:lineRule="auto"/>
              <w:ind w:hanging="110"/>
              <w:textAlignment w:val="baseline"/>
              <w:rPr>
                <w:i/>
              </w:rPr>
            </w:pPr>
            <w:r>
              <w:rPr>
                <w:i/>
              </w:rPr>
              <w:t>Alice Tétu</w:t>
            </w:r>
          </w:p>
        </w:tc>
      </w:tr>
      <w:tr w:rsidRPr="00921C81" w:rsidR="00921C81" w:rsidTr="00D97149" w14:paraId="02D8E3EF" w14:textId="77777777">
        <w:tc>
          <w:tcPr>
            <w:tcW w:w="1418" w:type="dxa"/>
          </w:tcPr>
          <w:p w:rsidRPr="00921C81" w:rsidR="00921C81" w:rsidP="00A2086E" w:rsidRDefault="00921C81" w14:paraId="2C9D26BF" w14:textId="4E286D20">
            <w:pPr>
              <w:overflowPunct w:val="0"/>
              <w:autoSpaceDE w:val="0"/>
              <w:autoSpaceDN w:val="0"/>
              <w:adjustRightInd w:val="0"/>
              <w:spacing w:line="240" w:lineRule="auto"/>
              <w:ind w:hanging="110"/>
              <w:textAlignment w:val="baseline"/>
              <w:rPr>
                <w:i/>
              </w:rPr>
            </w:pPr>
            <w:r>
              <w:rPr>
                <w:i/>
              </w:rPr>
              <w:t>Tel.</w:t>
            </w:r>
          </w:p>
        </w:tc>
        <w:tc>
          <w:tcPr>
            <w:tcW w:w="5670" w:type="dxa"/>
          </w:tcPr>
          <w:p w:rsidRPr="00921C81" w:rsidR="00921C81" w:rsidP="00A2086E" w:rsidRDefault="007D2E29" w14:paraId="23E427D5" w14:textId="0AB70508">
            <w:pPr>
              <w:overflowPunct w:val="0"/>
              <w:autoSpaceDE w:val="0"/>
              <w:autoSpaceDN w:val="0"/>
              <w:adjustRightInd w:val="0"/>
              <w:spacing w:line="240" w:lineRule="auto"/>
              <w:ind w:hanging="110"/>
              <w:textAlignment w:val="baseline"/>
              <w:rPr>
                <w:i/>
              </w:rPr>
            </w:pPr>
            <w:r>
              <w:rPr>
                <w:i/>
              </w:rPr>
              <w:t>+32 2 546 8286</w:t>
            </w:r>
          </w:p>
        </w:tc>
      </w:tr>
      <w:tr w:rsidRPr="00921C81" w:rsidR="00921C81" w:rsidTr="00D97149" w14:paraId="615A6271" w14:textId="77777777">
        <w:tc>
          <w:tcPr>
            <w:tcW w:w="1418" w:type="dxa"/>
          </w:tcPr>
          <w:p w:rsidRPr="00921C81" w:rsidR="00921C81" w:rsidP="00A2086E" w:rsidRDefault="001A1CC5" w14:paraId="55ACFB39" w14:textId="0E68DF90">
            <w:pPr>
              <w:overflowPunct w:val="0"/>
              <w:autoSpaceDE w:val="0"/>
              <w:autoSpaceDN w:val="0"/>
              <w:adjustRightInd w:val="0"/>
              <w:spacing w:line="240" w:lineRule="auto"/>
              <w:ind w:hanging="110"/>
              <w:textAlignment w:val="baseline"/>
              <w:rPr>
                <w:i/>
              </w:rPr>
            </w:pPr>
            <w:r>
              <w:rPr>
                <w:i/>
              </w:rPr>
              <w:t>Endereço eletrónico</w:t>
            </w:r>
          </w:p>
        </w:tc>
        <w:tc>
          <w:tcPr>
            <w:tcW w:w="5670" w:type="dxa"/>
          </w:tcPr>
          <w:p w:rsidRPr="00921C81" w:rsidR="00921C81" w:rsidP="00A2086E" w:rsidRDefault="007E421A" w14:paraId="682EAAC6" w14:textId="40A4D3D0">
            <w:pPr>
              <w:overflowPunct w:val="0"/>
              <w:autoSpaceDE w:val="0"/>
              <w:autoSpaceDN w:val="0"/>
              <w:adjustRightInd w:val="0"/>
              <w:spacing w:line="240" w:lineRule="auto"/>
              <w:ind w:hanging="110"/>
              <w:textAlignment w:val="baseline"/>
              <w:rPr>
                <w:i/>
              </w:rPr>
            </w:pPr>
            <w:hyperlink w:history="1" r:id="rId37">
              <w:r w:rsidR="00E11732">
                <w:rPr>
                  <w:rStyle w:val="Hyperlink"/>
                  <w:i/>
                </w:rPr>
                <w:t>Alice.Tetu@eesc.europa.eu</w:t>
              </w:r>
            </w:hyperlink>
          </w:p>
        </w:tc>
      </w:tr>
    </w:tbl>
    <w:p w:rsidRPr="005463FF" w:rsidR="00C14111" w:rsidP="00C14111" w:rsidRDefault="00C14111" w14:paraId="3D69C1FE" w14:textId="77777777">
      <w:pPr>
        <w:spacing w:after="160" w:line="259" w:lineRule="auto"/>
        <w:jc w:val="left"/>
      </w:pPr>
    </w:p>
    <w:p w:rsidRPr="005463FF" w:rsidR="00C14111" w:rsidP="00C14111" w:rsidRDefault="00C14111" w14:paraId="1D43F8A7" w14:textId="77777777">
      <w:pPr>
        <w:spacing w:after="160" w:line="259" w:lineRule="auto"/>
        <w:jc w:val="left"/>
        <w:rPr>
          <w:sz w:val="16"/>
          <w:szCs w:val="16"/>
        </w:rPr>
      </w:pPr>
      <w:r>
        <w:br w:type="page"/>
      </w:r>
    </w:p>
    <w:p w:rsidRPr="009D6A81" w:rsidR="009D6A81" w:rsidP="009D6A81" w:rsidRDefault="007E421A" w14:paraId="77EA233E" w14:textId="0E5E9AB9">
      <w:pPr>
        <w:widowControl w:val="0"/>
        <w:numPr>
          <w:ilvl w:val="0"/>
          <w:numId w:val="1"/>
        </w:numPr>
        <w:overflowPunct w:val="0"/>
        <w:autoSpaceDE w:val="0"/>
        <w:autoSpaceDN w:val="0"/>
        <w:adjustRightInd w:val="0"/>
        <w:ind w:hanging="567"/>
        <w:textAlignment w:val="baseline"/>
        <w:rPr>
          <w:sz w:val="20"/>
          <w:szCs w:val="20"/>
        </w:rPr>
      </w:pPr>
      <w:hyperlink w:history="1" r:id="rId38">
        <w:r w:rsidR="00E11732">
          <w:rPr>
            <w:b/>
            <w:i/>
            <w:color w:val="0000FF"/>
            <w:sz w:val="28"/>
            <w:u w:val="single"/>
          </w:rPr>
          <w:t>Alegações ecológicas</w:t>
        </w:r>
      </w:hyperlink>
    </w:p>
    <w:p w:rsidRPr="009D6A81" w:rsidR="009D6A81" w:rsidP="009D6A81" w:rsidRDefault="009D6A81" w14:paraId="6C570791" w14:textId="77777777">
      <w:pPr>
        <w:tabs>
          <w:tab w:val="center" w:pos="284"/>
        </w:tabs>
        <w:overflowPunct w:val="0"/>
        <w:autoSpaceDE w:val="0"/>
        <w:autoSpaceDN w:val="0"/>
        <w:adjustRightInd w:val="0"/>
        <w:ind w:left="266" w:hanging="266"/>
        <w:textAlignment w:val="baseline"/>
        <w:rPr>
          <w:b/>
        </w:rPr>
      </w:pPr>
    </w:p>
    <w:tbl>
      <w:tblPr>
        <w:tblStyle w:val="TableGrid4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9D6A81" w:rsidR="009D6A81" w:rsidTr="00D97149" w14:paraId="01114DD0" w14:textId="77777777">
        <w:tc>
          <w:tcPr>
            <w:tcW w:w="1701" w:type="dxa"/>
          </w:tcPr>
          <w:p w:rsidRPr="009D6A81" w:rsidR="009D6A81" w:rsidP="009D6A81" w:rsidRDefault="009D6A81" w14:paraId="61CA443A" w14:textId="77777777">
            <w:pPr>
              <w:tabs>
                <w:tab w:val="center" w:pos="284"/>
              </w:tabs>
              <w:overflowPunct w:val="0"/>
              <w:autoSpaceDE w:val="0"/>
              <w:autoSpaceDN w:val="0"/>
              <w:adjustRightInd w:val="0"/>
              <w:ind w:left="266" w:hanging="266"/>
              <w:textAlignment w:val="baseline"/>
              <w:rPr>
                <w:b/>
              </w:rPr>
            </w:pPr>
            <w:r>
              <w:rPr>
                <w:b/>
              </w:rPr>
              <w:t>Relator</w:t>
            </w:r>
          </w:p>
        </w:tc>
        <w:tc>
          <w:tcPr>
            <w:tcW w:w="5387" w:type="dxa"/>
          </w:tcPr>
          <w:p w:rsidRPr="009D6A81" w:rsidR="009D6A81" w:rsidP="009D6A81" w:rsidRDefault="009D6A81" w14:paraId="27A85D55" w14:textId="7E61568C">
            <w:pPr>
              <w:tabs>
                <w:tab w:val="center" w:pos="284"/>
              </w:tabs>
              <w:overflowPunct w:val="0"/>
              <w:autoSpaceDE w:val="0"/>
              <w:autoSpaceDN w:val="0"/>
              <w:adjustRightInd w:val="0"/>
              <w:ind w:left="266" w:hanging="266"/>
              <w:textAlignment w:val="baseline"/>
            </w:pPr>
            <w:r>
              <w:t>Angelo Pagliara (IT – Grupo dos Trabalhadores)</w:t>
            </w:r>
          </w:p>
        </w:tc>
      </w:tr>
      <w:tr w:rsidRPr="009D6A81" w:rsidR="009D6A81" w:rsidTr="00D97149" w14:paraId="0EAEB07B" w14:textId="77777777">
        <w:tc>
          <w:tcPr>
            <w:tcW w:w="7088" w:type="dxa"/>
            <w:gridSpan w:val="2"/>
          </w:tcPr>
          <w:p w:rsidRPr="009D6A81" w:rsidR="009D6A81" w:rsidP="009D6A81" w:rsidRDefault="009D6A81" w14:paraId="0FE2E66D" w14:textId="77777777">
            <w:pPr>
              <w:tabs>
                <w:tab w:val="center" w:pos="284"/>
              </w:tabs>
              <w:overflowPunct w:val="0"/>
              <w:autoSpaceDE w:val="0"/>
              <w:autoSpaceDN w:val="0"/>
              <w:adjustRightInd w:val="0"/>
              <w:spacing w:line="160" w:lineRule="exact"/>
              <w:ind w:left="266" w:hanging="266"/>
              <w:textAlignment w:val="baseline"/>
            </w:pPr>
          </w:p>
        </w:tc>
      </w:tr>
      <w:tr w:rsidRPr="009D6A81" w:rsidR="009D6A81" w:rsidTr="00D97149" w14:paraId="6B8CB9E3" w14:textId="77777777">
        <w:tc>
          <w:tcPr>
            <w:tcW w:w="1701" w:type="dxa"/>
            <w:vMerge w:val="restart"/>
          </w:tcPr>
          <w:p w:rsidRPr="009D6A81" w:rsidR="009D6A81" w:rsidP="009D6A81" w:rsidRDefault="009D6A81" w14:paraId="5EB5053C" w14:textId="77777777">
            <w:pPr>
              <w:tabs>
                <w:tab w:val="center" w:pos="284"/>
              </w:tabs>
              <w:overflowPunct w:val="0"/>
              <w:autoSpaceDE w:val="0"/>
              <w:autoSpaceDN w:val="0"/>
              <w:adjustRightInd w:val="0"/>
              <w:ind w:left="266" w:hanging="266"/>
              <w:textAlignment w:val="baseline"/>
              <w:rPr>
                <w:b/>
              </w:rPr>
            </w:pPr>
            <w:r>
              <w:rPr>
                <w:b/>
              </w:rPr>
              <w:t>Referências</w:t>
            </w:r>
          </w:p>
        </w:tc>
        <w:tc>
          <w:tcPr>
            <w:tcW w:w="5387" w:type="dxa"/>
          </w:tcPr>
          <w:p w:rsidRPr="009D6A81" w:rsidR="009D6A81" w:rsidP="009D6A81" w:rsidRDefault="009D6A81" w14:paraId="6196A6E0" w14:textId="774221C2">
            <w:pPr>
              <w:tabs>
                <w:tab w:val="center" w:pos="284"/>
              </w:tabs>
              <w:overflowPunct w:val="0"/>
              <w:autoSpaceDE w:val="0"/>
              <w:autoSpaceDN w:val="0"/>
              <w:adjustRightInd w:val="0"/>
              <w:ind w:left="266" w:hanging="266"/>
              <w:textAlignment w:val="baseline"/>
            </w:pPr>
            <w:r>
              <w:t xml:space="preserve">COM(2023) 166 final </w:t>
            </w:r>
          </w:p>
        </w:tc>
      </w:tr>
      <w:tr w:rsidRPr="009D6A81" w:rsidR="009D6A81" w:rsidTr="00D97149" w14:paraId="3AA6835F" w14:textId="77777777">
        <w:tc>
          <w:tcPr>
            <w:tcW w:w="1701" w:type="dxa"/>
            <w:vMerge/>
          </w:tcPr>
          <w:p w:rsidRPr="009D6A81" w:rsidR="009D6A81" w:rsidP="009D6A81" w:rsidRDefault="009D6A81" w14:paraId="10C4237E" w14:textId="77777777">
            <w:pPr>
              <w:tabs>
                <w:tab w:val="center" w:pos="284"/>
              </w:tabs>
              <w:overflowPunct w:val="0"/>
              <w:autoSpaceDE w:val="0"/>
              <w:autoSpaceDN w:val="0"/>
              <w:adjustRightInd w:val="0"/>
              <w:ind w:left="266" w:hanging="266"/>
              <w:textAlignment w:val="baseline"/>
              <w:rPr>
                <w:b/>
              </w:rPr>
            </w:pPr>
          </w:p>
        </w:tc>
        <w:tc>
          <w:tcPr>
            <w:tcW w:w="5387" w:type="dxa"/>
          </w:tcPr>
          <w:p w:rsidRPr="009D6A81" w:rsidR="009D6A81" w:rsidP="009D6A81" w:rsidRDefault="009D6A81" w14:paraId="4F924D26" w14:textId="3F15F4B4">
            <w:pPr>
              <w:tabs>
                <w:tab w:val="center" w:pos="284"/>
              </w:tabs>
              <w:overflowPunct w:val="0"/>
              <w:autoSpaceDE w:val="0"/>
              <w:autoSpaceDN w:val="0"/>
              <w:adjustRightInd w:val="0"/>
              <w:ind w:left="266" w:hanging="266"/>
              <w:textAlignment w:val="baseline"/>
            </w:pPr>
            <w:r>
              <w:t>EESC-2022-05381-00-00-AC</w:t>
            </w:r>
          </w:p>
        </w:tc>
      </w:tr>
    </w:tbl>
    <w:p w:rsidRPr="009D6A81" w:rsidR="009D6A81" w:rsidP="009D6A81" w:rsidRDefault="009D6A81" w14:paraId="210AA1D0" w14:textId="77777777">
      <w:pPr>
        <w:tabs>
          <w:tab w:val="center" w:pos="284"/>
        </w:tabs>
        <w:overflowPunct w:val="0"/>
        <w:autoSpaceDE w:val="0"/>
        <w:autoSpaceDN w:val="0"/>
        <w:adjustRightInd w:val="0"/>
        <w:ind w:left="266" w:hanging="266"/>
        <w:textAlignment w:val="baseline"/>
      </w:pPr>
    </w:p>
    <w:p w:rsidRPr="009D6A81" w:rsidR="009D6A81" w:rsidRDefault="009D6A81" w14:paraId="2FEE7B49"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9D6A81" w:rsidR="009D6A81" w:rsidRDefault="009D6A81" w14:paraId="6AFC6760" w14:textId="77777777">
      <w:pPr>
        <w:keepNext/>
        <w:keepLines/>
        <w:tabs>
          <w:tab w:val="center" w:pos="284"/>
        </w:tabs>
        <w:overflowPunct w:val="0"/>
        <w:autoSpaceDE w:val="0"/>
        <w:autoSpaceDN w:val="0"/>
        <w:adjustRightInd w:val="0"/>
        <w:ind w:left="266" w:hanging="266"/>
        <w:textAlignment w:val="baseline"/>
        <w:rPr>
          <w:b/>
        </w:rPr>
      </w:pPr>
    </w:p>
    <w:p w:rsidR="009D6A81" w:rsidRDefault="009D6A81" w14:paraId="7016AF21" w14:textId="12FFE470">
      <w:pPr>
        <w:overflowPunct w:val="0"/>
        <w:autoSpaceDE w:val="0"/>
        <w:autoSpaceDN w:val="0"/>
        <w:adjustRightInd w:val="0"/>
        <w:textAlignment w:val="baseline"/>
        <w:rPr>
          <w:bCs/>
          <w:iCs/>
        </w:rPr>
      </w:pPr>
      <w:r>
        <w:t>O Comité Económico e Social Europeu:</w:t>
      </w:r>
    </w:p>
    <w:p w:rsidRPr="009D6A81" w:rsidR="007E0A57" w:rsidP="00A2086E" w:rsidRDefault="007E0A57" w14:paraId="7DEB6178" w14:textId="77777777">
      <w:pPr>
        <w:overflowPunct w:val="0"/>
        <w:autoSpaceDE w:val="0"/>
        <w:autoSpaceDN w:val="0"/>
        <w:adjustRightInd w:val="0"/>
        <w:ind w:hanging="266"/>
        <w:textAlignment w:val="baseline"/>
        <w:rPr>
          <w:bCs/>
          <w:iCs/>
        </w:rPr>
      </w:pPr>
    </w:p>
    <w:p w:rsidRPr="009D6A81" w:rsidR="009D6A81" w:rsidP="00A2086E" w:rsidRDefault="009D6A81" w14:paraId="6B3A098C" w14:textId="77777777">
      <w:pPr>
        <w:numPr>
          <w:ilvl w:val="0"/>
          <w:numId w:val="27"/>
        </w:numPr>
        <w:overflowPunct w:val="0"/>
        <w:autoSpaceDE w:val="0"/>
        <w:autoSpaceDN w:val="0"/>
        <w:adjustRightInd w:val="0"/>
        <w:ind w:left="426" w:hanging="426"/>
        <w:textAlignment w:val="baseline"/>
      </w:pPr>
      <w:r>
        <w:t xml:space="preserve">insta a Comissão a assegurar que os requisitos estabelecidos na diretiva relativa às alegações ecológicas se tornem uma </w:t>
      </w:r>
      <w:r>
        <w:rPr>
          <w:b/>
        </w:rPr>
        <w:t>referência para um nível mínimo de proteção em relação às medidas ecológicas de fachada</w:t>
      </w:r>
      <w:r>
        <w:t xml:space="preserve">, cabendo incluí-los também na legislação setorial não abrangida pelo âmbito de aplicação da diretiva em apreço no tocante a determinadas alegações facultativas e à rotulagem; </w:t>
      </w:r>
    </w:p>
    <w:p w:rsidRPr="009D6A81" w:rsidR="009D6A81" w:rsidP="00A2086E" w:rsidRDefault="009D6A81" w14:paraId="2C8D31E7" w14:textId="77777777">
      <w:pPr>
        <w:numPr>
          <w:ilvl w:val="0"/>
          <w:numId w:val="27"/>
        </w:numPr>
        <w:overflowPunct w:val="0"/>
        <w:autoSpaceDE w:val="0"/>
        <w:autoSpaceDN w:val="0"/>
        <w:adjustRightInd w:val="0"/>
        <w:ind w:left="426" w:hanging="426"/>
        <w:textAlignment w:val="baseline"/>
      </w:pPr>
      <w:r>
        <w:t xml:space="preserve">realça a preocupação crescente com a proliferação de alegações ambientais baseadas na compensação através da utilização de créditos de compensação de carbono e insta a Comissão a introduzir uma </w:t>
      </w:r>
      <w:r>
        <w:rPr>
          <w:b/>
        </w:rPr>
        <w:t>proibição explícita das alegações baseadas na compensação</w:t>
      </w:r>
      <w:r>
        <w:t>;</w:t>
      </w:r>
    </w:p>
    <w:p w:rsidRPr="009D6A81" w:rsidR="009D6A81" w:rsidP="00A2086E" w:rsidRDefault="009D6A81" w14:paraId="3FC03014" w14:textId="77777777">
      <w:pPr>
        <w:numPr>
          <w:ilvl w:val="0"/>
          <w:numId w:val="27"/>
        </w:numPr>
        <w:overflowPunct w:val="0"/>
        <w:autoSpaceDE w:val="0"/>
        <w:autoSpaceDN w:val="0"/>
        <w:adjustRightInd w:val="0"/>
        <w:ind w:left="426" w:hanging="426"/>
        <w:textAlignment w:val="baseline"/>
      </w:pPr>
      <w:r>
        <w:t xml:space="preserve">congratula-se com a intenção anunciada de melhorar a segurança jurídica das alegações ambientais e insta a Comissão a assegurar que estão reunidas as condições adequadas para reforçar a competitividade do mercado único, nomeadamente através da </w:t>
      </w:r>
      <w:r>
        <w:rPr>
          <w:b/>
        </w:rPr>
        <w:t>introdução de metodologias comuns para fundamentar os diferentes tipos de alegações</w:t>
      </w:r>
      <w:r>
        <w:t>;</w:t>
      </w:r>
    </w:p>
    <w:p w:rsidRPr="009D6A81" w:rsidR="009D6A81" w:rsidP="00A2086E" w:rsidRDefault="009D6A81" w14:paraId="4B013BD8" w14:textId="77777777">
      <w:pPr>
        <w:numPr>
          <w:ilvl w:val="0"/>
          <w:numId w:val="27"/>
        </w:numPr>
        <w:overflowPunct w:val="0"/>
        <w:autoSpaceDE w:val="0"/>
        <w:autoSpaceDN w:val="0"/>
        <w:adjustRightInd w:val="0"/>
        <w:ind w:left="426" w:hanging="426"/>
        <w:textAlignment w:val="baseline"/>
      </w:pPr>
      <w:r>
        <w:t xml:space="preserve">propõe que se preveja a </w:t>
      </w:r>
      <w:r>
        <w:rPr>
          <w:b/>
        </w:rPr>
        <w:t>realização de controlos cruzados regulares entre as autoridades nacionais, por um lado, e os parceiros sociais e a sociedade civil a nível nacional, por outro</w:t>
      </w:r>
      <w:r>
        <w:t>.</w:t>
      </w:r>
    </w:p>
    <w:p w:rsidRPr="009D6A81" w:rsidR="009D6A81" w:rsidP="009D6A81" w:rsidRDefault="009D6A81" w14:paraId="09619960" w14:textId="77777777">
      <w:pPr>
        <w:widowControl w:val="0"/>
        <w:overflowPunct w:val="0"/>
        <w:autoSpaceDE w:val="0"/>
        <w:autoSpaceDN w:val="0"/>
        <w:adjustRightInd w:val="0"/>
        <w:ind w:left="709"/>
        <w:textAlignment w:val="baseline"/>
        <w:rPr>
          <w:szCs w:val="20"/>
        </w:rPr>
      </w:pPr>
    </w:p>
    <w:tbl>
      <w:tblPr>
        <w:tblStyle w:val="TableGrid4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9D6A81" w:rsidR="009D6A81" w:rsidTr="00D97149" w14:paraId="0475F26F" w14:textId="77777777">
        <w:tc>
          <w:tcPr>
            <w:tcW w:w="1418" w:type="dxa"/>
          </w:tcPr>
          <w:p w:rsidRPr="009D6A81" w:rsidR="009D6A81" w:rsidP="00A2086E" w:rsidRDefault="009D6A81" w14:paraId="0045AB6E" w14:textId="7DB76B8E">
            <w:pPr>
              <w:overflowPunct w:val="0"/>
              <w:autoSpaceDE w:val="0"/>
              <w:autoSpaceDN w:val="0"/>
              <w:adjustRightInd w:val="0"/>
              <w:spacing w:line="240" w:lineRule="auto"/>
              <w:ind w:hanging="110"/>
              <w:textAlignment w:val="baseline"/>
              <w:rPr>
                <w:i/>
              </w:rPr>
            </w:pPr>
            <w:r>
              <w:rPr>
                <w:b/>
                <w:i/>
              </w:rPr>
              <w:t>Contacto</w:t>
            </w:r>
          </w:p>
        </w:tc>
        <w:tc>
          <w:tcPr>
            <w:tcW w:w="5670" w:type="dxa"/>
          </w:tcPr>
          <w:p w:rsidRPr="009D6A81" w:rsidR="009D6A81" w:rsidP="00A2086E" w:rsidRDefault="009D6A81" w14:paraId="0BCE4D3E" w14:textId="77777777">
            <w:pPr>
              <w:overflowPunct w:val="0"/>
              <w:autoSpaceDE w:val="0"/>
              <w:autoSpaceDN w:val="0"/>
              <w:adjustRightInd w:val="0"/>
              <w:spacing w:line="240" w:lineRule="auto"/>
              <w:ind w:hanging="110"/>
              <w:textAlignment w:val="baseline"/>
              <w:rPr>
                <w:i/>
              </w:rPr>
            </w:pPr>
            <w:r>
              <w:rPr>
                <w:i/>
              </w:rPr>
              <w:t>Staffa Silvia</w:t>
            </w:r>
          </w:p>
        </w:tc>
      </w:tr>
      <w:tr w:rsidRPr="009D6A81" w:rsidR="009D6A81" w:rsidTr="00D97149" w14:paraId="084A9004" w14:textId="77777777">
        <w:tc>
          <w:tcPr>
            <w:tcW w:w="1418" w:type="dxa"/>
          </w:tcPr>
          <w:p w:rsidRPr="009D6A81" w:rsidR="009D6A81" w:rsidP="00A2086E" w:rsidRDefault="009D6A81" w14:paraId="3BE242F0" w14:textId="00A62119">
            <w:pPr>
              <w:overflowPunct w:val="0"/>
              <w:autoSpaceDE w:val="0"/>
              <w:autoSpaceDN w:val="0"/>
              <w:adjustRightInd w:val="0"/>
              <w:spacing w:line="240" w:lineRule="auto"/>
              <w:ind w:hanging="110"/>
              <w:textAlignment w:val="baseline"/>
              <w:rPr>
                <w:i/>
              </w:rPr>
            </w:pPr>
            <w:r>
              <w:rPr>
                <w:i/>
              </w:rPr>
              <w:t>Tel.</w:t>
            </w:r>
          </w:p>
        </w:tc>
        <w:tc>
          <w:tcPr>
            <w:tcW w:w="5670" w:type="dxa"/>
          </w:tcPr>
          <w:p w:rsidRPr="009D6A81" w:rsidR="009D6A81" w:rsidP="00A2086E" w:rsidRDefault="007D2E29" w14:paraId="722ECBBA" w14:textId="48598684">
            <w:pPr>
              <w:overflowPunct w:val="0"/>
              <w:autoSpaceDE w:val="0"/>
              <w:autoSpaceDN w:val="0"/>
              <w:adjustRightInd w:val="0"/>
              <w:spacing w:line="240" w:lineRule="auto"/>
              <w:ind w:hanging="110"/>
              <w:textAlignment w:val="baseline"/>
              <w:rPr>
                <w:i/>
              </w:rPr>
            </w:pPr>
            <w:r>
              <w:rPr>
                <w:i/>
              </w:rPr>
              <w:t>+32 2 546 8378</w:t>
            </w:r>
          </w:p>
        </w:tc>
      </w:tr>
      <w:tr w:rsidRPr="009D6A81" w:rsidR="009D6A81" w:rsidTr="00D97149" w14:paraId="43B2214E" w14:textId="77777777">
        <w:tc>
          <w:tcPr>
            <w:tcW w:w="1418" w:type="dxa"/>
          </w:tcPr>
          <w:p w:rsidRPr="009D6A81" w:rsidR="009D6A81" w:rsidP="00A2086E" w:rsidRDefault="000C0708" w14:paraId="2F839D3B" w14:textId="0BD67387">
            <w:pPr>
              <w:overflowPunct w:val="0"/>
              <w:autoSpaceDE w:val="0"/>
              <w:autoSpaceDN w:val="0"/>
              <w:adjustRightInd w:val="0"/>
              <w:spacing w:line="240" w:lineRule="auto"/>
              <w:ind w:hanging="110"/>
              <w:textAlignment w:val="baseline"/>
              <w:rPr>
                <w:i/>
              </w:rPr>
            </w:pPr>
            <w:r>
              <w:rPr>
                <w:i/>
              </w:rPr>
              <w:t>Endereço eletrónico</w:t>
            </w:r>
          </w:p>
        </w:tc>
        <w:tc>
          <w:tcPr>
            <w:tcW w:w="5670" w:type="dxa"/>
          </w:tcPr>
          <w:p w:rsidRPr="009D6A81" w:rsidR="009D6A81" w:rsidP="00A2086E" w:rsidRDefault="007E421A" w14:paraId="6733A79D" w14:textId="77777777">
            <w:pPr>
              <w:overflowPunct w:val="0"/>
              <w:autoSpaceDE w:val="0"/>
              <w:autoSpaceDN w:val="0"/>
              <w:adjustRightInd w:val="0"/>
              <w:spacing w:line="240" w:lineRule="auto"/>
              <w:ind w:hanging="110"/>
              <w:textAlignment w:val="baseline"/>
              <w:rPr>
                <w:i/>
              </w:rPr>
            </w:pPr>
            <w:hyperlink w:history="1" r:id="rId39">
              <w:r w:rsidR="00E11732">
                <w:rPr>
                  <w:i/>
                  <w:color w:val="0000FF"/>
                  <w:u w:val="single"/>
                </w:rPr>
                <w:t>Silvia.Staffa@eesc.europa.eu</w:t>
              </w:r>
            </w:hyperlink>
          </w:p>
        </w:tc>
      </w:tr>
    </w:tbl>
    <w:p w:rsidR="008E4427" w:rsidP="00C14111" w:rsidRDefault="008E4427" w14:paraId="5C0DDB62" w14:textId="77777777">
      <w:pPr>
        <w:spacing w:after="160" w:line="259" w:lineRule="auto"/>
        <w:jc w:val="left"/>
        <w:rPr>
          <w:sz w:val="16"/>
          <w:szCs w:val="16"/>
        </w:rPr>
      </w:pPr>
    </w:p>
    <w:p w:rsidR="008E4427" w:rsidRDefault="008E4427" w14:paraId="75E40098" w14:textId="77777777">
      <w:pPr>
        <w:spacing w:after="160" w:line="259" w:lineRule="auto"/>
        <w:jc w:val="left"/>
        <w:rPr>
          <w:sz w:val="16"/>
          <w:szCs w:val="16"/>
        </w:rPr>
      </w:pPr>
      <w:r>
        <w:br w:type="page"/>
      </w:r>
    </w:p>
    <w:p w:rsidRPr="00EE24CA" w:rsidR="008E4427" w:rsidP="008E4427" w:rsidRDefault="007E421A" w14:paraId="46F7AF25" w14:textId="2D8A49B9">
      <w:pPr>
        <w:widowControl w:val="0"/>
        <w:numPr>
          <w:ilvl w:val="0"/>
          <w:numId w:val="1"/>
        </w:numPr>
        <w:overflowPunct w:val="0"/>
        <w:autoSpaceDE w:val="0"/>
        <w:autoSpaceDN w:val="0"/>
        <w:adjustRightInd w:val="0"/>
        <w:ind w:hanging="567"/>
        <w:textAlignment w:val="baseline"/>
        <w:rPr>
          <w:i/>
          <w:iCs/>
          <w:sz w:val="28"/>
          <w:szCs w:val="28"/>
        </w:rPr>
      </w:pPr>
      <w:hyperlink w:tgtFrame="_blank" w:history="1" r:id="rId40">
        <w:r w:rsidRPr="00EE24CA" w:rsidR="00E11732">
          <w:rPr>
            <w:b/>
            <w:i/>
            <w:iCs/>
            <w:color w:val="0000FF"/>
            <w:sz w:val="28"/>
            <w:u w:val="single"/>
          </w:rPr>
          <w:t>Direito das sociedades / utilização de ferramentas e processos digitais</w:t>
        </w:r>
      </w:hyperlink>
    </w:p>
    <w:p w:rsidR="008E4427" w:rsidP="008E4427" w:rsidRDefault="008E4427" w14:paraId="2706F5E2" w14:textId="55724B0E">
      <w:pPr>
        <w:tabs>
          <w:tab w:val="center" w:pos="284"/>
        </w:tabs>
        <w:overflowPunct w:val="0"/>
        <w:autoSpaceDE w:val="0"/>
        <w:autoSpaceDN w:val="0"/>
        <w:adjustRightInd w:val="0"/>
        <w:ind w:left="266" w:hanging="266"/>
        <w:textAlignment w:val="baseline"/>
        <w:rPr>
          <w:b/>
        </w:rPr>
      </w:pPr>
    </w:p>
    <w:p w:rsidRPr="008E4427" w:rsidR="00EB46E1" w:rsidP="008E4427" w:rsidRDefault="00EB46E1" w14:paraId="1CB62E42" w14:textId="77777777">
      <w:pPr>
        <w:tabs>
          <w:tab w:val="center" w:pos="284"/>
        </w:tabs>
        <w:overflowPunct w:val="0"/>
        <w:autoSpaceDE w:val="0"/>
        <w:autoSpaceDN w:val="0"/>
        <w:adjustRightInd w:val="0"/>
        <w:ind w:left="266" w:hanging="266"/>
        <w:textAlignment w:val="baseline"/>
        <w:rPr>
          <w:b/>
        </w:rPr>
      </w:pPr>
    </w:p>
    <w:tbl>
      <w:tblPr>
        <w:tblStyle w:val="TableGrid4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8E4427" w:rsidR="008E4427" w:rsidTr="00D97149" w14:paraId="25164E85" w14:textId="77777777">
        <w:tc>
          <w:tcPr>
            <w:tcW w:w="1701" w:type="dxa"/>
          </w:tcPr>
          <w:p w:rsidRPr="008E4427" w:rsidR="008E4427" w:rsidRDefault="008E4427" w14:paraId="5113B7F7" w14:textId="77777777">
            <w:pPr>
              <w:tabs>
                <w:tab w:val="center" w:pos="284"/>
              </w:tabs>
              <w:overflowPunct w:val="0"/>
              <w:autoSpaceDE w:val="0"/>
              <w:autoSpaceDN w:val="0"/>
              <w:adjustRightInd w:val="0"/>
              <w:ind w:left="266" w:hanging="266"/>
              <w:textAlignment w:val="baseline"/>
              <w:rPr>
                <w:b/>
              </w:rPr>
            </w:pPr>
            <w:r>
              <w:rPr>
                <w:b/>
              </w:rPr>
              <w:t>Relatora</w:t>
            </w:r>
          </w:p>
        </w:tc>
        <w:tc>
          <w:tcPr>
            <w:tcW w:w="5387" w:type="dxa"/>
          </w:tcPr>
          <w:p w:rsidRPr="008E4427" w:rsidR="008E4427" w:rsidRDefault="008E4427" w14:paraId="7C8568E7" w14:textId="748B7A70">
            <w:pPr>
              <w:tabs>
                <w:tab w:val="center" w:pos="284"/>
              </w:tabs>
              <w:overflowPunct w:val="0"/>
              <w:autoSpaceDE w:val="0"/>
              <w:autoSpaceDN w:val="0"/>
              <w:adjustRightInd w:val="0"/>
              <w:ind w:left="266" w:hanging="266"/>
              <w:textAlignment w:val="baseline"/>
            </w:pPr>
            <w:r>
              <w:t>Franca Salis-Madinier (FR – Grupo dos Trabalhadores)</w:t>
            </w:r>
          </w:p>
        </w:tc>
      </w:tr>
      <w:tr w:rsidRPr="008E4427" w:rsidR="008E4427" w:rsidTr="00D97149" w14:paraId="194C52A8" w14:textId="77777777">
        <w:tc>
          <w:tcPr>
            <w:tcW w:w="7088" w:type="dxa"/>
            <w:gridSpan w:val="2"/>
          </w:tcPr>
          <w:p w:rsidRPr="008E4427" w:rsidR="008E4427" w:rsidRDefault="008E4427" w14:paraId="63CF0DAB" w14:textId="77777777">
            <w:pPr>
              <w:tabs>
                <w:tab w:val="center" w:pos="284"/>
              </w:tabs>
              <w:overflowPunct w:val="0"/>
              <w:autoSpaceDE w:val="0"/>
              <w:autoSpaceDN w:val="0"/>
              <w:adjustRightInd w:val="0"/>
              <w:spacing w:line="160" w:lineRule="exact"/>
              <w:ind w:left="266" w:hanging="266"/>
              <w:textAlignment w:val="baseline"/>
            </w:pPr>
          </w:p>
        </w:tc>
      </w:tr>
      <w:tr w:rsidRPr="008E4427" w:rsidR="008E4427" w:rsidTr="00D97149" w14:paraId="5854F02D" w14:textId="77777777">
        <w:tc>
          <w:tcPr>
            <w:tcW w:w="1701" w:type="dxa"/>
            <w:vMerge w:val="restart"/>
          </w:tcPr>
          <w:p w:rsidRPr="008E4427" w:rsidR="008E4427" w:rsidRDefault="008E4427" w14:paraId="200BC256" w14:textId="77777777">
            <w:pPr>
              <w:tabs>
                <w:tab w:val="center" w:pos="284"/>
              </w:tabs>
              <w:overflowPunct w:val="0"/>
              <w:autoSpaceDE w:val="0"/>
              <w:autoSpaceDN w:val="0"/>
              <w:adjustRightInd w:val="0"/>
              <w:ind w:left="266" w:hanging="266"/>
              <w:textAlignment w:val="baseline"/>
              <w:rPr>
                <w:b/>
              </w:rPr>
            </w:pPr>
            <w:r>
              <w:rPr>
                <w:b/>
              </w:rPr>
              <w:t xml:space="preserve">Referências </w:t>
            </w:r>
          </w:p>
        </w:tc>
        <w:tc>
          <w:tcPr>
            <w:tcW w:w="5387" w:type="dxa"/>
          </w:tcPr>
          <w:p w:rsidRPr="008E4427" w:rsidR="008E4427" w:rsidRDefault="008E4427" w14:paraId="7E2B25C5" w14:textId="2D3B1AE5">
            <w:pPr>
              <w:tabs>
                <w:tab w:val="center" w:pos="284"/>
              </w:tabs>
              <w:overflowPunct w:val="0"/>
              <w:autoSpaceDE w:val="0"/>
              <w:autoSpaceDN w:val="0"/>
              <w:adjustRightInd w:val="0"/>
              <w:ind w:left="266" w:hanging="266"/>
              <w:textAlignment w:val="baseline"/>
            </w:pPr>
            <w:r>
              <w:t xml:space="preserve">COM(2023) 177 final </w:t>
            </w:r>
          </w:p>
        </w:tc>
      </w:tr>
      <w:tr w:rsidRPr="008E4427" w:rsidR="008E4427" w:rsidTr="00D97149" w14:paraId="5D09CD7E" w14:textId="77777777">
        <w:tc>
          <w:tcPr>
            <w:tcW w:w="1701" w:type="dxa"/>
            <w:vMerge/>
          </w:tcPr>
          <w:p w:rsidRPr="008E4427" w:rsidR="008E4427" w:rsidRDefault="008E4427" w14:paraId="4D8EC0B1" w14:textId="77777777">
            <w:pPr>
              <w:tabs>
                <w:tab w:val="center" w:pos="284"/>
              </w:tabs>
              <w:overflowPunct w:val="0"/>
              <w:autoSpaceDE w:val="0"/>
              <w:autoSpaceDN w:val="0"/>
              <w:adjustRightInd w:val="0"/>
              <w:ind w:left="266" w:hanging="266"/>
              <w:textAlignment w:val="baseline"/>
              <w:rPr>
                <w:b/>
              </w:rPr>
            </w:pPr>
          </w:p>
        </w:tc>
        <w:tc>
          <w:tcPr>
            <w:tcW w:w="5387" w:type="dxa"/>
          </w:tcPr>
          <w:p w:rsidRPr="008E4427" w:rsidR="008E4427" w:rsidRDefault="008E4427" w14:paraId="7883380A" w14:textId="4F83911E">
            <w:pPr>
              <w:tabs>
                <w:tab w:val="center" w:pos="284"/>
              </w:tabs>
              <w:overflowPunct w:val="0"/>
              <w:autoSpaceDE w:val="0"/>
              <w:autoSpaceDN w:val="0"/>
              <w:adjustRightInd w:val="0"/>
              <w:ind w:left="266" w:hanging="266"/>
              <w:textAlignment w:val="baseline"/>
            </w:pPr>
            <w:r>
              <w:t>EESC-2023-01272-00-00-AC</w:t>
            </w:r>
          </w:p>
        </w:tc>
      </w:tr>
    </w:tbl>
    <w:p w:rsidRPr="008E4427" w:rsidR="008E4427" w:rsidRDefault="008E4427" w14:paraId="5C1D5056" w14:textId="77777777">
      <w:pPr>
        <w:tabs>
          <w:tab w:val="center" w:pos="284"/>
        </w:tabs>
        <w:overflowPunct w:val="0"/>
        <w:autoSpaceDE w:val="0"/>
        <w:autoSpaceDN w:val="0"/>
        <w:adjustRightInd w:val="0"/>
        <w:ind w:left="266" w:hanging="266"/>
        <w:textAlignment w:val="baseline"/>
      </w:pPr>
    </w:p>
    <w:p w:rsidRPr="008E4427" w:rsidR="008E4427" w:rsidRDefault="008E4427" w14:paraId="6B9FCCDB"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8E4427" w:rsidR="008E4427" w:rsidRDefault="008E4427" w14:paraId="6C82D0B0" w14:textId="77777777">
      <w:pPr>
        <w:keepNext/>
        <w:keepLines/>
        <w:tabs>
          <w:tab w:val="center" w:pos="284"/>
        </w:tabs>
        <w:overflowPunct w:val="0"/>
        <w:autoSpaceDE w:val="0"/>
        <w:autoSpaceDN w:val="0"/>
        <w:adjustRightInd w:val="0"/>
        <w:ind w:left="266" w:hanging="266"/>
        <w:textAlignment w:val="baseline"/>
        <w:rPr>
          <w:b/>
        </w:rPr>
      </w:pPr>
    </w:p>
    <w:p w:rsidRPr="008E4427" w:rsidR="008E4427" w:rsidRDefault="008E4427" w14:paraId="718CD5C3" w14:textId="77777777">
      <w:pPr>
        <w:overflowPunct w:val="0"/>
        <w:autoSpaceDE w:val="0"/>
        <w:autoSpaceDN w:val="0"/>
        <w:adjustRightInd w:val="0"/>
        <w:textAlignment w:val="baseline"/>
        <w:rPr>
          <w:bCs/>
          <w:iCs/>
        </w:rPr>
      </w:pPr>
      <w:r>
        <w:t>O Comité Económico e Social Europeu:</w:t>
      </w:r>
    </w:p>
    <w:p w:rsidRPr="008E4427" w:rsidR="008E4427" w:rsidP="008E4427" w:rsidRDefault="008E4427" w14:paraId="42F19459" w14:textId="77777777">
      <w:pPr>
        <w:overflowPunct w:val="0"/>
        <w:autoSpaceDE w:val="0"/>
        <w:autoSpaceDN w:val="0"/>
        <w:adjustRightInd w:val="0"/>
        <w:textAlignment w:val="baseline"/>
        <w:rPr>
          <w:bCs/>
          <w:iCs/>
        </w:rPr>
      </w:pPr>
    </w:p>
    <w:p w:rsidRPr="008E4427" w:rsidR="008E4427" w:rsidP="00A2086E" w:rsidRDefault="008E4427" w14:paraId="48D4F392" w14:textId="77777777">
      <w:pPr>
        <w:numPr>
          <w:ilvl w:val="0"/>
          <w:numId w:val="28"/>
        </w:numPr>
        <w:overflowPunct w:val="0"/>
        <w:autoSpaceDE w:val="0"/>
        <w:autoSpaceDN w:val="0"/>
        <w:adjustRightInd w:val="0"/>
        <w:spacing w:after="200" w:line="276" w:lineRule="auto"/>
        <w:ind w:left="426" w:hanging="426"/>
        <w:contextualSpacing/>
        <w:textAlignment w:val="baseline"/>
        <w:rPr>
          <w:rFonts w:ascii="Calibri" w:hAnsi="Calibri"/>
          <w:bCs/>
          <w:iCs/>
        </w:rPr>
      </w:pPr>
      <w:r>
        <w:t>concorda com um recurso mais generalizado a ferramentas digitais para assegurar a comunicação entre as sociedades e as autoridades no âmbito das atividades transfronteiriças, bem como com a promoção do princípio digital por defeito, desde que ninguém seja deixado para trás;</w:t>
      </w:r>
    </w:p>
    <w:p w:rsidRPr="008E4427" w:rsidR="008E4427" w:rsidP="00A2086E" w:rsidRDefault="008E4427" w14:paraId="2C910EB1"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concorda com a obrigação de as empresas disponibilizarem informações sobre a localização do centro de gestão e da principal atividade económica nos registos nacionais e no Sistema de Interconexão dos Registos das Empresas (BRIS);</w:t>
      </w:r>
    </w:p>
    <w:p w:rsidRPr="008E4427" w:rsidR="008E4427" w:rsidP="00A2086E" w:rsidRDefault="008E4427" w14:paraId="53ED704B" w14:textId="77777777">
      <w:pPr>
        <w:numPr>
          <w:ilvl w:val="0"/>
          <w:numId w:val="28"/>
        </w:numPr>
        <w:overflowPunct w:val="0"/>
        <w:autoSpaceDE w:val="0"/>
        <w:autoSpaceDN w:val="0"/>
        <w:adjustRightInd w:val="0"/>
        <w:spacing w:after="200" w:line="276" w:lineRule="auto"/>
        <w:ind w:left="426" w:hanging="426"/>
        <w:contextualSpacing/>
        <w:textAlignment w:val="baseline"/>
        <w:rPr>
          <w:rFonts w:ascii="Calibri" w:hAnsi="Calibri"/>
          <w:bCs/>
          <w:iCs/>
        </w:rPr>
      </w:pPr>
      <w:r>
        <w:t>recomenda que se alargue o âmbito de aplicação da diretiva de modo a incluir as cooperativas e as fundações e que se exija o acesso ao BRIS sempre que as informações sobre esses tipos de sociedades já constem dos registos nacionais;</w:t>
      </w:r>
    </w:p>
    <w:p w:rsidRPr="008E4427" w:rsidR="008E4427" w:rsidP="00A2086E" w:rsidRDefault="008E4427" w14:paraId="56F9DED6"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recomenda também que se alargue a lista de informações que devem ser fornecidas e atualizadas anualmente de modo a incluir o número de trabalhadores, os setores de atividade (código NACE) e, no caso das sociedades constituídas ao abrigo do direito das sociedades da UE, os acordos em matéria de informação, consulta e participação dos trabalhadores;</w:t>
      </w:r>
    </w:p>
    <w:p w:rsidRPr="008E4427" w:rsidR="008E4427" w:rsidP="00A2086E" w:rsidRDefault="008E4427" w14:paraId="4AE69FAB"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recomenda que se acrescente a verificação da identidade das pessoas envolvidas na constituição de uma sociedade aos controlos da legalidade efetuados no âmbito do controlo preventivo e que se estenda o controlo preventivo à reorganização das sociedades constituídas ao abrigo do direito das sociedades da UE;</w:t>
      </w:r>
    </w:p>
    <w:p w:rsidRPr="008E4427" w:rsidR="008E4427" w:rsidP="00A2086E" w:rsidRDefault="008E4427" w14:paraId="0C883A7E"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concorda com a obrigação de os registos fornecerem dados atualizados e recomenda o reforço das disposições sobre as sanções, a fim de assegurar que as medidas em caso de incumprimento são eficazes, proporcionadas e dissuasivas;</w:t>
      </w:r>
    </w:p>
    <w:p w:rsidRPr="008E4427" w:rsidR="008E4427" w:rsidP="00A2086E" w:rsidRDefault="008E4427" w14:paraId="61389F4E" w14:textId="77777777">
      <w:pPr>
        <w:numPr>
          <w:ilvl w:val="0"/>
          <w:numId w:val="28"/>
        </w:numPr>
        <w:overflowPunct w:val="0"/>
        <w:autoSpaceDE w:val="0"/>
        <w:autoSpaceDN w:val="0"/>
        <w:adjustRightInd w:val="0"/>
        <w:spacing w:after="200" w:line="276" w:lineRule="auto"/>
        <w:ind w:left="426" w:hanging="426"/>
        <w:contextualSpacing/>
        <w:textAlignment w:val="baseline"/>
        <w:rPr>
          <w:bCs/>
          <w:iCs/>
        </w:rPr>
      </w:pPr>
      <w:r>
        <w:t>subscreve o princípio da declaração única, segundo o qual a sociedade de um Estado-Membro não seria obrigada a fornecer de novo as mesmas informações quando cria filiais ou sucursais noutro Estado-Membro, desde que esse Estado-Membro possa recusar aceitar as informações, sempre que exista uma dúvida razoável de que o outro Estado-Membro tenha garantido de forma adequada a fiabilidade das informações constantes do seu registo.</w:t>
      </w:r>
    </w:p>
    <w:p w:rsidRPr="008E4427" w:rsidR="008E4427" w:rsidP="008E4427" w:rsidRDefault="008E4427" w14:paraId="544461A1" w14:textId="77777777">
      <w:pPr>
        <w:overflowPunct w:val="0"/>
        <w:autoSpaceDE w:val="0"/>
        <w:autoSpaceDN w:val="0"/>
        <w:adjustRightInd w:val="0"/>
        <w:textAlignment w:val="baseline"/>
        <w:rPr>
          <w:bCs/>
          <w:iCs/>
        </w:rPr>
      </w:pPr>
    </w:p>
    <w:tbl>
      <w:tblPr>
        <w:tblStyle w:val="TableGrid45"/>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8E4427" w:rsidR="008E4427" w:rsidTr="00D97149" w14:paraId="14466CD6" w14:textId="77777777">
        <w:tc>
          <w:tcPr>
            <w:tcW w:w="1418" w:type="dxa"/>
          </w:tcPr>
          <w:p w:rsidRPr="008E4427" w:rsidR="008E4427" w:rsidP="008E4427" w:rsidRDefault="008E4427" w14:paraId="5E6245B6" w14:textId="2F03376E">
            <w:pPr>
              <w:overflowPunct w:val="0"/>
              <w:autoSpaceDE w:val="0"/>
              <w:autoSpaceDN w:val="0"/>
              <w:adjustRightInd w:val="0"/>
              <w:spacing w:line="240" w:lineRule="auto"/>
              <w:textAlignment w:val="baseline"/>
              <w:rPr>
                <w:i/>
              </w:rPr>
            </w:pPr>
            <w:r>
              <w:rPr>
                <w:b/>
                <w:i/>
              </w:rPr>
              <w:t>Contacto</w:t>
            </w:r>
          </w:p>
        </w:tc>
        <w:tc>
          <w:tcPr>
            <w:tcW w:w="5670" w:type="dxa"/>
          </w:tcPr>
          <w:p w:rsidRPr="008E4427" w:rsidR="008E4427" w:rsidP="008E4427" w:rsidRDefault="008E4427" w14:paraId="7B194A5B" w14:textId="77777777">
            <w:pPr>
              <w:overflowPunct w:val="0"/>
              <w:autoSpaceDE w:val="0"/>
              <w:autoSpaceDN w:val="0"/>
              <w:adjustRightInd w:val="0"/>
              <w:spacing w:line="240" w:lineRule="auto"/>
              <w:textAlignment w:val="baseline"/>
              <w:rPr>
                <w:i/>
              </w:rPr>
            </w:pPr>
            <w:r>
              <w:rPr>
                <w:i/>
              </w:rPr>
              <w:t>Marco Manfroni</w:t>
            </w:r>
          </w:p>
        </w:tc>
      </w:tr>
      <w:tr w:rsidRPr="008E4427" w:rsidR="008E4427" w:rsidTr="00D97149" w14:paraId="08FB75B4" w14:textId="77777777">
        <w:tc>
          <w:tcPr>
            <w:tcW w:w="1418" w:type="dxa"/>
          </w:tcPr>
          <w:p w:rsidRPr="008E4427" w:rsidR="008E4427" w:rsidP="008E4427" w:rsidRDefault="008E4427" w14:paraId="6CCA173F" w14:textId="29723E5F">
            <w:pPr>
              <w:overflowPunct w:val="0"/>
              <w:autoSpaceDE w:val="0"/>
              <w:autoSpaceDN w:val="0"/>
              <w:adjustRightInd w:val="0"/>
              <w:spacing w:line="240" w:lineRule="auto"/>
              <w:textAlignment w:val="baseline"/>
              <w:rPr>
                <w:i/>
              </w:rPr>
            </w:pPr>
            <w:r>
              <w:rPr>
                <w:i/>
              </w:rPr>
              <w:t>Tel.</w:t>
            </w:r>
          </w:p>
        </w:tc>
        <w:tc>
          <w:tcPr>
            <w:tcW w:w="5670" w:type="dxa"/>
          </w:tcPr>
          <w:p w:rsidRPr="008E4427" w:rsidR="008E4427" w:rsidP="008E4427" w:rsidRDefault="007D2E29" w14:paraId="1FEAACFF" w14:textId="4255FB8A">
            <w:pPr>
              <w:overflowPunct w:val="0"/>
              <w:autoSpaceDE w:val="0"/>
              <w:autoSpaceDN w:val="0"/>
              <w:adjustRightInd w:val="0"/>
              <w:spacing w:line="240" w:lineRule="auto"/>
              <w:textAlignment w:val="baseline"/>
              <w:rPr>
                <w:i/>
              </w:rPr>
            </w:pPr>
            <w:r>
              <w:rPr>
                <w:i/>
              </w:rPr>
              <w:t>+32 2 546 9140</w:t>
            </w:r>
          </w:p>
        </w:tc>
      </w:tr>
      <w:tr w:rsidRPr="008E4427" w:rsidR="008E4427" w:rsidTr="00D97149" w14:paraId="1EC50C58" w14:textId="77777777">
        <w:tc>
          <w:tcPr>
            <w:tcW w:w="1418" w:type="dxa"/>
          </w:tcPr>
          <w:p w:rsidRPr="008E4427" w:rsidR="008E4427" w:rsidP="008E4427" w:rsidRDefault="00845AE2" w14:paraId="31DF1D4F" w14:textId="7E2AE5B8">
            <w:pPr>
              <w:overflowPunct w:val="0"/>
              <w:autoSpaceDE w:val="0"/>
              <w:autoSpaceDN w:val="0"/>
              <w:adjustRightInd w:val="0"/>
              <w:spacing w:line="240" w:lineRule="auto"/>
              <w:textAlignment w:val="baseline"/>
              <w:rPr>
                <w:i/>
              </w:rPr>
            </w:pPr>
            <w:r>
              <w:rPr>
                <w:i/>
              </w:rPr>
              <w:t>Endereço eletrónico</w:t>
            </w:r>
          </w:p>
        </w:tc>
        <w:tc>
          <w:tcPr>
            <w:tcW w:w="5670" w:type="dxa"/>
          </w:tcPr>
          <w:p w:rsidRPr="008E4427" w:rsidR="008E4427" w:rsidP="008E4427" w:rsidRDefault="007E421A" w14:paraId="57742BE6" w14:textId="460FF68F">
            <w:pPr>
              <w:overflowPunct w:val="0"/>
              <w:autoSpaceDE w:val="0"/>
              <w:autoSpaceDN w:val="0"/>
              <w:adjustRightInd w:val="0"/>
              <w:spacing w:line="240" w:lineRule="auto"/>
              <w:textAlignment w:val="baseline"/>
              <w:rPr>
                <w:i/>
              </w:rPr>
            </w:pPr>
            <w:hyperlink w:history="1" r:id="rId41">
              <w:r w:rsidR="00E11732">
                <w:rPr>
                  <w:rStyle w:val="Hyperlink"/>
                  <w:i/>
                </w:rPr>
                <w:t>Marco.Manfroni@eesc.europa.eu</w:t>
              </w:r>
            </w:hyperlink>
          </w:p>
        </w:tc>
      </w:tr>
    </w:tbl>
    <w:p w:rsidR="001A2632" w:rsidP="00C14111" w:rsidRDefault="001A2632" w14:paraId="15C19C52" w14:textId="77777777">
      <w:pPr>
        <w:spacing w:after="160" w:line="259" w:lineRule="auto"/>
        <w:jc w:val="left"/>
        <w:rPr>
          <w:sz w:val="16"/>
          <w:szCs w:val="16"/>
        </w:rPr>
      </w:pPr>
    </w:p>
    <w:p w:rsidR="001A2632" w:rsidRDefault="001A2632" w14:paraId="13C2B20A" w14:textId="77777777">
      <w:pPr>
        <w:spacing w:after="160" w:line="259" w:lineRule="auto"/>
        <w:jc w:val="left"/>
        <w:rPr>
          <w:sz w:val="16"/>
          <w:szCs w:val="16"/>
        </w:rPr>
      </w:pPr>
      <w:r>
        <w:br w:type="page"/>
      </w:r>
    </w:p>
    <w:p w:rsidRPr="001A2632" w:rsidR="001A2632" w:rsidP="001A2632" w:rsidRDefault="007E421A" w14:paraId="31B5E7EB" w14:textId="6D72A749">
      <w:pPr>
        <w:widowControl w:val="0"/>
        <w:numPr>
          <w:ilvl w:val="0"/>
          <w:numId w:val="1"/>
        </w:numPr>
        <w:overflowPunct w:val="0"/>
        <w:autoSpaceDE w:val="0"/>
        <w:autoSpaceDN w:val="0"/>
        <w:adjustRightInd w:val="0"/>
        <w:ind w:hanging="567"/>
        <w:textAlignment w:val="baseline"/>
        <w:rPr>
          <w:sz w:val="24"/>
          <w:szCs w:val="24"/>
        </w:rPr>
      </w:pPr>
      <w:hyperlink w:history="1" r:id="rId42">
        <w:r w:rsidR="00E11732">
          <w:rPr>
            <w:b/>
            <w:i/>
            <w:color w:val="0000FF"/>
            <w:sz w:val="28"/>
            <w:u w:val="single"/>
          </w:rPr>
          <w:t>Direito à reparação</w:t>
        </w:r>
      </w:hyperlink>
    </w:p>
    <w:p w:rsidRPr="001A2632" w:rsidR="001A2632" w:rsidP="001A2632" w:rsidRDefault="001A2632" w14:paraId="2A8EE1FD" w14:textId="77777777">
      <w:pPr>
        <w:tabs>
          <w:tab w:val="center" w:pos="284"/>
        </w:tabs>
        <w:overflowPunct w:val="0"/>
        <w:autoSpaceDE w:val="0"/>
        <w:autoSpaceDN w:val="0"/>
        <w:adjustRightInd w:val="0"/>
        <w:ind w:left="266" w:hanging="266"/>
        <w:textAlignment w:val="baseline"/>
        <w:rPr>
          <w:b/>
        </w:rPr>
      </w:pPr>
    </w:p>
    <w:tbl>
      <w:tblPr>
        <w:tblStyle w:val="TableGrid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1A2632" w:rsidR="001A2632" w:rsidTr="00D97149" w14:paraId="462EB1B0" w14:textId="77777777">
        <w:tc>
          <w:tcPr>
            <w:tcW w:w="1701" w:type="dxa"/>
          </w:tcPr>
          <w:p w:rsidRPr="001A2632" w:rsidR="001A2632" w:rsidP="001A2632" w:rsidRDefault="001A2632" w14:paraId="4680628E" w14:textId="77777777">
            <w:pPr>
              <w:tabs>
                <w:tab w:val="center" w:pos="284"/>
              </w:tabs>
              <w:overflowPunct w:val="0"/>
              <w:autoSpaceDE w:val="0"/>
              <w:autoSpaceDN w:val="0"/>
              <w:adjustRightInd w:val="0"/>
              <w:ind w:left="266" w:hanging="266"/>
              <w:textAlignment w:val="baseline"/>
              <w:rPr>
                <w:b/>
              </w:rPr>
            </w:pPr>
            <w:r>
              <w:rPr>
                <w:b/>
              </w:rPr>
              <w:t>Relator</w:t>
            </w:r>
          </w:p>
        </w:tc>
        <w:tc>
          <w:tcPr>
            <w:tcW w:w="5387" w:type="dxa"/>
          </w:tcPr>
          <w:p w:rsidRPr="001A2632" w:rsidR="001A2632" w:rsidP="001A2632" w:rsidRDefault="001A2632" w14:paraId="4651AB8A" w14:textId="25E50935">
            <w:pPr>
              <w:tabs>
                <w:tab w:val="center" w:pos="284"/>
              </w:tabs>
              <w:overflowPunct w:val="0"/>
              <w:autoSpaceDE w:val="0"/>
              <w:autoSpaceDN w:val="0"/>
              <w:adjustRightInd w:val="0"/>
              <w:ind w:left="266" w:hanging="266"/>
              <w:textAlignment w:val="baseline"/>
            </w:pPr>
            <w:r>
              <w:t>Thierry Libaert (FR – Grupo das Organizações da Sociedade Civil)</w:t>
            </w:r>
          </w:p>
        </w:tc>
      </w:tr>
      <w:tr w:rsidRPr="001A2632" w:rsidR="001A2632" w:rsidTr="00D97149" w14:paraId="4A64D375" w14:textId="77777777">
        <w:tc>
          <w:tcPr>
            <w:tcW w:w="1701" w:type="dxa"/>
          </w:tcPr>
          <w:p w:rsidRPr="001A2632" w:rsidR="001A2632" w:rsidP="001A2632" w:rsidRDefault="001A2632" w14:paraId="08637DA4" w14:textId="77777777">
            <w:pPr>
              <w:tabs>
                <w:tab w:val="center" w:pos="284"/>
              </w:tabs>
              <w:overflowPunct w:val="0"/>
              <w:autoSpaceDE w:val="0"/>
              <w:autoSpaceDN w:val="0"/>
              <w:adjustRightInd w:val="0"/>
              <w:ind w:left="266" w:hanging="266"/>
              <w:textAlignment w:val="baseline"/>
              <w:rPr>
                <w:b/>
              </w:rPr>
            </w:pPr>
            <w:r>
              <w:rPr>
                <w:b/>
              </w:rPr>
              <w:t>Correlatora</w:t>
            </w:r>
          </w:p>
        </w:tc>
        <w:tc>
          <w:tcPr>
            <w:tcW w:w="5387" w:type="dxa"/>
          </w:tcPr>
          <w:p w:rsidRPr="001A2632" w:rsidR="001A2632" w:rsidP="001A2632" w:rsidRDefault="001A2632" w14:paraId="6BD7A1BD" w14:textId="34E9B7C4">
            <w:pPr>
              <w:tabs>
                <w:tab w:val="center" w:pos="284"/>
              </w:tabs>
              <w:overflowPunct w:val="0"/>
              <w:autoSpaceDE w:val="0"/>
              <w:autoSpaceDN w:val="0"/>
              <w:adjustRightInd w:val="0"/>
              <w:ind w:left="266" w:hanging="266"/>
              <w:textAlignment w:val="baseline"/>
            </w:pPr>
            <w:r>
              <w:t>Emilie Prouzet (FR – Grupo dos Empregadores)</w:t>
            </w:r>
          </w:p>
        </w:tc>
      </w:tr>
      <w:tr w:rsidRPr="001A2632" w:rsidR="001A2632" w:rsidTr="00D97149" w14:paraId="408BA504" w14:textId="77777777">
        <w:tc>
          <w:tcPr>
            <w:tcW w:w="7088" w:type="dxa"/>
            <w:gridSpan w:val="2"/>
          </w:tcPr>
          <w:p w:rsidRPr="001A2632" w:rsidR="001A2632" w:rsidP="001A2632" w:rsidRDefault="001A2632" w14:paraId="19111CD4" w14:textId="77777777">
            <w:pPr>
              <w:tabs>
                <w:tab w:val="center" w:pos="284"/>
              </w:tabs>
              <w:overflowPunct w:val="0"/>
              <w:autoSpaceDE w:val="0"/>
              <w:autoSpaceDN w:val="0"/>
              <w:adjustRightInd w:val="0"/>
              <w:spacing w:line="160" w:lineRule="exact"/>
              <w:ind w:left="266" w:hanging="266"/>
              <w:textAlignment w:val="baseline"/>
              <w:rPr>
                <w:lang w:val="sk-SK"/>
              </w:rPr>
            </w:pPr>
          </w:p>
        </w:tc>
      </w:tr>
      <w:tr w:rsidRPr="001A2632" w:rsidR="001A2632" w:rsidTr="00D97149" w14:paraId="445A137B" w14:textId="77777777">
        <w:tc>
          <w:tcPr>
            <w:tcW w:w="1701" w:type="dxa"/>
            <w:vMerge w:val="restart"/>
          </w:tcPr>
          <w:p w:rsidRPr="001A2632" w:rsidR="001A2632" w:rsidP="001A2632" w:rsidRDefault="001A2632" w14:paraId="4846668A" w14:textId="77777777">
            <w:pPr>
              <w:tabs>
                <w:tab w:val="center" w:pos="284"/>
              </w:tabs>
              <w:overflowPunct w:val="0"/>
              <w:autoSpaceDE w:val="0"/>
              <w:autoSpaceDN w:val="0"/>
              <w:adjustRightInd w:val="0"/>
              <w:ind w:left="266" w:hanging="266"/>
              <w:textAlignment w:val="baseline"/>
              <w:rPr>
                <w:b/>
              </w:rPr>
            </w:pPr>
            <w:r>
              <w:rPr>
                <w:b/>
              </w:rPr>
              <w:t xml:space="preserve">Referencias </w:t>
            </w:r>
          </w:p>
        </w:tc>
        <w:tc>
          <w:tcPr>
            <w:tcW w:w="5387" w:type="dxa"/>
          </w:tcPr>
          <w:p w:rsidRPr="001A2632" w:rsidR="001A2632" w:rsidP="001A2632" w:rsidRDefault="001A2632" w14:paraId="4FD89F0A" w14:textId="77777777">
            <w:pPr>
              <w:tabs>
                <w:tab w:val="center" w:pos="284"/>
              </w:tabs>
              <w:overflowPunct w:val="0"/>
              <w:autoSpaceDE w:val="0"/>
              <w:autoSpaceDN w:val="0"/>
              <w:adjustRightInd w:val="0"/>
              <w:ind w:left="266" w:hanging="266"/>
              <w:textAlignment w:val="baseline"/>
            </w:pPr>
            <w:r>
              <w:t>COM(2023) 155 final</w:t>
            </w:r>
          </w:p>
        </w:tc>
      </w:tr>
      <w:tr w:rsidRPr="001A2632" w:rsidR="001A2632" w:rsidTr="00D97149" w14:paraId="2A23B9A2" w14:textId="77777777">
        <w:tc>
          <w:tcPr>
            <w:tcW w:w="1701" w:type="dxa"/>
            <w:vMerge/>
          </w:tcPr>
          <w:p w:rsidRPr="001A2632" w:rsidR="001A2632" w:rsidP="001A2632" w:rsidRDefault="001A2632" w14:paraId="4EAA2F26" w14:textId="77777777">
            <w:pPr>
              <w:tabs>
                <w:tab w:val="center" w:pos="284"/>
              </w:tabs>
              <w:overflowPunct w:val="0"/>
              <w:autoSpaceDE w:val="0"/>
              <w:autoSpaceDN w:val="0"/>
              <w:adjustRightInd w:val="0"/>
              <w:ind w:left="266" w:hanging="266"/>
              <w:textAlignment w:val="baseline"/>
              <w:rPr>
                <w:b/>
              </w:rPr>
            </w:pPr>
          </w:p>
        </w:tc>
        <w:tc>
          <w:tcPr>
            <w:tcW w:w="5387" w:type="dxa"/>
          </w:tcPr>
          <w:p w:rsidRPr="001A2632" w:rsidR="001A2632" w:rsidP="001A2632" w:rsidRDefault="001A2632" w14:paraId="71DF99FF" w14:textId="6A6A4C57">
            <w:pPr>
              <w:tabs>
                <w:tab w:val="center" w:pos="284"/>
              </w:tabs>
              <w:overflowPunct w:val="0"/>
              <w:autoSpaceDE w:val="0"/>
              <w:autoSpaceDN w:val="0"/>
              <w:adjustRightInd w:val="0"/>
              <w:ind w:left="266" w:hanging="266"/>
              <w:textAlignment w:val="baseline"/>
            </w:pPr>
            <w:r>
              <w:t>EESC-2023-01158-00-00-AC</w:t>
            </w:r>
          </w:p>
        </w:tc>
      </w:tr>
    </w:tbl>
    <w:p w:rsidRPr="001A2632" w:rsidR="001A2632" w:rsidP="001A2632" w:rsidRDefault="001A2632" w14:paraId="37954834" w14:textId="77777777">
      <w:pPr>
        <w:tabs>
          <w:tab w:val="center" w:pos="284"/>
        </w:tabs>
        <w:overflowPunct w:val="0"/>
        <w:autoSpaceDE w:val="0"/>
        <w:autoSpaceDN w:val="0"/>
        <w:adjustRightInd w:val="0"/>
        <w:ind w:left="266" w:hanging="266"/>
        <w:textAlignment w:val="baseline"/>
      </w:pPr>
    </w:p>
    <w:p w:rsidRPr="001A2632" w:rsidR="001A2632" w:rsidP="001A2632" w:rsidRDefault="001A2632" w14:paraId="74FFD040"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1A2632" w:rsidR="001A2632" w:rsidP="001A2632" w:rsidRDefault="001A2632" w14:paraId="14E50D88" w14:textId="77777777">
      <w:pPr>
        <w:keepNext/>
        <w:keepLines/>
        <w:tabs>
          <w:tab w:val="center" w:pos="284"/>
        </w:tabs>
        <w:overflowPunct w:val="0"/>
        <w:autoSpaceDE w:val="0"/>
        <w:autoSpaceDN w:val="0"/>
        <w:adjustRightInd w:val="0"/>
        <w:ind w:left="266" w:hanging="266"/>
        <w:textAlignment w:val="baseline"/>
        <w:rPr>
          <w:b/>
        </w:rPr>
      </w:pPr>
    </w:p>
    <w:p w:rsidRPr="001A2632" w:rsidR="001A2632" w:rsidP="001A2632" w:rsidRDefault="001A2632" w14:paraId="3244CBA3" w14:textId="77777777">
      <w:pPr>
        <w:overflowPunct w:val="0"/>
        <w:autoSpaceDE w:val="0"/>
        <w:autoSpaceDN w:val="0"/>
        <w:adjustRightInd w:val="0"/>
        <w:textAlignment w:val="baseline"/>
        <w:rPr>
          <w:bCs/>
          <w:iCs/>
        </w:rPr>
      </w:pPr>
      <w:r>
        <w:t>O Comité Económico e Social Europeu:</w:t>
      </w:r>
    </w:p>
    <w:p w:rsidRPr="001A2632" w:rsidR="001A2632" w:rsidP="001A2632" w:rsidRDefault="001A2632" w14:paraId="1444ECA8" w14:textId="77777777">
      <w:pPr>
        <w:overflowPunct w:val="0"/>
        <w:autoSpaceDE w:val="0"/>
        <w:autoSpaceDN w:val="0"/>
        <w:adjustRightInd w:val="0"/>
        <w:textAlignment w:val="baseline"/>
        <w:rPr>
          <w:bCs/>
          <w:iCs/>
        </w:rPr>
      </w:pPr>
    </w:p>
    <w:p w:rsidRPr="001A2632" w:rsidR="001A2632" w:rsidP="00A2086E" w:rsidRDefault="001A2632" w14:paraId="3337A49A"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rPr>
          <w:b/>
        </w:rPr>
        <w:t>felicita</w:t>
      </w:r>
      <w:r>
        <w:t xml:space="preserve"> a Comissão pelo pacote de </w:t>
      </w:r>
      <w:r>
        <w:rPr>
          <w:b/>
        </w:rPr>
        <w:t>propostas que visa facilitar a reparabilidade dos produtos</w:t>
      </w:r>
      <w:r>
        <w:t xml:space="preserve"> e tornar a possibilidade de reparação efetiva e atempada tomando medidas desde a conceção até ao fim do ciclo de vida do produto; </w:t>
      </w:r>
    </w:p>
    <w:p w:rsidRPr="001A2632" w:rsidR="001A2632" w:rsidP="00A2086E" w:rsidRDefault="001A2632" w14:paraId="78B26AEE"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salienta que uma melhor informação dos consumidores pode reforçar o direito à reparação: a criação de uma </w:t>
      </w:r>
      <w:r>
        <w:rPr>
          <w:b/>
        </w:rPr>
        <w:t>plataforma nacional</w:t>
      </w:r>
      <w:r>
        <w:t xml:space="preserve"> que reúna todas as informações é positiva, mas é necessário especificar as condições para a sua criação e atualização;</w:t>
      </w:r>
    </w:p>
    <w:p w:rsidRPr="001A2632" w:rsidR="001A2632" w:rsidP="00A2086E" w:rsidRDefault="001A2632" w14:paraId="6FBD1522"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considera que o reforço da obrigação de reparação por parte do distribuidor deve ser acompanhado de uma verdadeira </w:t>
      </w:r>
      <w:r>
        <w:rPr>
          <w:b/>
        </w:rPr>
        <w:t>aplicação do direito de recurso deste último em relação ao fabricante</w:t>
      </w:r>
      <w:r>
        <w:t xml:space="preserve"> (nomeadamente no que diz respeito a peças sobresselentes e custos);</w:t>
      </w:r>
    </w:p>
    <w:p w:rsidRPr="001A2632" w:rsidR="001A2632" w:rsidP="00A2086E" w:rsidRDefault="001A2632" w14:paraId="43E0B01D"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insta a Comissão, no contexto da modernização em curso do quadro em matéria de propriedade intelectual, a avaliar a oportunidade de </w:t>
      </w:r>
      <w:r>
        <w:rPr>
          <w:b/>
        </w:rPr>
        <w:t>promover a partilha de dados para as peças sobresselentes e a reparabilidade dos produtos</w:t>
      </w:r>
      <w:r>
        <w:t>;</w:t>
      </w:r>
    </w:p>
    <w:p w:rsidRPr="001A2632" w:rsidR="001A2632" w:rsidP="00A2086E" w:rsidRDefault="001A2632" w14:paraId="1DD11EA1"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entende que o direito à reparação deve também basear-se na </w:t>
      </w:r>
      <w:r>
        <w:rPr>
          <w:b/>
        </w:rPr>
        <w:t>proibição de práticas intencionais, nomeadamente a serialização</w:t>
      </w:r>
      <w:r>
        <w:t>, que constituam um obstáculo à reparação;</w:t>
      </w:r>
    </w:p>
    <w:p w:rsidRPr="001A2632" w:rsidR="001A2632" w:rsidP="00A2086E" w:rsidRDefault="001A2632" w14:paraId="7A90D503" w14:textId="77777777">
      <w:pPr>
        <w:numPr>
          <w:ilvl w:val="0"/>
          <w:numId w:val="28"/>
        </w:numPr>
        <w:overflowPunct w:val="0"/>
        <w:autoSpaceDE w:val="0"/>
        <w:autoSpaceDN w:val="0"/>
        <w:adjustRightInd w:val="0"/>
        <w:spacing w:after="200" w:line="276" w:lineRule="auto"/>
        <w:ind w:left="426" w:hanging="426"/>
        <w:contextualSpacing/>
        <w:textAlignment w:val="baseline"/>
        <w:rPr>
          <w:rFonts w:asciiTheme="minorHAnsi" w:hAnsiTheme="minorHAnsi"/>
          <w:szCs w:val="20"/>
        </w:rPr>
      </w:pPr>
      <w:r>
        <w:t xml:space="preserve">considera que o custo é um dos principais obstáculos à reparação, pelo que defende a adoção de medidas destinadas a </w:t>
      </w:r>
      <w:r>
        <w:rPr>
          <w:b/>
        </w:rPr>
        <w:t>tornar o mercado de materiais em segunda mão</w:t>
      </w:r>
      <w:r>
        <w:t xml:space="preserve"> e de peças sobresselentes seguras e recicladas </w:t>
      </w:r>
      <w:r>
        <w:rPr>
          <w:b/>
        </w:rPr>
        <w:t>mais competitivo</w:t>
      </w:r>
      <w:r>
        <w:t xml:space="preserve"> através do reforço das suas infraestruturas e da adoção de legislação adequada.</w:t>
      </w:r>
    </w:p>
    <w:p w:rsidRPr="001A2632" w:rsidR="001A2632" w:rsidP="001A2632" w:rsidRDefault="001A2632" w14:paraId="2148BBB8" w14:textId="77777777">
      <w:pPr>
        <w:widowControl w:val="0"/>
        <w:overflowPunct w:val="0"/>
        <w:autoSpaceDE w:val="0"/>
        <w:autoSpaceDN w:val="0"/>
        <w:adjustRightInd w:val="0"/>
        <w:ind w:left="709"/>
        <w:textAlignment w:val="baseline"/>
        <w:rPr>
          <w:szCs w:val="20"/>
        </w:rPr>
      </w:pPr>
    </w:p>
    <w:tbl>
      <w:tblPr>
        <w:tblStyle w:val="TableGrid46"/>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1A2632" w:rsidR="001A2632" w:rsidTr="00D97149" w14:paraId="14C4A09A" w14:textId="77777777">
        <w:tc>
          <w:tcPr>
            <w:tcW w:w="1418" w:type="dxa"/>
          </w:tcPr>
          <w:p w:rsidRPr="001A2632" w:rsidR="001A2632" w:rsidP="00A2086E" w:rsidRDefault="001A2632" w14:paraId="7E563D69" w14:textId="77777777">
            <w:pPr>
              <w:overflowPunct w:val="0"/>
              <w:autoSpaceDE w:val="0"/>
              <w:autoSpaceDN w:val="0"/>
              <w:adjustRightInd w:val="0"/>
              <w:spacing w:line="240" w:lineRule="auto"/>
              <w:ind w:hanging="110"/>
              <w:textAlignment w:val="baseline"/>
              <w:rPr>
                <w:i/>
              </w:rPr>
            </w:pPr>
            <w:r>
              <w:rPr>
                <w:b/>
                <w:i/>
              </w:rPr>
              <w:t>Contacto</w:t>
            </w:r>
          </w:p>
        </w:tc>
        <w:tc>
          <w:tcPr>
            <w:tcW w:w="5670" w:type="dxa"/>
          </w:tcPr>
          <w:p w:rsidRPr="001A2632" w:rsidR="001A2632" w:rsidP="00A2086E" w:rsidRDefault="001A2632" w14:paraId="4D7ECE7E" w14:textId="77777777">
            <w:pPr>
              <w:overflowPunct w:val="0"/>
              <w:autoSpaceDE w:val="0"/>
              <w:autoSpaceDN w:val="0"/>
              <w:adjustRightInd w:val="0"/>
              <w:spacing w:line="240" w:lineRule="auto"/>
              <w:ind w:hanging="110"/>
              <w:textAlignment w:val="baseline"/>
              <w:rPr>
                <w:i/>
              </w:rPr>
            </w:pPr>
            <w:r>
              <w:rPr>
                <w:i/>
              </w:rPr>
              <w:t>Dalila Bernard</w:t>
            </w:r>
          </w:p>
        </w:tc>
      </w:tr>
      <w:tr w:rsidRPr="001A2632" w:rsidR="001A2632" w:rsidTr="00D97149" w14:paraId="43CC6438" w14:textId="77777777">
        <w:tc>
          <w:tcPr>
            <w:tcW w:w="1418" w:type="dxa"/>
          </w:tcPr>
          <w:p w:rsidRPr="001A2632" w:rsidR="001A2632" w:rsidP="00A2086E" w:rsidRDefault="001A2632" w14:paraId="5651EBD7" w14:textId="77777777">
            <w:pPr>
              <w:overflowPunct w:val="0"/>
              <w:autoSpaceDE w:val="0"/>
              <w:autoSpaceDN w:val="0"/>
              <w:adjustRightInd w:val="0"/>
              <w:spacing w:line="240" w:lineRule="auto"/>
              <w:ind w:hanging="110"/>
              <w:textAlignment w:val="baseline"/>
              <w:rPr>
                <w:i/>
              </w:rPr>
            </w:pPr>
            <w:r>
              <w:rPr>
                <w:i/>
              </w:rPr>
              <w:t>Tel.</w:t>
            </w:r>
          </w:p>
        </w:tc>
        <w:tc>
          <w:tcPr>
            <w:tcW w:w="5670" w:type="dxa"/>
          </w:tcPr>
          <w:p w:rsidRPr="001A2632" w:rsidR="001A2632" w:rsidP="00A2086E" w:rsidRDefault="001A2632" w14:paraId="1FD18447" w14:textId="77777777">
            <w:pPr>
              <w:overflowPunct w:val="0"/>
              <w:autoSpaceDE w:val="0"/>
              <w:autoSpaceDN w:val="0"/>
              <w:adjustRightInd w:val="0"/>
              <w:spacing w:line="240" w:lineRule="auto"/>
              <w:ind w:hanging="110"/>
              <w:textAlignment w:val="baseline"/>
              <w:rPr>
                <w:i/>
              </w:rPr>
            </w:pPr>
            <w:r>
              <w:rPr>
                <w:i/>
              </w:rPr>
              <w:t>+ 32 2 546 8438</w:t>
            </w:r>
          </w:p>
        </w:tc>
      </w:tr>
      <w:tr w:rsidRPr="001A2632" w:rsidR="001A2632" w:rsidTr="00D97149" w14:paraId="541BEF78" w14:textId="77777777">
        <w:tc>
          <w:tcPr>
            <w:tcW w:w="1418" w:type="dxa"/>
          </w:tcPr>
          <w:p w:rsidRPr="001A2632" w:rsidR="001A2632" w:rsidP="00A2086E" w:rsidRDefault="009A1B51" w14:paraId="132D9CAD" w14:textId="0AFF95C7">
            <w:pPr>
              <w:overflowPunct w:val="0"/>
              <w:autoSpaceDE w:val="0"/>
              <w:autoSpaceDN w:val="0"/>
              <w:adjustRightInd w:val="0"/>
              <w:spacing w:line="240" w:lineRule="auto"/>
              <w:ind w:hanging="110"/>
              <w:textAlignment w:val="baseline"/>
              <w:rPr>
                <w:i/>
              </w:rPr>
            </w:pPr>
            <w:r>
              <w:rPr>
                <w:i/>
              </w:rPr>
              <w:t>Endereço eletrónico</w:t>
            </w:r>
          </w:p>
        </w:tc>
        <w:tc>
          <w:tcPr>
            <w:tcW w:w="5670" w:type="dxa"/>
          </w:tcPr>
          <w:p w:rsidRPr="001A2632" w:rsidR="001A2632" w:rsidP="00A2086E" w:rsidRDefault="007E421A" w14:paraId="57E054A4" w14:textId="77777777">
            <w:pPr>
              <w:overflowPunct w:val="0"/>
              <w:autoSpaceDE w:val="0"/>
              <w:autoSpaceDN w:val="0"/>
              <w:adjustRightInd w:val="0"/>
              <w:spacing w:line="240" w:lineRule="auto"/>
              <w:ind w:hanging="110"/>
              <w:textAlignment w:val="baseline"/>
              <w:rPr>
                <w:i/>
                <w:iCs/>
              </w:rPr>
            </w:pPr>
            <w:hyperlink w:history="1" r:id="rId43">
              <w:r w:rsidR="00E11732">
                <w:rPr>
                  <w:i/>
                  <w:color w:val="0000FF"/>
                  <w:u w:val="single"/>
                </w:rPr>
                <w:t>Dalila.Bernard@eesc.europa.eu</w:t>
              </w:r>
            </w:hyperlink>
          </w:p>
        </w:tc>
      </w:tr>
    </w:tbl>
    <w:p w:rsidRPr="005463FF" w:rsidR="00C14111" w:rsidP="00C14111" w:rsidRDefault="00C14111" w14:paraId="0CEB92EA" w14:textId="3F96B5A1">
      <w:pPr>
        <w:spacing w:after="160" w:line="259" w:lineRule="auto"/>
        <w:jc w:val="left"/>
        <w:rPr>
          <w:sz w:val="16"/>
          <w:szCs w:val="16"/>
        </w:rPr>
      </w:pPr>
      <w:r>
        <w:br w:type="page"/>
      </w:r>
    </w:p>
    <w:p w:rsidRPr="005463FF" w:rsidR="004C3902" w:rsidP="0076753A" w:rsidRDefault="008E2A59" w14:paraId="7AD922B6" w14:textId="4FE5D4DB">
      <w:pPr>
        <w:pStyle w:val="Heading1"/>
        <w:numPr>
          <w:ilvl w:val="0"/>
          <w:numId w:val="3"/>
        </w:numPr>
        <w:ind w:hanging="578"/>
        <w:rPr>
          <w:b/>
        </w:rPr>
      </w:pPr>
      <w:bookmarkStart w:name="_Toc136006470" w:id="3"/>
      <w:r>
        <w:rPr>
          <w:b/>
        </w:rPr>
        <w:lastRenderedPageBreak/>
        <w:t>AGRICULTURA, DESENVOLVIMENTO RURAL E AMBIENTE</w:t>
      </w:r>
      <w:bookmarkEnd w:id="3"/>
    </w:p>
    <w:p w:rsidRPr="005463FF" w:rsidR="008E2A59" w:rsidRDefault="008E2A59" w14:paraId="179466E5" w14:textId="77777777">
      <w:pPr>
        <w:spacing w:after="160" w:line="259" w:lineRule="auto"/>
        <w:jc w:val="left"/>
        <w:rPr>
          <w:b/>
          <w:iCs/>
        </w:rPr>
      </w:pPr>
    </w:p>
    <w:p w:rsidRPr="0076753A" w:rsidR="0076753A" w:rsidP="00A2086E" w:rsidRDefault="007E421A" w14:paraId="74E498CF" w14:textId="16C63F91">
      <w:pPr>
        <w:widowControl w:val="0"/>
        <w:numPr>
          <w:ilvl w:val="0"/>
          <w:numId w:val="11"/>
        </w:numPr>
        <w:overflowPunct w:val="0"/>
        <w:autoSpaceDE w:val="0"/>
        <w:autoSpaceDN w:val="0"/>
        <w:adjustRightInd w:val="0"/>
        <w:spacing w:after="200" w:line="276" w:lineRule="auto"/>
        <w:ind w:left="567" w:hanging="425"/>
        <w:contextualSpacing/>
        <w:jc w:val="left"/>
        <w:textAlignment w:val="baseline"/>
        <w:rPr>
          <w:rFonts w:ascii="Calibri" w:hAnsi="Calibri"/>
          <w:b/>
          <w:bCs/>
          <w:i/>
          <w:iCs/>
          <w:sz w:val="28"/>
          <w:szCs w:val="28"/>
        </w:rPr>
      </w:pPr>
      <w:hyperlink w:history="1" r:id="rId44">
        <w:r w:rsidR="0076753A">
          <w:rPr>
            <w:b/>
            <w:i/>
            <w:color w:val="0000FF"/>
            <w:sz w:val="28"/>
            <w:u w:val="single"/>
          </w:rPr>
          <w:t>Rotulagem digital dos produtos fertilizantes UE</w:t>
        </w:r>
      </w:hyperlink>
    </w:p>
    <w:p w:rsidRPr="0076753A" w:rsidR="0076753A" w:rsidP="0076753A" w:rsidRDefault="0076753A" w14:paraId="00C727B7" w14:textId="77777777">
      <w:pPr>
        <w:tabs>
          <w:tab w:val="center" w:pos="284"/>
        </w:tabs>
        <w:overflowPunct w:val="0"/>
        <w:autoSpaceDE w:val="0"/>
        <w:autoSpaceDN w:val="0"/>
        <w:adjustRightInd w:val="0"/>
        <w:ind w:left="266" w:hanging="266"/>
        <w:textAlignment w:val="baseline"/>
        <w:rPr>
          <w:b/>
        </w:rPr>
      </w:pPr>
    </w:p>
    <w:tbl>
      <w:tblPr>
        <w:tblStyle w:val="TableGrid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76753A" w:rsidR="0076753A" w:rsidTr="00D97149" w14:paraId="2E457466" w14:textId="77777777">
        <w:tc>
          <w:tcPr>
            <w:tcW w:w="1701" w:type="dxa"/>
          </w:tcPr>
          <w:p w:rsidRPr="0076753A" w:rsidR="0076753A" w:rsidP="0076753A" w:rsidRDefault="0076753A" w14:paraId="734B3F90" w14:textId="77777777">
            <w:pPr>
              <w:tabs>
                <w:tab w:val="center" w:pos="284"/>
              </w:tabs>
              <w:overflowPunct w:val="0"/>
              <w:autoSpaceDE w:val="0"/>
              <w:autoSpaceDN w:val="0"/>
              <w:adjustRightInd w:val="0"/>
              <w:ind w:left="266" w:hanging="266"/>
              <w:textAlignment w:val="baseline"/>
              <w:rPr>
                <w:b/>
              </w:rPr>
            </w:pPr>
            <w:r>
              <w:rPr>
                <w:b/>
              </w:rPr>
              <w:t>Relator</w:t>
            </w:r>
          </w:p>
        </w:tc>
        <w:tc>
          <w:tcPr>
            <w:tcW w:w="5387" w:type="dxa"/>
          </w:tcPr>
          <w:p w:rsidRPr="0076753A" w:rsidR="0076753A" w:rsidP="0076753A" w:rsidRDefault="0076753A" w14:paraId="28D27E56" w14:textId="4E815C17">
            <w:pPr>
              <w:tabs>
                <w:tab w:val="center" w:pos="284"/>
              </w:tabs>
              <w:overflowPunct w:val="0"/>
              <w:autoSpaceDE w:val="0"/>
              <w:autoSpaceDN w:val="0"/>
              <w:adjustRightInd w:val="0"/>
              <w:ind w:left="266" w:hanging="266"/>
              <w:textAlignment w:val="baseline"/>
            </w:pPr>
            <w:r>
              <w:t>John Comer (IE – Grupo das Organizações da Sociedade Civil)</w:t>
            </w:r>
          </w:p>
        </w:tc>
      </w:tr>
      <w:tr w:rsidRPr="0076753A" w:rsidR="0076753A" w:rsidTr="00D97149" w14:paraId="43F0E6CB" w14:textId="77777777">
        <w:tc>
          <w:tcPr>
            <w:tcW w:w="7088" w:type="dxa"/>
            <w:gridSpan w:val="2"/>
          </w:tcPr>
          <w:p w:rsidRPr="0076753A" w:rsidR="0076753A" w:rsidP="0076753A" w:rsidRDefault="0076753A" w14:paraId="398F27A6" w14:textId="77777777">
            <w:pPr>
              <w:tabs>
                <w:tab w:val="center" w:pos="284"/>
              </w:tabs>
              <w:overflowPunct w:val="0"/>
              <w:autoSpaceDE w:val="0"/>
              <w:autoSpaceDN w:val="0"/>
              <w:adjustRightInd w:val="0"/>
              <w:spacing w:line="160" w:lineRule="exact"/>
              <w:ind w:left="266" w:hanging="266"/>
              <w:textAlignment w:val="baseline"/>
            </w:pPr>
          </w:p>
        </w:tc>
      </w:tr>
      <w:tr w:rsidRPr="0076753A" w:rsidR="0076753A" w:rsidTr="00D97149" w14:paraId="4523C706" w14:textId="77777777">
        <w:tc>
          <w:tcPr>
            <w:tcW w:w="1701" w:type="dxa"/>
          </w:tcPr>
          <w:p w:rsidRPr="0076753A" w:rsidR="0076753A" w:rsidP="0076753A" w:rsidRDefault="0076753A" w14:paraId="0BD2CB46" w14:textId="77777777">
            <w:pPr>
              <w:tabs>
                <w:tab w:val="center" w:pos="284"/>
              </w:tabs>
              <w:overflowPunct w:val="0"/>
              <w:autoSpaceDE w:val="0"/>
              <w:autoSpaceDN w:val="0"/>
              <w:adjustRightInd w:val="0"/>
              <w:ind w:left="266" w:hanging="266"/>
              <w:textAlignment w:val="baseline"/>
              <w:rPr>
                <w:b/>
              </w:rPr>
            </w:pPr>
            <w:r>
              <w:rPr>
                <w:b/>
              </w:rPr>
              <w:t>Referências</w:t>
            </w:r>
          </w:p>
        </w:tc>
        <w:tc>
          <w:tcPr>
            <w:tcW w:w="5387" w:type="dxa"/>
          </w:tcPr>
          <w:p w:rsidR="00B06EFC" w:rsidP="00B06EFC" w:rsidRDefault="0076753A" w14:paraId="2BFC8748" w14:textId="2AB4C869">
            <w:pPr>
              <w:tabs>
                <w:tab w:val="center" w:pos="284"/>
              </w:tabs>
              <w:overflowPunct w:val="0"/>
              <w:autoSpaceDE w:val="0"/>
              <w:autoSpaceDN w:val="0"/>
              <w:adjustRightInd w:val="0"/>
              <w:ind w:left="266" w:hanging="266"/>
              <w:textAlignment w:val="baseline"/>
            </w:pPr>
            <w:r>
              <w:t xml:space="preserve">COM(2023) 98 final </w:t>
            </w:r>
          </w:p>
          <w:p w:rsidRPr="0076753A" w:rsidR="0076753A" w:rsidRDefault="00B06EFC" w14:paraId="3EF481C9" w14:textId="29167451">
            <w:pPr>
              <w:tabs>
                <w:tab w:val="center" w:pos="284"/>
              </w:tabs>
              <w:overflowPunct w:val="0"/>
              <w:autoSpaceDE w:val="0"/>
              <w:autoSpaceDN w:val="0"/>
              <w:adjustRightInd w:val="0"/>
              <w:ind w:left="266" w:hanging="266"/>
              <w:textAlignment w:val="baseline"/>
            </w:pPr>
            <w:r>
              <w:t>EESC-2023-01740-00-00-AC</w:t>
            </w:r>
          </w:p>
        </w:tc>
      </w:tr>
    </w:tbl>
    <w:p w:rsidRPr="0076753A" w:rsidR="0076753A" w:rsidP="0076753A" w:rsidRDefault="0076753A" w14:paraId="08970434" w14:textId="77777777">
      <w:pPr>
        <w:keepNext/>
        <w:keepLines/>
        <w:tabs>
          <w:tab w:val="center" w:pos="284"/>
        </w:tabs>
        <w:overflowPunct w:val="0"/>
        <w:autoSpaceDE w:val="0"/>
        <w:autoSpaceDN w:val="0"/>
        <w:adjustRightInd w:val="0"/>
        <w:ind w:left="266" w:hanging="266"/>
        <w:textAlignment w:val="baseline"/>
        <w:rPr>
          <w:b/>
        </w:rPr>
      </w:pPr>
    </w:p>
    <w:p w:rsidRPr="0076753A" w:rsidR="0076753A" w:rsidRDefault="0076753A" w14:paraId="2488FC42" w14:textId="77777777">
      <w:pPr>
        <w:keepNext/>
        <w:keepLines/>
        <w:overflowPunct w:val="0"/>
        <w:autoSpaceDE w:val="0"/>
        <w:autoSpaceDN w:val="0"/>
        <w:adjustRightInd w:val="0"/>
        <w:ind w:left="266" w:hanging="124"/>
        <w:textAlignment w:val="baseline"/>
        <w:rPr>
          <w:b/>
        </w:rPr>
      </w:pPr>
      <w:r>
        <w:rPr>
          <w:b/>
        </w:rPr>
        <w:t>Pontos principais</w:t>
      </w:r>
    </w:p>
    <w:p w:rsidRPr="0076753A" w:rsidR="0076753A" w:rsidP="00A2086E" w:rsidRDefault="0076753A" w14:paraId="364240C0" w14:textId="77777777">
      <w:pPr>
        <w:keepNext/>
        <w:keepLines/>
        <w:tabs>
          <w:tab w:val="center" w:pos="284"/>
        </w:tabs>
        <w:overflowPunct w:val="0"/>
        <w:autoSpaceDE w:val="0"/>
        <w:autoSpaceDN w:val="0"/>
        <w:adjustRightInd w:val="0"/>
        <w:ind w:left="266" w:hanging="124"/>
        <w:textAlignment w:val="baseline"/>
        <w:rPr>
          <w:b/>
        </w:rPr>
      </w:pPr>
    </w:p>
    <w:p w:rsidRPr="0076753A" w:rsidR="0076753A" w:rsidRDefault="0076753A" w14:paraId="26BAD83F" w14:textId="77777777">
      <w:pPr>
        <w:overflowPunct w:val="0"/>
        <w:autoSpaceDE w:val="0"/>
        <w:autoSpaceDN w:val="0"/>
        <w:adjustRightInd w:val="0"/>
        <w:ind w:firstLine="142"/>
        <w:textAlignment w:val="baseline"/>
        <w:rPr>
          <w:bCs/>
          <w:iCs/>
        </w:rPr>
      </w:pPr>
      <w:r>
        <w:t>O Comité Económico e Social Europeu:</w:t>
      </w:r>
    </w:p>
    <w:p w:rsidRPr="0076753A" w:rsidR="0076753A" w:rsidP="0076753A" w:rsidRDefault="0076753A" w14:paraId="6906C233" w14:textId="77777777">
      <w:pPr>
        <w:overflowPunct w:val="0"/>
        <w:autoSpaceDE w:val="0"/>
        <w:autoSpaceDN w:val="0"/>
        <w:adjustRightInd w:val="0"/>
        <w:ind w:firstLine="142"/>
        <w:textAlignment w:val="baseline"/>
        <w:rPr>
          <w:bCs/>
          <w:iCs/>
        </w:rPr>
      </w:pPr>
    </w:p>
    <w:p w:rsidRPr="0076753A" w:rsidR="0076753A" w:rsidP="00A2086E" w:rsidRDefault="00E13E01" w14:paraId="43550C26" w14:textId="70B17D0C">
      <w:pPr>
        <w:numPr>
          <w:ilvl w:val="0"/>
          <w:numId w:val="30"/>
        </w:numPr>
        <w:overflowPunct w:val="0"/>
        <w:autoSpaceDE w:val="0"/>
        <w:autoSpaceDN w:val="0"/>
        <w:adjustRightInd w:val="0"/>
        <w:spacing w:after="200" w:line="276" w:lineRule="auto"/>
        <w:ind w:hanging="578"/>
        <w:contextualSpacing/>
        <w:textAlignment w:val="baseline"/>
        <w:rPr>
          <w:bCs/>
          <w:iCs/>
        </w:rPr>
      </w:pPr>
      <w:r>
        <w:t>considera que a rotulagem digital voluntária dos produtos fertilizantes é uma evolução muito positiva, cabendo envidar todos os esforços para incentivar os operadores económicos a aderirem à rotulagem digital;</w:t>
      </w:r>
    </w:p>
    <w:p w:rsidRPr="0076753A" w:rsidR="0076753A" w:rsidP="00A2086E" w:rsidRDefault="00E13E01" w14:paraId="30BFDDAE" w14:textId="7121A0FB">
      <w:pPr>
        <w:numPr>
          <w:ilvl w:val="0"/>
          <w:numId w:val="30"/>
        </w:numPr>
        <w:overflowPunct w:val="0"/>
        <w:autoSpaceDE w:val="0"/>
        <w:autoSpaceDN w:val="0"/>
        <w:adjustRightInd w:val="0"/>
        <w:spacing w:after="200" w:line="276" w:lineRule="auto"/>
        <w:ind w:hanging="578"/>
        <w:contextualSpacing/>
        <w:textAlignment w:val="baseline"/>
        <w:rPr>
          <w:bCs/>
          <w:iCs/>
        </w:rPr>
      </w:pPr>
      <w:r>
        <w:t>chama a atenção para o risco da divisão digital: a digitalização pode deixar alguns grupos vulneráveis ainda mais isolados, apesar da disposição que prevê a disponibilização de uma alternativa ao rótulo digital mediante pedido. Aconselha-se o estabelecimento de um calendário e de maior clareza quanto à forma como esta alternativa estaria disponível na prática;</w:t>
      </w:r>
    </w:p>
    <w:p w:rsidRPr="0076753A" w:rsidR="0076753A" w:rsidP="00A2086E" w:rsidRDefault="00E13E01" w14:paraId="4BA827D0" w14:textId="05B817B3">
      <w:pPr>
        <w:numPr>
          <w:ilvl w:val="0"/>
          <w:numId w:val="30"/>
        </w:numPr>
        <w:overflowPunct w:val="0"/>
        <w:autoSpaceDE w:val="0"/>
        <w:autoSpaceDN w:val="0"/>
        <w:adjustRightInd w:val="0"/>
        <w:spacing w:after="200" w:line="276" w:lineRule="auto"/>
        <w:ind w:hanging="578"/>
        <w:contextualSpacing/>
        <w:textAlignment w:val="baseline"/>
        <w:rPr>
          <w:bCs/>
          <w:iCs/>
        </w:rPr>
      </w:pPr>
      <w:r>
        <w:t>realça que os operadores económicos que adotam a rotulagem digital devem adotar medidas específicas que vão além do conteúdo da proposta da Comissão no sentido de recomendar e incentivar a consulta do rótulo digital pelos utilizadores finais;</w:t>
      </w:r>
    </w:p>
    <w:p w:rsidRPr="0076753A" w:rsidR="0076753A" w:rsidP="00A2086E" w:rsidRDefault="00E13E01" w14:paraId="0D0C3AF8" w14:textId="65B9C579">
      <w:pPr>
        <w:numPr>
          <w:ilvl w:val="0"/>
          <w:numId w:val="30"/>
        </w:numPr>
        <w:overflowPunct w:val="0"/>
        <w:autoSpaceDE w:val="0"/>
        <w:autoSpaceDN w:val="0"/>
        <w:adjustRightInd w:val="0"/>
        <w:spacing w:after="200" w:line="276" w:lineRule="auto"/>
        <w:ind w:hanging="578"/>
        <w:contextualSpacing/>
        <w:textAlignment w:val="baseline"/>
        <w:rPr>
          <w:bCs/>
          <w:iCs/>
        </w:rPr>
      </w:pPr>
      <w:r>
        <w:t>frisa que alguns utilizadores finais manifestam preocupação com a possibilidade de um rastreio excessivo decorrente da consulta dos sítios Internet em que estão disponíveis os rótulos digitais e salienta que é necessário dar garantias adequadas de que não haverá um rastreio desnecessário;</w:t>
      </w:r>
    </w:p>
    <w:p w:rsidR="0076753A" w:rsidP="005414B4" w:rsidRDefault="00E13E01" w14:paraId="293EFEDB" w14:textId="22D9A3CE">
      <w:pPr>
        <w:numPr>
          <w:ilvl w:val="0"/>
          <w:numId w:val="30"/>
        </w:numPr>
        <w:overflowPunct w:val="0"/>
        <w:autoSpaceDE w:val="0"/>
        <w:autoSpaceDN w:val="0"/>
        <w:adjustRightInd w:val="0"/>
        <w:spacing w:after="200" w:line="276" w:lineRule="auto"/>
        <w:ind w:hanging="578"/>
        <w:contextualSpacing/>
        <w:textAlignment w:val="baseline"/>
        <w:rPr>
          <w:bCs/>
          <w:iCs/>
        </w:rPr>
      </w:pPr>
      <w:r>
        <w:t>acolhe favoravelmente a proposta em apreço, uma vez que se centra na melhoria da utilização eficiente dos produtos fertilizantes, na redução dos custos e na promoção da digitalização do setor agrícola, que são elementos positivos.</w:t>
      </w:r>
    </w:p>
    <w:p w:rsidR="00011846" w:rsidP="00682BBF" w:rsidRDefault="00011846" w14:paraId="4CE96770" w14:textId="77777777">
      <w:pPr>
        <w:overflowPunct w:val="0"/>
        <w:autoSpaceDE w:val="0"/>
        <w:autoSpaceDN w:val="0"/>
        <w:adjustRightInd w:val="0"/>
        <w:spacing w:after="200" w:line="276" w:lineRule="auto"/>
        <w:ind w:left="1134" w:hanging="425"/>
        <w:contextualSpacing/>
        <w:textAlignment w:val="baseline"/>
        <w:rPr>
          <w:bCs/>
          <w:iCs/>
          <w:lang w:eastAsia="zh-CN"/>
        </w:rPr>
      </w:pPr>
    </w:p>
    <w:p w:rsidR="00682BBF" w:rsidP="00A2086E" w:rsidRDefault="0076753A" w14:paraId="26C18AA2" w14:textId="19AE29C7">
      <w:pPr>
        <w:overflowPunct w:val="0"/>
        <w:autoSpaceDE w:val="0"/>
        <w:autoSpaceDN w:val="0"/>
        <w:adjustRightInd w:val="0"/>
        <w:spacing w:after="200" w:line="276" w:lineRule="auto"/>
        <w:ind w:left="1134" w:hanging="425"/>
        <w:contextualSpacing/>
        <w:textAlignment w:val="baseline"/>
        <w:rPr>
          <w:bCs/>
          <w:iCs/>
        </w:rPr>
      </w:pPr>
      <w:r>
        <w:t>Observa que:</w:t>
      </w:r>
    </w:p>
    <w:p w:rsidR="00621329" w:rsidP="005D0AAB" w:rsidRDefault="0076753A" w14:paraId="477114B0" w14:textId="227CC9C7">
      <w:pPr>
        <w:numPr>
          <w:ilvl w:val="0"/>
          <w:numId w:val="31"/>
        </w:numPr>
        <w:overflowPunct w:val="0"/>
        <w:autoSpaceDE w:val="0"/>
        <w:autoSpaceDN w:val="0"/>
        <w:adjustRightInd w:val="0"/>
        <w:spacing w:after="200" w:line="276" w:lineRule="auto"/>
        <w:ind w:left="1134" w:hanging="425"/>
        <w:contextualSpacing/>
        <w:textAlignment w:val="baseline"/>
        <w:rPr>
          <w:bCs/>
          <w:iCs/>
        </w:rPr>
      </w:pPr>
      <w:r>
        <w:t>cabe destacar tanto no rótulo físico como no rótulo digital a recomendação de se proceder à análise dos solos antes da utilização de produtos fertilizantes. Tal ação seria benéfica para o ambiente e pouparia dinheiro;</w:t>
      </w:r>
    </w:p>
    <w:p w:rsidRPr="00193D92" w:rsidR="00621329" w:rsidP="00A2086E" w:rsidRDefault="0076753A" w14:paraId="5CBF6DFA" w14:textId="77F833DC">
      <w:pPr>
        <w:numPr>
          <w:ilvl w:val="0"/>
          <w:numId w:val="31"/>
        </w:numPr>
        <w:overflowPunct w:val="0"/>
        <w:autoSpaceDE w:val="0"/>
        <w:autoSpaceDN w:val="0"/>
        <w:adjustRightInd w:val="0"/>
        <w:spacing w:after="200" w:line="276" w:lineRule="auto"/>
        <w:ind w:left="1134" w:hanging="425"/>
        <w:contextualSpacing/>
        <w:textAlignment w:val="baseline"/>
        <w:rPr>
          <w:bCs/>
          <w:iCs/>
        </w:rPr>
      </w:pPr>
      <w:r>
        <w:t>importa definir na proposta o aspeto visual e o formato dos rótulos físicos, incluindo o tamanho mínimo dos caracteres, a fim de assegurar uma comunicação mais clara;</w:t>
      </w:r>
    </w:p>
    <w:p w:rsidRPr="00A2086E" w:rsidR="0076753A" w:rsidP="00A2086E" w:rsidRDefault="0076753A" w14:paraId="5288220A" w14:textId="07EA7CF4">
      <w:pPr>
        <w:numPr>
          <w:ilvl w:val="0"/>
          <w:numId w:val="31"/>
        </w:numPr>
        <w:overflowPunct w:val="0"/>
        <w:autoSpaceDE w:val="0"/>
        <w:autoSpaceDN w:val="0"/>
        <w:adjustRightInd w:val="0"/>
        <w:spacing w:after="200" w:line="276" w:lineRule="auto"/>
        <w:ind w:left="1134" w:hanging="425"/>
        <w:contextualSpacing/>
        <w:textAlignment w:val="baseline"/>
        <w:rPr>
          <w:bCs/>
          <w:iCs/>
        </w:rPr>
      </w:pPr>
      <w:r>
        <w:t>as embalagens de produtos fertilizantes de peso igual ou superior a 1000 kg devem poder ter apenas o rótulo digital se os operadores económicos decidirem utilizar a rotulagem digital. As embalagens de produtos fertilizantes com menos de 1000 kg devem ter sempre um rótulo físico, mesmo que os operadores económicos decidam também utilizar um rótulo digital.</w:t>
      </w:r>
    </w:p>
    <w:p w:rsidRPr="0076753A" w:rsidR="0076753A" w:rsidP="0076753A" w:rsidRDefault="0076753A" w14:paraId="4B8EB1F9" w14:textId="77777777">
      <w:pPr>
        <w:widowControl w:val="0"/>
        <w:overflowPunct w:val="0"/>
        <w:autoSpaceDE w:val="0"/>
        <w:autoSpaceDN w:val="0"/>
        <w:adjustRightInd w:val="0"/>
        <w:ind w:left="709"/>
        <w:textAlignment w:val="baseline"/>
        <w:rPr>
          <w:szCs w:val="20"/>
        </w:rPr>
      </w:pPr>
    </w:p>
    <w:tbl>
      <w:tblPr>
        <w:tblStyle w:val="TableGrid4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76753A" w:rsidR="0076753A" w:rsidTr="00D97149" w14:paraId="22F200E9" w14:textId="77777777">
        <w:tc>
          <w:tcPr>
            <w:tcW w:w="1418" w:type="dxa"/>
          </w:tcPr>
          <w:p w:rsidRPr="0076753A" w:rsidR="0076753A" w:rsidP="0076753A" w:rsidRDefault="0076753A" w14:paraId="3C4E7D37" w14:textId="1110B699">
            <w:pPr>
              <w:overflowPunct w:val="0"/>
              <w:autoSpaceDE w:val="0"/>
              <w:autoSpaceDN w:val="0"/>
              <w:adjustRightInd w:val="0"/>
              <w:spacing w:line="240" w:lineRule="auto"/>
              <w:textAlignment w:val="baseline"/>
              <w:rPr>
                <w:i/>
              </w:rPr>
            </w:pPr>
            <w:r>
              <w:rPr>
                <w:b/>
                <w:i/>
              </w:rPr>
              <w:t>Contacto</w:t>
            </w:r>
          </w:p>
        </w:tc>
        <w:tc>
          <w:tcPr>
            <w:tcW w:w="5670" w:type="dxa"/>
          </w:tcPr>
          <w:p w:rsidRPr="0076753A" w:rsidR="0076753A" w:rsidP="0076753A" w:rsidRDefault="0076753A" w14:paraId="2A268611" w14:textId="77777777">
            <w:pPr>
              <w:overflowPunct w:val="0"/>
              <w:autoSpaceDE w:val="0"/>
              <w:autoSpaceDN w:val="0"/>
              <w:adjustRightInd w:val="0"/>
              <w:spacing w:line="240" w:lineRule="auto"/>
              <w:textAlignment w:val="baseline"/>
              <w:rPr>
                <w:i/>
              </w:rPr>
            </w:pPr>
            <w:r>
              <w:rPr>
                <w:i/>
              </w:rPr>
              <w:t>Martine Delanoy</w:t>
            </w:r>
          </w:p>
        </w:tc>
      </w:tr>
      <w:tr w:rsidRPr="0076753A" w:rsidR="0076753A" w:rsidTr="00D97149" w14:paraId="0AD2DBFA" w14:textId="77777777">
        <w:tc>
          <w:tcPr>
            <w:tcW w:w="1418" w:type="dxa"/>
          </w:tcPr>
          <w:p w:rsidRPr="0076753A" w:rsidR="0076753A" w:rsidP="0076753A" w:rsidRDefault="0076753A" w14:paraId="3919B01B" w14:textId="4939BB76">
            <w:pPr>
              <w:overflowPunct w:val="0"/>
              <w:autoSpaceDE w:val="0"/>
              <w:autoSpaceDN w:val="0"/>
              <w:adjustRightInd w:val="0"/>
              <w:spacing w:line="240" w:lineRule="auto"/>
              <w:textAlignment w:val="baseline"/>
              <w:rPr>
                <w:i/>
              </w:rPr>
            </w:pPr>
            <w:r>
              <w:rPr>
                <w:i/>
              </w:rPr>
              <w:t>Tel.</w:t>
            </w:r>
          </w:p>
        </w:tc>
        <w:tc>
          <w:tcPr>
            <w:tcW w:w="5670" w:type="dxa"/>
          </w:tcPr>
          <w:p w:rsidRPr="0076753A" w:rsidR="0076753A" w:rsidP="0076753A" w:rsidRDefault="0076753A" w14:paraId="2985BDE6" w14:textId="77777777">
            <w:pPr>
              <w:overflowPunct w:val="0"/>
              <w:autoSpaceDE w:val="0"/>
              <w:autoSpaceDN w:val="0"/>
              <w:adjustRightInd w:val="0"/>
              <w:spacing w:line="240" w:lineRule="auto"/>
              <w:textAlignment w:val="baseline"/>
              <w:rPr>
                <w:i/>
              </w:rPr>
            </w:pPr>
            <w:r>
              <w:rPr>
                <w:i/>
              </w:rPr>
              <w:t>+32 2 546 9802</w:t>
            </w:r>
          </w:p>
        </w:tc>
      </w:tr>
      <w:tr w:rsidRPr="0076753A" w:rsidR="0076753A" w:rsidTr="00D97149" w14:paraId="4222D540" w14:textId="77777777">
        <w:tc>
          <w:tcPr>
            <w:tcW w:w="1418" w:type="dxa"/>
          </w:tcPr>
          <w:p w:rsidRPr="0076753A" w:rsidR="0076753A" w:rsidP="0076753A" w:rsidRDefault="003F549A" w14:paraId="564DBADE" w14:textId="709FA528">
            <w:pPr>
              <w:overflowPunct w:val="0"/>
              <w:autoSpaceDE w:val="0"/>
              <w:autoSpaceDN w:val="0"/>
              <w:adjustRightInd w:val="0"/>
              <w:spacing w:line="240" w:lineRule="auto"/>
              <w:textAlignment w:val="baseline"/>
              <w:rPr>
                <w:i/>
              </w:rPr>
            </w:pPr>
            <w:r>
              <w:rPr>
                <w:i/>
              </w:rPr>
              <w:t>Endereço eletrónico</w:t>
            </w:r>
          </w:p>
        </w:tc>
        <w:tc>
          <w:tcPr>
            <w:tcW w:w="5670" w:type="dxa"/>
          </w:tcPr>
          <w:p w:rsidRPr="0076753A" w:rsidR="0076753A" w:rsidP="0076753A" w:rsidRDefault="007E421A" w14:paraId="7F06C790" w14:textId="77777777">
            <w:pPr>
              <w:overflowPunct w:val="0"/>
              <w:autoSpaceDE w:val="0"/>
              <w:autoSpaceDN w:val="0"/>
              <w:adjustRightInd w:val="0"/>
              <w:spacing w:line="240" w:lineRule="auto"/>
              <w:textAlignment w:val="baseline"/>
              <w:rPr>
                <w:i/>
              </w:rPr>
            </w:pPr>
            <w:hyperlink w:history="1" r:id="rId45">
              <w:r w:rsidR="00E11732">
                <w:rPr>
                  <w:color w:val="0000FF"/>
                  <w:u w:val="single"/>
                </w:rPr>
                <w:t>Martine.Delanoy@eesc.europa.eu</w:t>
              </w:r>
            </w:hyperlink>
          </w:p>
        </w:tc>
      </w:tr>
    </w:tbl>
    <w:p w:rsidRPr="005463FF" w:rsidR="008E2A59" w:rsidP="008E2A59" w:rsidRDefault="008E2A59" w14:paraId="7254DF8D" w14:textId="77777777">
      <w:pPr>
        <w:spacing w:after="160" w:line="259" w:lineRule="auto"/>
        <w:jc w:val="left"/>
        <w:rPr>
          <w:sz w:val="16"/>
          <w:szCs w:val="16"/>
        </w:rPr>
      </w:pPr>
      <w:r>
        <w:br w:type="page"/>
      </w:r>
    </w:p>
    <w:p w:rsidRPr="00EE24CA" w:rsidR="00E55AD5" w:rsidP="00EE24CA" w:rsidRDefault="00E55AD5" w14:paraId="589651DC" w14:textId="49C86432">
      <w:pPr>
        <w:pStyle w:val="ListParagraph"/>
        <w:widowControl w:val="0"/>
        <w:numPr>
          <w:ilvl w:val="0"/>
          <w:numId w:val="32"/>
        </w:numPr>
        <w:overflowPunct w:val="0"/>
        <w:autoSpaceDE w:val="0"/>
        <w:autoSpaceDN w:val="0"/>
        <w:adjustRightInd w:val="0"/>
        <w:ind w:hanging="862"/>
        <w:jc w:val="left"/>
        <w:textAlignment w:val="baseline"/>
        <w:rPr>
          <w:b/>
          <w:bCs/>
          <w:i/>
          <w:iCs/>
          <w:sz w:val="28"/>
          <w:szCs w:val="28"/>
        </w:rPr>
      </w:pPr>
      <w:r w:rsidRPr="00EE24CA">
        <w:rPr>
          <w:b/>
          <w:bCs/>
          <w:noProof/>
          <w:sz w:val="28"/>
        </w:rPr>
        <w:lastRenderedPageBreak/>
        <mc:AlternateContent>
          <mc:Choice Requires="wps">
            <w:drawing>
              <wp:anchor distT="0" distB="0" distL="114300" distR="114300" simplePos="0" relativeHeight="251658240" behindDoc="1" locked="0" layoutInCell="0" allowOverlap="1" wp14:editId="7F95EAE9" wp14:anchorId="7AFCFAA0">
                <wp:simplePos x="0" y="0"/>
                <wp:positionH relativeFrom="page">
                  <wp:posOffset>6769100</wp:posOffset>
                </wp:positionH>
                <wp:positionV relativeFrom="page">
                  <wp:posOffset>10081260</wp:posOffset>
                </wp:positionV>
                <wp:extent cx="647700" cy="396240"/>
                <wp:effectExtent l="0" t="3810" r="3175"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60E65" w:rsidR="00E55AD5" w:rsidP="00E55AD5" w:rsidRDefault="00E55AD5" w14:paraId="377EDBDA" w14:textId="77777777">
                            <w:pPr>
                              <w:jc w:val="center"/>
                              <w:rPr>
                                <w:rFonts w:ascii="Arial" w:hAnsi="Arial" w:cs="Arial"/>
                                <w:b/>
                                <w:bCs/>
                                <w:sz w:val="48"/>
                              </w:rPr>
                            </w:pPr>
                            <w:r>
                              <w:rPr>
                                <w:rFonts w:ascii="Arial" w:hAnsi="Arial"/>
                                <w:b/>
                                <w:sz w:val="48"/>
                              </w:rPr>
                              <w:t>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style="position:absolute;left:0;text-align:left;margin-left:533pt;margin-top:793.8pt;width:51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" w14:anchorId="7AFCFAA0">
                <v:textbox>
                  <w:txbxContent>
                    <w:p w:rsidRPr="00260E65" w:rsidR="00E55AD5" w:rsidP="00E55AD5" w:rsidRDefault="00E55AD5" w14:paraId="377EDBDA" w14:textId="77777777">
                      <w:pPr>
                        <w:jc w:val="center"/>
                        <w:rPr>
                          <w:rFonts w:ascii="Arial" w:hAnsi="Arial" w:cs="Arial"/>
                          <w:b/>
                          <w:bCs/>
                          <w:sz w:val="48"/>
                        </w:rPr>
                      </w:pPr>
                      <w:r>
                        <w:rPr>
                          <w:rFonts w:ascii="Arial" w:hAnsi="Arial"/>
                          <w:b/>
                          <w:sz w:val="48"/>
                        </w:rPr>
                        <w:t>PT</w:t>
                      </w:r>
                    </w:p>
                  </w:txbxContent>
                </v:textbox>
                <w10:wrap anchorx="page" anchory="page"/>
              </v:shape>
            </w:pict>
          </mc:Fallback>
        </mc:AlternateContent>
      </w:r>
      <w:hyperlink w:history="1" r:id="rId46">
        <w:r w:rsidRPr="00EE24CA">
          <w:rPr>
            <w:b/>
            <w:bCs/>
            <w:i/>
            <w:color w:val="0000FF"/>
            <w:sz w:val="28"/>
            <w:u w:val="single"/>
          </w:rPr>
          <w:t>Rumo a um conselho europeu de política alimentar como novo modelo de governação no futuro quadro da UE para sistemas alimentares sustentáveis</w:t>
        </w:r>
      </w:hyperlink>
    </w:p>
    <w:p w:rsidRPr="00E55AD5" w:rsidR="00BD6A47" w:rsidP="00E55AD5" w:rsidRDefault="00BD6A47" w14:paraId="4EE6C8FE" w14:textId="77777777">
      <w:pPr>
        <w:tabs>
          <w:tab w:val="center" w:pos="284"/>
        </w:tabs>
        <w:overflowPunct w:val="0"/>
        <w:autoSpaceDE w:val="0"/>
        <w:autoSpaceDN w:val="0"/>
        <w:adjustRightInd w:val="0"/>
        <w:ind w:left="266" w:hanging="266"/>
        <w:textAlignment w:val="baseline"/>
        <w:rPr>
          <w:b/>
        </w:rPr>
      </w:pPr>
    </w:p>
    <w:tbl>
      <w:tblPr>
        <w:tblStyle w:val="TableGrid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E55AD5" w:rsidR="00E55AD5" w:rsidTr="00D97149" w14:paraId="11C98C9A" w14:textId="77777777">
        <w:tc>
          <w:tcPr>
            <w:tcW w:w="1701" w:type="dxa"/>
          </w:tcPr>
          <w:p w:rsidRPr="00E55AD5" w:rsidR="00E55AD5" w:rsidP="00E55AD5" w:rsidRDefault="00E55AD5" w14:paraId="3E9C1108" w14:textId="77777777">
            <w:pPr>
              <w:tabs>
                <w:tab w:val="center" w:pos="284"/>
              </w:tabs>
              <w:overflowPunct w:val="0"/>
              <w:autoSpaceDE w:val="0"/>
              <w:autoSpaceDN w:val="0"/>
              <w:adjustRightInd w:val="0"/>
              <w:ind w:left="266" w:hanging="266"/>
              <w:textAlignment w:val="baseline"/>
              <w:rPr>
                <w:b/>
              </w:rPr>
            </w:pPr>
            <w:r>
              <w:rPr>
                <w:b/>
              </w:rPr>
              <w:t>Relatora</w:t>
            </w:r>
          </w:p>
        </w:tc>
        <w:tc>
          <w:tcPr>
            <w:tcW w:w="5387" w:type="dxa"/>
          </w:tcPr>
          <w:p w:rsidRPr="00E55AD5" w:rsidR="00E55AD5" w:rsidP="00E55AD5" w:rsidRDefault="00E55AD5" w14:paraId="0446236C" w14:textId="53B6C3F5">
            <w:pPr>
              <w:tabs>
                <w:tab w:val="center" w:pos="284"/>
              </w:tabs>
              <w:overflowPunct w:val="0"/>
              <w:autoSpaceDE w:val="0"/>
              <w:autoSpaceDN w:val="0"/>
              <w:adjustRightInd w:val="0"/>
              <w:ind w:left="266" w:hanging="266"/>
              <w:textAlignment w:val="baseline"/>
            </w:pPr>
            <w:r>
              <w:t>Piroska Kállay (HU – Grupo dos Trabalhadores)</w:t>
            </w:r>
          </w:p>
        </w:tc>
      </w:tr>
      <w:tr w:rsidRPr="00E55AD5" w:rsidR="00E55AD5" w:rsidTr="00D97149" w14:paraId="7E4137E7" w14:textId="77777777">
        <w:tc>
          <w:tcPr>
            <w:tcW w:w="7088" w:type="dxa"/>
            <w:gridSpan w:val="2"/>
          </w:tcPr>
          <w:p w:rsidRPr="00E55AD5" w:rsidR="00E55AD5" w:rsidP="00E55AD5" w:rsidRDefault="00E55AD5" w14:paraId="7C23A36B" w14:textId="77777777">
            <w:pPr>
              <w:tabs>
                <w:tab w:val="center" w:pos="284"/>
              </w:tabs>
              <w:overflowPunct w:val="0"/>
              <w:autoSpaceDE w:val="0"/>
              <w:autoSpaceDN w:val="0"/>
              <w:adjustRightInd w:val="0"/>
              <w:spacing w:line="160" w:lineRule="exact"/>
              <w:ind w:left="266" w:hanging="266"/>
              <w:textAlignment w:val="baseline"/>
            </w:pPr>
          </w:p>
        </w:tc>
      </w:tr>
      <w:tr w:rsidRPr="00E55AD5" w:rsidR="00E55AD5" w:rsidTr="00D97149" w14:paraId="6AA49A48" w14:textId="77777777">
        <w:tc>
          <w:tcPr>
            <w:tcW w:w="1701" w:type="dxa"/>
          </w:tcPr>
          <w:p w:rsidRPr="00E55AD5" w:rsidR="00E55AD5" w:rsidP="00E55AD5" w:rsidRDefault="00E55AD5" w14:paraId="270A98D3" w14:textId="77777777">
            <w:pPr>
              <w:tabs>
                <w:tab w:val="center" w:pos="284"/>
              </w:tabs>
              <w:overflowPunct w:val="0"/>
              <w:autoSpaceDE w:val="0"/>
              <w:autoSpaceDN w:val="0"/>
              <w:adjustRightInd w:val="0"/>
              <w:ind w:left="266" w:hanging="266"/>
              <w:textAlignment w:val="baseline"/>
              <w:rPr>
                <w:b/>
              </w:rPr>
            </w:pPr>
            <w:r>
              <w:rPr>
                <w:b/>
              </w:rPr>
              <w:t>Referência</w:t>
            </w:r>
          </w:p>
        </w:tc>
        <w:tc>
          <w:tcPr>
            <w:tcW w:w="5387" w:type="dxa"/>
          </w:tcPr>
          <w:p w:rsidR="007833BB" w:rsidP="00E55AD5" w:rsidRDefault="007833BB" w14:paraId="550F4273" w14:textId="77777777">
            <w:pPr>
              <w:tabs>
                <w:tab w:val="center" w:pos="284"/>
              </w:tabs>
              <w:overflowPunct w:val="0"/>
              <w:autoSpaceDE w:val="0"/>
              <w:autoSpaceDN w:val="0"/>
              <w:adjustRightInd w:val="0"/>
              <w:ind w:left="266" w:hanging="266"/>
              <w:textAlignment w:val="baseline"/>
            </w:pPr>
            <w:r>
              <w:t xml:space="preserve">Parecer de iniciativa </w:t>
            </w:r>
          </w:p>
          <w:p w:rsidRPr="00E55AD5" w:rsidR="00E55AD5" w:rsidP="00E55AD5" w:rsidRDefault="00E55AD5" w14:paraId="703CE185" w14:textId="483B4015">
            <w:pPr>
              <w:tabs>
                <w:tab w:val="center" w:pos="284"/>
              </w:tabs>
              <w:overflowPunct w:val="0"/>
              <w:autoSpaceDE w:val="0"/>
              <w:autoSpaceDN w:val="0"/>
              <w:adjustRightInd w:val="0"/>
              <w:ind w:left="266" w:hanging="266"/>
              <w:textAlignment w:val="baseline"/>
            </w:pPr>
            <w:r>
              <w:t>EESC-2023-00895-00-00-AC</w:t>
            </w:r>
          </w:p>
        </w:tc>
      </w:tr>
    </w:tbl>
    <w:p w:rsidRPr="00E55AD5" w:rsidR="00E55AD5" w:rsidP="00E55AD5" w:rsidRDefault="00E55AD5" w14:paraId="47BFBCCF" w14:textId="77777777">
      <w:pPr>
        <w:keepNext/>
        <w:keepLines/>
        <w:tabs>
          <w:tab w:val="center" w:pos="284"/>
        </w:tabs>
        <w:overflowPunct w:val="0"/>
        <w:autoSpaceDE w:val="0"/>
        <w:autoSpaceDN w:val="0"/>
        <w:adjustRightInd w:val="0"/>
        <w:ind w:left="266" w:hanging="266"/>
        <w:textAlignment w:val="baseline"/>
        <w:rPr>
          <w:b/>
        </w:rPr>
      </w:pPr>
    </w:p>
    <w:p w:rsidRPr="00E55AD5" w:rsidR="00E55AD5" w:rsidP="00E55AD5" w:rsidRDefault="00E55AD5" w14:paraId="21BB2652" w14:textId="77777777">
      <w:pPr>
        <w:keepNext/>
        <w:keepLines/>
        <w:overflowPunct w:val="0"/>
        <w:autoSpaceDE w:val="0"/>
        <w:autoSpaceDN w:val="0"/>
        <w:adjustRightInd w:val="0"/>
        <w:ind w:left="266" w:hanging="124"/>
        <w:textAlignment w:val="baseline"/>
        <w:rPr>
          <w:b/>
        </w:rPr>
      </w:pPr>
      <w:r>
        <w:rPr>
          <w:b/>
        </w:rPr>
        <w:t>Pontos principais</w:t>
      </w:r>
    </w:p>
    <w:p w:rsidRPr="00E55AD5" w:rsidR="00E55AD5" w:rsidP="00E55AD5" w:rsidRDefault="00E55AD5" w14:paraId="23B9D874" w14:textId="77777777">
      <w:pPr>
        <w:keepNext/>
        <w:keepLines/>
        <w:tabs>
          <w:tab w:val="center" w:pos="284"/>
        </w:tabs>
        <w:overflowPunct w:val="0"/>
        <w:autoSpaceDE w:val="0"/>
        <w:autoSpaceDN w:val="0"/>
        <w:adjustRightInd w:val="0"/>
        <w:ind w:left="266" w:hanging="266"/>
        <w:textAlignment w:val="baseline"/>
        <w:rPr>
          <w:b/>
        </w:rPr>
      </w:pPr>
    </w:p>
    <w:p w:rsidRPr="00E55AD5" w:rsidR="00E55AD5" w:rsidP="00E55AD5" w:rsidRDefault="00E55AD5" w14:paraId="2BB1AA9D" w14:textId="77777777">
      <w:pPr>
        <w:overflowPunct w:val="0"/>
        <w:autoSpaceDE w:val="0"/>
        <w:autoSpaceDN w:val="0"/>
        <w:adjustRightInd w:val="0"/>
        <w:ind w:firstLine="142"/>
        <w:textAlignment w:val="baseline"/>
        <w:rPr>
          <w:bCs/>
          <w:iCs/>
        </w:rPr>
      </w:pPr>
      <w:r>
        <w:t>O Comité Económico e Social Europeu:</w:t>
      </w:r>
    </w:p>
    <w:p w:rsidRPr="00E55AD5" w:rsidR="00E55AD5" w:rsidP="00E55AD5" w:rsidRDefault="00E55AD5" w14:paraId="59EB2605" w14:textId="77777777">
      <w:pPr>
        <w:overflowPunct w:val="0"/>
        <w:autoSpaceDE w:val="0"/>
        <w:autoSpaceDN w:val="0"/>
        <w:adjustRightInd w:val="0"/>
        <w:textAlignment w:val="baseline"/>
        <w:rPr>
          <w:bCs/>
          <w:iCs/>
        </w:rPr>
      </w:pPr>
    </w:p>
    <w:p w:rsidRPr="00E55AD5" w:rsidR="00E55AD5" w:rsidP="00A2086E" w:rsidRDefault="00E55AD5" w14:paraId="2D1E779E"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tendo em conta a urgência da crise do sistema alimentar e a necessidade de uma rápida mudança de comportamentos, considera que o seu apelo para a criação de um «conselho europeu de política alimentar» é mais oportuno do que nunca;</w:t>
      </w:r>
    </w:p>
    <w:p w:rsidRPr="00E55AD5" w:rsidR="00E55AD5" w:rsidP="00A2086E" w:rsidRDefault="00E55AD5" w14:paraId="04DFAE29"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entende que tal conselho contribuiria para uma abordagem mais integrada e participativa da elaboração de políticas alimentares, aceleraria a harmonização das políticas a nível local, nacional e da UE, contribuiria para promover um desenvolvimento rural e urbano mais sustentável e equilibrado e, sobretudo, aumentaria a qualidade e a legitimidade da política alimentar da UE;</w:t>
      </w:r>
    </w:p>
    <w:p w:rsidRPr="00E55AD5" w:rsidR="00E55AD5" w:rsidP="00A2086E" w:rsidRDefault="00E55AD5" w14:paraId="1429127F"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 xml:space="preserve">saúda o anúncio de um quadro da UE para sistemas alimentares sustentáveis, que lançará as bases para as mudanças sistémicas que todas as partes interessadas terão de realizar ao longo de toda a cadeia de valor. Salienta que a Comissão deve apresentar sem demora, ainda no mandato em curso, uma proposta de quadro para dar resposta aos desafios dos sistemas alimentares de modo oportuno, tendo presente que qualquer atraso pode pôr em risco o êxito da Estratégia do Prado ao Prato; </w:t>
      </w:r>
    </w:p>
    <w:p w:rsidRPr="00E55AD5" w:rsidR="00E55AD5" w:rsidP="00A2086E" w:rsidRDefault="00E55AD5" w14:paraId="06B73D13"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exorta a Comissão a assumir o compromisso de associar as partes interessadas e a sociedade civil de forma estruturada à nova governação do quadro para sistemas alimentares sustentáveis e assinala que a ideia de um conselho europeu de política alimentar seria pertinente nesse contexto;</w:t>
      </w:r>
    </w:p>
    <w:p w:rsidRPr="00E55AD5" w:rsidR="00E55AD5" w:rsidP="00A2086E" w:rsidRDefault="00E55AD5" w14:paraId="3EAEB873"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toma nota de que há plataformas a nível local, regional e nacional relacionadas com a alimentação, mas considera que os fóruns existentes não são suficientes para alcançar eficazmente um sistema alimentar sustentável e justo nem para desenvolver capacidades de resiliência a nível da UE. Por conseguinte, considera que cabe reforçar a democracia alimentar e integrá-la no processo de elaboração da política alimentar;</w:t>
      </w:r>
    </w:p>
    <w:p w:rsidRPr="00E55AD5" w:rsidR="00E55AD5" w:rsidP="00A2086E" w:rsidRDefault="00E55AD5" w14:paraId="4FE6F69B" w14:textId="77777777">
      <w:pPr>
        <w:numPr>
          <w:ilvl w:val="0"/>
          <w:numId w:val="30"/>
        </w:numPr>
        <w:overflowPunct w:val="0"/>
        <w:autoSpaceDE w:val="0"/>
        <w:autoSpaceDN w:val="0"/>
        <w:adjustRightInd w:val="0"/>
        <w:spacing w:after="200" w:line="276" w:lineRule="auto"/>
        <w:ind w:hanging="578"/>
        <w:contextualSpacing/>
        <w:textAlignment w:val="baseline"/>
        <w:rPr>
          <w:bCs/>
          <w:iCs/>
        </w:rPr>
      </w:pPr>
      <w:r>
        <w:t>encara um conselho europeu de política alimentar como uma plataforma baseada em dados científicos, multilateral e a vários níveis e uma estrutura institucional independente, com a seguinte composição potencial: especialistas do meio académico e cientistas, intervenientes na cadeia de abastecimento alimentar, intervenientes do sistema educativo e organizações da sociedade civil, representantes da juventude e representantes institucionais (Parlamento, Conselho, Comissão, CESE, Comité das Regiões);</w:t>
      </w:r>
    </w:p>
    <w:p w:rsidRPr="002A48B1" w:rsidR="00E55AD5" w:rsidRDefault="00E55AD5" w14:paraId="6A8F888D" w14:textId="241633B5">
      <w:pPr>
        <w:numPr>
          <w:ilvl w:val="0"/>
          <w:numId w:val="30"/>
        </w:numPr>
        <w:overflowPunct w:val="0"/>
        <w:autoSpaceDE w:val="0"/>
        <w:autoSpaceDN w:val="0"/>
        <w:adjustRightInd w:val="0"/>
        <w:spacing w:after="200" w:line="276" w:lineRule="auto"/>
        <w:ind w:hanging="578"/>
        <w:contextualSpacing/>
        <w:textAlignment w:val="baseline"/>
      </w:pPr>
      <w:r>
        <w:t xml:space="preserve">está disposto a proporcionar um espaço de reunião para o conselho europeu de política alimentar. </w:t>
      </w:r>
    </w:p>
    <w:p w:rsidRPr="00E55AD5" w:rsidR="003748B6" w:rsidP="00A2086E" w:rsidRDefault="003748B6" w14:paraId="7E9CB8FD" w14:textId="77777777">
      <w:pPr>
        <w:overflowPunct w:val="0"/>
        <w:autoSpaceDE w:val="0"/>
        <w:autoSpaceDN w:val="0"/>
        <w:adjustRightInd w:val="0"/>
        <w:spacing w:after="200" w:line="276" w:lineRule="auto"/>
        <w:ind w:left="720"/>
        <w:contextualSpacing/>
        <w:textAlignment w:val="baseline"/>
        <w:rPr>
          <w:lang w:eastAsia="zh-CN"/>
        </w:rPr>
      </w:pPr>
    </w:p>
    <w:tbl>
      <w:tblPr>
        <w:tblStyle w:val="TableGrid4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E55AD5" w:rsidR="00E55AD5" w:rsidTr="00D97149" w14:paraId="339BD2F8" w14:textId="77777777">
        <w:tc>
          <w:tcPr>
            <w:tcW w:w="1418" w:type="dxa"/>
          </w:tcPr>
          <w:p w:rsidRPr="00E55AD5" w:rsidR="00E55AD5" w:rsidP="00E55AD5" w:rsidRDefault="00E55AD5" w14:paraId="1F7666CF" w14:textId="243E8FC3">
            <w:pPr>
              <w:overflowPunct w:val="0"/>
              <w:autoSpaceDE w:val="0"/>
              <w:autoSpaceDN w:val="0"/>
              <w:adjustRightInd w:val="0"/>
              <w:spacing w:line="240" w:lineRule="auto"/>
              <w:textAlignment w:val="baseline"/>
              <w:rPr>
                <w:i/>
              </w:rPr>
            </w:pPr>
            <w:r>
              <w:rPr>
                <w:b/>
                <w:i/>
              </w:rPr>
              <w:t>Contacto</w:t>
            </w:r>
          </w:p>
        </w:tc>
        <w:tc>
          <w:tcPr>
            <w:tcW w:w="5670" w:type="dxa"/>
          </w:tcPr>
          <w:p w:rsidRPr="00E55AD5" w:rsidR="00E55AD5" w:rsidP="00E55AD5" w:rsidRDefault="00E55AD5" w14:paraId="1C52E805" w14:textId="464DD17F">
            <w:pPr>
              <w:overflowPunct w:val="0"/>
              <w:autoSpaceDE w:val="0"/>
              <w:autoSpaceDN w:val="0"/>
              <w:adjustRightInd w:val="0"/>
              <w:spacing w:line="240" w:lineRule="auto"/>
              <w:textAlignment w:val="baseline"/>
              <w:rPr>
                <w:i/>
              </w:rPr>
            </w:pPr>
            <w:r>
              <w:rPr>
                <w:i/>
              </w:rPr>
              <w:t>Martine Delanoy</w:t>
            </w:r>
          </w:p>
        </w:tc>
      </w:tr>
      <w:tr w:rsidRPr="00E55AD5" w:rsidR="00E55AD5" w:rsidTr="00D97149" w14:paraId="778E7C36" w14:textId="77777777">
        <w:tc>
          <w:tcPr>
            <w:tcW w:w="1418" w:type="dxa"/>
          </w:tcPr>
          <w:p w:rsidRPr="00E55AD5" w:rsidR="00E55AD5" w:rsidP="00E55AD5" w:rsidRDefault="00E55AD5" w14:paraId="7BF9550C" w14:textId="0F1DF1C0">
            <w:pPr>
              <w:overflowPunct w:val="0"/>
              <w:autoSpaceDE w:val="0"/>
              <w:autoSpaceDN w:val="0"/>
              <w:adjustRightInd w:val="0"/>
              <w:spacing w:line="240" w:lineRule="auto"/>
              <w:textAlignment w:val="baseline"/>
              <w:rPr>
                <w:i/>
              </w:rPr>
            </w:pPr>
            <w:r>
              <w:rPr>
                <w:i/>
              </w:rPr>
              <w:t>Tel.</w:t>
            </w:r>
          </w:p>
        </w:tc>
        <w:tc>
          <w:tcPr>
            <w:tcW w:w="5670" w:type="dxa"/>
          </w:tcPr>
          <w:p w:rsidRPr="00E55AD5" w:rsidR="00E55AD5" w:rsidP="00E55AD5" w:rsidRDefault="00E55AD5" w14:paraId="2740AF36" w14:textId="77777777">
            <w:pPr>
              <w:overflowPunct w:val="0"/>
              <w:autoSpaceDE w:val="0"/>
              <w:autoSpaceDN w:val="0"/>
              <w:adjustRightInd w:val="0"/>
              <w:spacing w:line="240" w:lineRule="auto"/>
              <w:textAlignment w:val="baseline"/>
              <w:rPr>
                <w:i/>
              </w:rPr>
            </w:pPr>
            <w:r>
              <w:rPr>
                <w:i/>
              </w:rPr>
              <w:t>+32 2 546 9802</w:t>
            </w:r>
          </w:p>
        </w:tc>
      </w:tr>
      <w:tr w:rsidRPr="00E55AD5" w:rsidR="00E55AD5" w:rsidTr="00D97149" w14:paraId="4115C395" w14:textId="77777777">
        <w:tc>
          <w:tcPr>
            <w:tcW w:w="1418" w:type="dxa"/>
          </w:tcPr>
          <w:p w:rsidRPr="00E55AD5" w:rsidR="00E55AD5" w:rsidP="00E55AD5" w:rsidRDefault="005F5847" w14:paraId="30401C67" w14:textId="7F51F20F">
            <w:pPr>
              <w:overflowPunct w:val="0"/>
              <w:autoSpaceDE w:val="0"/>
              <w:autoSpaceDN w:val="0"/>
              <w:adjustRightInd w:val="0"/>
              <w:spacing w:line="240" w:lineRule="auto"/>
              <w:textAlignment w:val="baseline"/>
              <w:rPr>
                <w:i/>
              </w:rPr>
            </w:pPr>
            <w:r>
              <w:rPr>
                <w:i/>
              </w:rPr>
              <w:t>Endereço eletrónico</w:t>
            </w:r>
          </w:p>
        </w:tc>
        <w:tc>
          <w:tcPr>
            <w:tcW w:w="5670" w:type="dxa"/>
          </w:tcPr>
          <w:p w:rsidRPr="00E55AD5" w:rsidR="00E55AD5" w:rsidP="00E55AD5" w:rsidRDefault="007E421A" w14:paraId="268E6DC4" w14:textId="77777777">
            <w:pPr>
              <w:overflowPunct w:val="0"/>
              <w:autoSpaceDE w:val="0"/>
              <w:autoSpaceDN w:val="0"/>
              <w:adjustRightInd w:val="0"/>
              <w:spacing w:line="240" w:lineRule="auto"/>
              <w:textAlignment w:val="baseline"/>
              <w:rPr>
                <w:i/>
              </w:rPr>
            </w:pPr>
            <w:hyperlink w:history="1" r:id="rId47">
              <w:r w:rsidR="00E11732">
                <w:rPr>
                  <w:color w:val="0000FF"/>
                  <w:u w:val="single"/>
                </w:rPr>
                <w:t>Martine.Delanoy@eesc.europa.eu</w:t>
              </w:r>
            </w:hyperlink>
          </w:p>
        </w:tc>
      </w:tr>
    </w:tbl>
    <w:p w:rsidRPr="005463FF" w:rsidR="008E2A59" w:rsidP="008E2A59" w:rsidRDefault="008E2A59" w14:paraId="5872909F" w14:textId="77777777">
      <w:pPr>
        <w:spacing w:after="160" w:line="259" w:lineRule="auto"/>
        <w:jc w:val="left"/>
        <w:rPr>
          <w:sz w:val="16"/>
          <w:szCs w:val="16"/>
        </w:rPr>
      </w:pPr>
    </w:p>
    <w:p w:rsidRPr="005463FF" w:rsidR="00043287" w:rsidRDefault="00043287" w14:paraId="5EC70E8A" w14:textId="77777777">
      <w:pPr>
        <w:spacing w:after="160" w:line="259" w:lineRule="auto"/>
        <w:jc w:val="left"/>
        <w:rPr>
          <w:b/>
          <w:iCs/>
        </w:rPr>
      </w:pPr>
      <w:r>
        <w:br w:type="page"/>
      </w:r>
    </w:p>
    <w:p w:rsidRPr="003447C3" w:rsidR="003447C3" w:rsidP="00A2086E" w:rsidRDefault="007E421A" w14:paraId="2BE6480E" w14:textId="02CA6493">
      <w:pPr>
        <w:widowControl w:val="0"/>
        <w:numPr>
          <w:ilvl w:val="0"/>
          <w:numId w:val="11"/>
        </w:numPr>
        <w:overflowPunct w:val="0"/>
        <w:autoSpaceDE w:val="0"/>
        <w:autoSpaceDN w:val="0"/>
        <w:adjustRightInd w:val="0"/>
        <w:spacing w:after="200" w:line="276" w:lineRule="auto"/>
        <w:ind w:left="567" w:hanging="425"/>
        <w:contextualSpacing/>
        <w:jc w:val="left"/>
        <w:textAlignment w:val="baseline"/>
        <w:rPr>
          <w:b/>
          <w:bCs/>
          <w:i/>
          <w:iCs/>
          <w:sz w:val="28"/>
          <w:szCs w:val="28"/>
        </w:rPr>
      </w:pPr>
      <w:hyperlink w:history="1" r:id="rId48">
        <w:r w:rsidR="00E11732">
          <w:rPr>
            <w:b/>
            <w:i/>
            <w:color w:val="0000FF"/>
            <w:sz w:val="28"/>
            <w:u w:val="single"/>
          </w:rPr>
          <w:t>Avaliação ex post do Mecanismo de Proteção Civil da UE (incluindo o RescEU)</w:t>
        </w:r>
      </w:hyperlink>
    </w:p>
    <w:p w:rsidRPr="003447C3" w:rsidR="003447C3" w:rsidP="003447C3" w:rsidRDefault="003447C3" w14:paraId="3C670772" w14:textId="2A9134EC">
      <w:pPr>
        <w:overflowPunct w:val="0"/>
        <w:autoSpaceDE w:val="0"/>
        <w:autoSpaceDN w:val="0"/>
        <w:adjustRightInd w:val="0"/>
        <w:textAlignment w:val="baseline"/>
        <w:rPr>
          <w:szCs w:val="20"/>
        </w:rPr>
      </w:pPr>
    </w:p>
    <w:tbl>
      <w:tblPr>
        <w:tblStyle w:val="TableGrid49"/>
        <w:tblW w:w="411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5437"/>
      </w:tblGrid>
      <w:tr w:rsidRPr="003447C3" w:rsidR="003447C3" w:rsidTr="00A2086E" w14:paraId="050F7584" w14:textId="01E21C03">
        <w:tc>
          <w:tcPr>
            <w:tcW w:w="1330" w:type="pct"/>
          </w:tcPr>
          <w:p w:rsidRPr="003447C3" w:rsidR="003447C3" w:rsidP="003447C3" w:rsidRDefault="003447C3" w14:paraId="57956965" w14:textId="0E39B375">
            <w:pPr>
              <w:tabs>
                <w:tab w:val="center" w:pos="284"/>
              </w:tabs>
              <w:overflowPunct w:val="0"/>
              <w:autoSpaceDE w:val="0"/>
              <w:autoSpaceDN w:val="0"/>
              <w:adjustRightInd w:val="0"/>
              <w:ind w:left="266" w:hanging="266"/>
              <w:textAlignment w:val="baseline"/>
              <w:rPr>
                <w:b/>
              </w:rPr>
            </w:pPr>
            <w:r>
              <w:rPr>
                <w:b/>
              </w:rPr>
              <w:t>Relator</w:t>
            </w:r>
          </w:p>
        </w:tc>
        <w:tc>
          <w:tcPr>
            <w:tcW w:w="3670" w:type="pct"/>
          </w:tcPr>
          <w:p w:rsidRPr="003447C3" w:rsidR="003447C3" w:rsidP="00A2086E" w:rsidRDefault="003447C3" w14:paraId="19F91E63" w14:textId="7EC506F6">
            <w:pPr>
              <w:tabs>
                <w:tab w:val="center" w:pos="284"/>
              </w:tabs>
              <w:overflowPunct w:val="0"/>
              <w:autoSpaceDE w:val="0"/>
              <w:autoSpaceDN w:val="0"/>
              <w:adjustRightInd w:val="0"/>
              <w:ind w:left="266" w:hanging="311"/>
              <w:textAlignment w:val="baseline"/>
            </w:pPr>
            <w:r>
              <w:t>Panagiotis Gkofas (EL – Grupo das Organizações da Sociedade Civil)</w:t>
            </w:r>
          </w:p>
        </w:tc>
      </w:tr>
      <w:tr w:rsidRPr="003447C3" w:rsidR="003447C3" w:rsidTr="00A2086E" w14:paraId="72CFFABD" w14:textId="313425AB">
        <w:tc>
          <w:tcPr>
            <w:tcW w:w="5000" w:type="pct"/>
            <w:gridSpan w:val="2"/>
          </w:tcPr>
          <w:p w:rsidRPr="003447C3" w:rsidR="003447C3" w:rsidP="003447C3" w:rsidRDefault="003447C3" w14:paraId="3D1BE93F" w14:textId="5A595C3B">
            <w:pPr>
              <w:tabs>
                <w:tab w:val="center" w:pos="284"/>
              </w:tabs>
              <w:overflowPunct w:val="0"/>
              <w:autoSpaceDE w:val="0"/>
              <w:autoSpaceDN w:val="0"/>
              <w:adjustRightInd w:val="0"/>
              <w:spacing w:line="160" w:lineRule="exact"/>
              <w:ind w:left="266" w:hanging="266"/>
              <w:textAlignment w:val="baseline"/>
            </w:pPr>
          </w:p>
        </w:tc>
      </w:tr>
      <w:tr w:rsidRPr="003447C3" w:rsidR="003447C3" w:rsidTr="00A2086E" w14:paraId="3AA927E9" w14:textId="7B4E029C">
        <w:tc>
          <w:tcPr>
            <w:tcW w:w="1330" w:type="pct"/>
            <w:vMerge w:val="restart"/>
          </w:tcPr>
          <w:p w:rsidRPr="003447C3" w:rsidR="003447C3" w:rsidP="003447C3" w:rsidRDefault="003447C3" w14:paraId="2FD3113C" w14:textId="68D702E2">
            <w:pPr>
              <w:tabs>
                <w:tab w:val="center" w:pos="284"/>
              </w:tabs>
              <w:overflowPunct w:val="0"/>
              <w:autoSpaceDE w:val="0"/>
              <w:autoSpaceDN w:val="0"/>
              <w:adjustRightInd w:val="0"/>
              <w:ind w:left="266" w:hanging="266"/>
              <w:textAlignment w:val="baseline"/>
              <w:rPr>
                <w:b/>
              </w:rPr>
            </w:pPr>
            <w:r>
              <w:rPr>
                <w:b/>
              </w:rPr>
              <w:t>Referência</w:t>
            </w:r>
          </w:p>
        </w:tc>
        <w:tc>
          <w:tcPr>
            <w:tcW w:w="3670" w:type="pct"/>
          </w:tcPr>
          <w:p w:rsidRPr="003447C3" w:rsidR="003447C3" w:rsidP="003447C3" w:rsidRDefault="003447C3" w14:paraId="4F48E5EA" w14:textId="7A49C66B">
            <w:pPr>
              <w:tabs>
                <w:tab w:val="center" w:pos="284"/>
              </w:tabs>
              <w:overflowPunct w:val="0"/>
              <w:autoSpaceDE w:val="0"/>
              <w:autoSpaceDN w:val="0"/>
              <w:adjustRightInd w:val="0"/>
              <w:ind w:left="266" w:hanging="266"/>
              <w:textAlignment w:val="baseline"/>
            </w:pPr>
            <w:r>
              <w:t>Relatório de avaliação</w:t>
            </w:r>
          </w:p>
        </w:tc>
      </w:tr>
      <w:tr w:rsidRPr="003447C3" w:rsidR="003447C3" w:rsidTr="00A2086E" w14:paraId="4C15BF7C" w14:textId="4B9AD300">
        <w:tc>
          <w:tcPr>
            <w:tcW w:w="1330" w:type="pct"/>
            <w:vMerge/>
          </w:tcPr>
          <w:p w:rsidRPr="003447C3" w:rsidR="003447C3" w:rsidP="003447C3" w:rsidRDefault="003447C3" w14:paraId="066CF0B0" w14:textId="7AC711BB">
            <w:pPr>
              <w:tabs>
                <w:tab w:val="center" w:pos="284"/>
              </w:tabs>
              <w:overflowPunct w:val="0"/>
              <w:autoSpaceDE w:val="0"/>
              <w:autoSpaceDN w:val="0"/>
              <w:adjustRightInd w:val="0"/>
              <w:ind w:left="266" w:hanging="266"/>
              <w:textAlignment w:val="baseline"/>
              <w:rPr>
                <w:b/>
              </w:rPr>
            </w:pPr>
          </w:p>
        </w:tc>
        <w:tc>
          <w:tcPr>
            <w:tcW w:w="3670" w:type="pct"/>
          </w:tcPr>
          <w:p w:rsidRPr="003447C3" w:rsidR="003447C3" w:rsidP="003447C3" w:rsidRDefault="003447C3" w14:paraId="1C5A37A7" w14:textId="564D091C">
            <w:pPr>
              <w:tabs>
                <w:tab w:val="center" w:pos="284"/>
              </w:tabs>
              <w:overflowPunct w:val="0"/>
              <w:autoSpaceDE w:val="0"/>
              <w:autoSpaceDN w:val="0"/>
              <w:adjustRightInd w:val="0"/>
              <w:ind w:left="266" w:hanging="266"/>
              <w:textAlignment w:val="baseline"/>
            </w:pPr>
            <w:r>
              <w:t>EESC-2022-06182-00-00-RESE</w:t>
            </w:r>
          </w:p>
        </w:tc>
      </w:tr>
    </w:tbl>
    <w:p w:rsidRPr="003447C3" w:rsidR="003447C3" w:rsidP="003447C3" w:rsidRDefault="003447C3" w14:paraId="795FCC43" w14:textId="0D9D76A7">
      <w:pPr>
        <w:tabs>
          <w:tab w:val="center" w:pos="284"/>
        </w:tabs>
        <w:overflowPunct w:val="0"/>
        <w:autoSpaceDE w:val="0"/>
        <w:autoSpaceDN w:val="0"/>
        <w:adjustRightInd w:val="0"/>
        <w:ind w:left="266" w:hanging="266"/>
        <w:textAlignment w:val="baseline"/>
        <w:rPr>
          <w:sz w:val="18"/>
          <w:szCs w:val="18"/>
        </w:rPr>
      </w:pPr>
    </w:p>
    <w:p w:rsidRPr="003447C3" w:rsidR="003447C3" w:rsidP="00A2086E" w:rsidRDefault="003447C3" w14:paraId="6B2C2CD5" w14:textId="0C9E2F8E">
      <w:pPr>
        <w:tabs>
          <w:tab w:val="center" w:pos="284"/>
        </w:tabs>
        <w:overflowPunct w:val="0"/>
        <w:autoSpaceDE w:val="0"/>
        <w:autoSpaceDN w:val="0"/>
        <w:adjustRightInd w:val="0"/>
        <w:ind w:left="266" w:hanging="124"/>
        <w:textAlignment w:val="baseline"/>
        <w:rPr>
          <w:b/>
        </w:rPr>
      </w:pPr>
      <w:r>
        <w:rPr>
          <w:b/>
        </w:rPr>
        <w:t>Pontos principais</w:t>
      </w:r>
    </w:p>
    <w:p w:rsidRPr="003447C3" w:rsidR="003447C3" w:rsidP="003447C3" w:rsidRDefault="003447C3" w14:paraId="18C0E962" w14:textId="2B931C4D">
      <w:pPr>
        <w:keepNext/>
        <w:keepLines/>
        <w:tabs>
          <w:tab w:val="center" w:pos="284"/>
        </w:tabs>
        <w:overflowPunct w:val="0"/>
        <w:autoSpaceDE w:val="0"/>
        <w:autoSpaceDN w:val="0"/>
        <w:adjustRightInd w:val="0"/>
        <w:ind w:left="266" w:hanging="266"/>
        <w:textAlignment w:val="baseline"/>
        <w:rPr>
          <w:b/>
          <w:sz w:val="18"/>
          <w:szCs w:val="18"/>
        </w:rPr>
      </w:pPr>
    </w:p>
    <w:p w:rsidRPr="003447C3" w:rsidR="003447C3" w:rsidP="00A2086E" w:rsidRDefault="003447C3" w14:paraId="3BC60DC6" w14:textId="43DEFEAA">
      <w:pPr>
        <w:tabs>
          <w:tab w:val="center" w:pos="284"/>
        </w:tabs>
        <w:overflowPunct w:val="0"/>
        <w:autoSpaceDE w:val="0"/>
        <w:autoSpaceDN w:val="0"/>
        <w:adjustRightInd w:val="0"/>
        <w:ind w:left="266" w:hanging="124"/>
        <w:textAlignment w:val="baseline"/>
        <w:rPr>
          <w:bCs/>
          <w:iCs/>
        </w:rPr>
      </w:pPr>
      <w:r>
        <w:t xml:space="preserve">O Comité Económico e Social Europeu: </w:t>
      </w:r>
    </w:p>
    <w:p w:rsidRPr="003447C3" w:rsidR="003447C3" w:rsidP="003447C3" w:rsidRDefault="003447C3" w14:paraId="380B2F1C" w14:textId="136B11DF">
      <w:pPr>
        <w:overflowPunct w:val="0"/>
        <w:autoSpaceDE w:val="0"/>
        <w:autoSpaceDN w:val="0"/>
        <w:adjustRightInd w:val="0"/>
        <w:textAlignment w:val="baseline"/>
        <w:rPr>
          <w:bCs/>
          <w:iCs/>
          <w:sz w:val="18"/>
          <w:szCs w:val="18"/>
        </w:rPr>
      </w:pPr>
      <w:r>
        <w:rPr>
          <w:sz w:val="18"/>
        </w:rPr>
        <w:t xml:space="preserve"> </w:t>
      </w:r>
    </w:p>
    <w:p w:rsidRPr="003447C3" w:rsidR="003447C3" w:rsidP="00A2086E" w:rsidRDefault="00796F98" w14:paraId="201B1845" w14:textId="54DC4715">
      <w:pPr>
        <w:numPr>
          <w:ilvl w:val="0"/>
          <w:numId w:val="42"/>
        </w:numPr>
        <w:overflowPunct w:val="0"/>
        <w:autoSpaceDE w:val="0"/>
        <w:autoSpaceDN w:val="0"/>
        <w:adjustRightInd w:val="0"/>
        <w:ind w:left="567" w:hanging="425"/>
        <w:textAlignment w:val="baseline"/>
        <w:outlineLvl w:val="1"/>
        <w:rPr>
          <w:sz w:val="28"/>
          <w:szCs w:val="24"/>
        </w:rPr>
      </w:pPr>
      <w:r>
        <w:t>considera que o tempo de resposta é um elemento essencial da gestão de crises. Para o efeito, importa designar (através da equipa do MPCU, com a colaboração dos organismos nacionais) uma única autoridade responsável pelo comando na gestão de cada situação de crise, que decidirá sobre a afetação e a mobilização dos efetivos disponíveis;</w:t>
      </w:r>
    </w:p>
    <w:p w:rsidRPr="00A2086E" w:rsidR="003447C3" w:rsidP="00A2086E" w:rsidRDefault="00796F98" w14:paraId="4A7ED367" w14:textId="0D408B93">
      <w:pPr>
        <w:numPr>
          <w:ilvl w:val="0"/>
          <w:numId w:val="42"/>
        </w:numPr>
        <w:overflowPunct w:val="0"/>
        <w:autoSpaceDE w:val="0"/>
        <w:autoSpaceDN w:val="0"/>
        <w:adjustRightInd w:val="0"/>
        <w:ind w:left="567" w:hanging="425"/>
        <w:textAlignment w:val="baseline"/>
        <w:outlineLvl w:val="1"/>
        <w:rPr>
          <w:sz w:val="28"/>
          <w:szCs w:val="24"/>
        </w:rPr>
      </w:pPr>
      <w:r>
        <w:t>considera que o alargamento do programa de pré-posicionamento a outros domínios para além do combate a incêndios, em todas as fases da proteção civil (prevenção, preparação e resposta), deve ser visto como um catalisador que reforçará a capacidade operacional do mecanismo;</w:t>
      </w:r>
    </w:p>
    <w:p w:rsidRPr="003447C3" w:rsidR="00796F98" w:rsidP="00A2086E" w:rsidRDefault="00796F98" w14:paraId="7CF8AB1E" w14:textId="0F7D20E6">
      <w:pPr>
        <w:numPr>
          <w:ilvl w:val="0"/>
          <w:numId w:val="42"/>
        </w:numPr>
        <w:overflowPunct w:val="0"/>
        <w:autoSpaceDE w:val="0"/>
        <w:autoSpaceDN w:val="0"/>
        <w:adjustRightInd w:val="0"/>
        <w:ind w:left="567" w:hanging="425"/>
        <w:textAlignment w:val="baseline"/>
        <w:outlineLvl w:val="1"/>
        <w:rPr>
          <w:sz w:val="28"/>
          <w:szCs w:val="24"/>
        </w:rPr>
      </w:pPr>
      <w:r>
        <w:t>considera que importa adotar um quadro jurídico para a participação de voluntários (indivíduos ou organizações) na assistência prestada em crises graves. Cabe criar regimes de indemnização e seguro para as pessoas que possam sofrer acidentes, danos à propriedade privada, riscos para a saúde ou outros perigos.</w:t>
      </w:r>
    </w:p>
    <w:p w:rsidR="00D41D3C" w:rsidRDefault="00D41D3C" w14:paraId="48EE5A00" w14:textId="77777777">
      <w:pPr>
        <w:spacing w:after="160" w:line="259" w:lineRule="auto"/>
        <w:jc w:val="left"/>
        <w:rPr>
          <w:b/>
          <w:iCs/>
          <w:sz w:val="20"/>
          <w:szCs w:val="20"/>
        </w:rPr>
      </w:pPr>
    </w:p>
    <w:tbl>
      <w:tblPr>
        <w:tblStyle w:val="TableGrid5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447C3" w:rsidR="003C7843" w:rsidTr="00447A3E" w14:paraId="24FC126E" w14:textId="77777777">
        <w:tc>
          <w:tcPr>
            <w:tcW w:w="1418" w:type="dxa"/>
          </w:tcPr>
          <w:p w:rsidRPr="003447C3" w:rsidR="003C7843" w:rsidP="00A2086E" w:rsidRDefault="003C7843" w14:paraId="62F22AC8" w14:textId="77777777">
            <w:pPr>
              <w:overflowPunct w:val="0"/>
              <w:autoSpaceDE w:val="0"/>
              <w:autoSpaceDN w:val="0"/>
              <w:adjustRightInd w:val="0"/>
              <w:spacing w:line="240" w:lineRule="auto"/>
              <w:ind w:firstLine="32"/>
              <w:textAlignment w:val="baseline"/>
              <w:rPr>
                <w:i/>
              </w:rPr>
            </w:pPr>
            <w:r>
              <w:rPr>
                <w:b/>
                <w:i/>
              </w:rPr>
              <w:t>Contacto</w:t>
            </w:r>
          </w:p>
        </w:tc>
        <w:tc>
          <w:tcPr>
            <w:tcW w:w="5670" w:type="dxa"/>
          </w:tcPr>
          <w:p w:rsidRPr="003447C3" w:rsidR="003C7843" w:rsidP="00A2086E" w:rsidRDefault="003C7843" w14:paraId="7F601B16" w14:textId="77777777">
            <w:pPr>
              <w:overflowPunct w:val="0"/>
              <w:autoSpaceDE w:val="0"/>
              <w:autoSpaceDN w:val="0"/>
              <w:adjustRightInd w:val="0"/>
              <w:spacing w:line="240" w:lineRule="auto"/>
              <w:ind w:firstLine="32"/>
              <w:textAlignment w:val="baseline"/>
              <w:rPr>
                <w:i/>
              </w:rPr>
            </w:pPr>
            <w:r>
              <w:rPr>
                <w:i/>
              </w:rPr>
              <w:t>Arturo Iñiguez</w:t>
            </w:r>
          </w:p>
        </w:tc>
      </w:tr>
      <w:tr w:rsidRPr="003447C3" w:rsidR="003C7843" w:rsidTr="00447A3E" w14:paraId="213AFFC9" w14:textId="77777777">
        <w:tc>
          <w:tcPr>
            <w:tcW w:w="1418" w:type="dxa"/>
          </w:tcPr>
          <w:p w:rsidRPr="003447C3" w:rsidR="003C7843" w:rsidP="00A2086E" w:rsidRDefault="003C7843" w14:paraId="755BCE1D" w14:textId="77777777">
            <w:pPr>
              <w:overflowPunct w:val="0"/>
              <w:autoSpaceDE w:val="0"/>
              <w:autoSpaceDN w:val="0"/>
              <w:adjustRightInd w:val="0"/>
              <w:spacing w:line="240" w:lineRule="auto"/>
              <w:ind w:firstLine="32"/>
              <w:textAlignment w:val="baseline"/>
              <w:rPr>
                <w:i/>
              </w:rPr>
            </w:pPr>
            <w:r>
              <w:rPr>
                <w:i/>
              </w:rPr>
              <w:t>Tel.</w:t>
            </w:r>
          </w:p>
        </w:tc>
        <w:tc>
          <w:tcPr>
            <w:tcW w:w="5670" w:type="dxa"/>
          </w:tcPr>
          <w:p w:rsidRPr="003447C3" w:rsidR="003C7843" w:rsidP="00A2086E" w:rsidRDefault="003C7843" w14:paraId="5DFF2BAA" w14:textId="77777777">
            <w:pPr>
              <w:overflowPunct w:val="0"/>
              <w:autoSpaceDE w:val="0"/>
              <w:autoSpaceDN w:val="0"/>
              <w:adjustRightInd w:val="0"/>
              <w:spacing w:line="240" w:lineRule="auto"/>
              <w:ind w:firstLine="32"/>
              <w:textAlignment w:val="baseline"/>
              <w:rPr>
                <w:i/>
              </w:rPr>
            </w:pPr>
            <w:r>
              <w:rPr>
                <w:i/>
              </w:rPr>
              <w:t>+32 2 546 8768</w:t>
            </w:r>
          </w:p>
        </w:tc>
      </w:tr>
      <w:tr w:rsidRPr="003447C3" w:rsidR="003748B6" w:rsidTr="00447A3E" w14:paraId="0382C043" w14:textId="77777777">
        <w:tc>
          <w:tcPr>
            <w:tcW w:w="1418" w:type="dxa"/>
          </w:tcPr>
          <w:p w:rsidRPr="003447C3" w:rsidR="003748B6" w:rsidRDefault="003748B6" w14:paraId="7B8CAE2B" w14:textId="1B9DE9B0">
            <w:pPr>
              <w:overflowPunct w:val="0"/>
              <w:autoSpaceDE w:val="0"/>
              <w:autoSpaceDN w:val="0"/>
              <w:adjustRightInd w:val="0"/>
              <w:spacing w:line="240" w:lineRule="auto"/>
              <w:ind w:firstLine="32"/>
              <w:textAlignment w:val="baseline"/>
              <w:rPr>
                <w:i/>
              </w:rPr>
            </w:pPr>
            <w:r>
              <w:rPr>
                <w:i/>
              </w:rPr>
              <w:t>Endereço eletrónico</w:t>
            </w:r>
          </w:p>
        </w:tc>
        <w:tc>
          <w:tcPr>
            <w:tcW w:w="5670" w:type="dxa"/>
          </w:tcPr>
          <w:p w:rsidRPr="003447C3" w:rsidR="003748B6" w:rsidRDefault="007E421A" w14:paraId="5F02A50D" w14:textId="71B09E76">
            <w:pPr>
              <w:overflowPunct w:val="0"/>
              <w:autoSpaceDE w:val="0"/>
              <w:autoSpaceDN w:val="0"/>
              <w:adjustRightInd w:val="0"/>
              <w:spacing w:line="240" w:lineRule="auto"/>
              <w:ind w:firstLine="32"/>
              <w:textAlignment w:val="baseline"/>
              <w:rPr>
                <w:i/>
              </w:rPr>
            </w:pPr>
            <w:hyperlink w:history="1" r:id="rId49">
              <w:r w:rsidR="00E11732">
                <w:rPr>
                  <w:rStyle w:val="Hyperlink"/>
                  <w:i/>
                </w:rPr>
                <w:t>Arturo.Iniguez@eesc.europa.eu</w:t>
              </w:r>
            </w:hyperlink>
          </w:p>
        </w:tc>
      </w:tr>
    </w:tbl>
    <w:p w:rsidR="00796F98" w:rsidRDefault="00796F98" w14:paraId="4C139E72" w14:textId="35D50A06">
      <w:pPr>
        <w:spacing w:after="160" w:line="259" w:lineRule="auto"/>
        <w:jc w:val="left"/>
        <w:rPr>
          <w:b/>
          <w:iCs/>
          <w:sz w:val="20"/>
          <w:szCs w:val="20"/>
        </w:rPr>
      </w:pPr>
      <w:r>
        <w:br w:type="page"/>
      </w:r>
    </w:p>
    <w:p w:rsidRPr="00DA5622" w:rsidR="003447C3" w:rsidP="00A2086E" w:rsidRDefault="007E421A" w14:paraId="0BA304B6" w14:textId="6E6751E0">
      <w:pPr>
        <w:pStyle w:val="ListParagraph"/>
        <w:numPr>
          <w:ilvl w:val="0"/>
          <w:numId w:val="25"/>
        </w:numPr>
        <w:spacing w:after="160" w:line="259" w:lineRule="auto"/>
        <w:ind w:hanging="720"/>
        <w:jc w:val="left"/>
        <w:rPr>
          <w:b/>
          <w:sz w:val="18"/>
          <w:szCs w:val="18"/>
        </w:rPr>
      </w:pPr>
      <w:hyperlink w:history="1" r:id="rId50">
        <w:r w:rsidR="00E11732">
          <w:rPr>
            <w:b/>
            <w:i/>
            <w:color w:val="0000FF"/>
            <w:sz w:val="28"/>
            <w:u w:val="single"/>
          </w:rPr>
          <w:t>Pescas – Organização das Pescarias do Noroeste do Atlântico (NAFO)</w:t>
        </w:r>
      </w:hyperlink>
    </w:p>
    <w:p w:rsidRPr="003447C3" w:rsidR="003447C3" w:rsidP="003447C3" w:rsidRDefault="003447C3" w14:paraId="07F88174" w14:textId="77777777">
      <w:pPr>
        <w:widowControl w:val="0"/>
        <w:overflowPunct w:val="0"/>
        <w:autoSpaceDE w:val="0"/>
        <w:autoSpaceDN w:val="0"/>
        <w:adjustRightInd w:val="0"/>
        <w:textAlignment w:val="baseline"/>
        <w:rPr>
          <w:b/>
          <w:sz w:val="18"/>
          <w:szCs w:val="18"/>
        </w:rPr>
      </w:pPr>
    </w:p>
    <w:tbl>
      <w:tblPr>
        <w:tblStyle w:val="TableGrid50"/>
        <w:tblW w:w="3907"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0"/>
        <w:gridCol w:w="5066"/>
      </w:tblGrid>
      <w:tr w:rsidRPr="003447C3" w:rsidR="003447C3" w:rsidTr="00D97149" w14:paraId="71ED254D" w14:textId="77777777">
        <w:tc>
          <w:tcPr>
            <w:tcW w:w="1400" w:type="pct"/>
          </w:tcPr>
          <w:p w:rsidRPr="003447C3" w:rsidR="003447C3" w:rsidP="00A2086E" w:rsidRDefault="003447C3" w14:paraId="638AEF9E" w14:textId="77777777">
            <w:pPr>
              <w:tabs>
                <w:tab w:val="center" w:pos="284"/>
              </w:tabs>
              <w:overflowPunct w:val="0"/>
              <w:autoSpaceDE w:val="0"/>
              <w:autoSpaceDN w:val="0"/>
              <w:adjustRightInd w:val="0"/>
              <w:ind w:left="266" w:hanging="376"/>
              <w:textAlignment w:val="baseline"/>
              <w:rPr>
                <w:b/>
              </w:rPr>
            </w:pPr>
            <w:r>
              <w:rPr>
                <w:b/>
              </w:rPr>
              <w:t>Relator</w:t>
            </w:r>
          </w:p>
        </w:tc>
        <w:tc>
          <w:tcPr>
            <w:tcW w:w="3600" w:type="pct"/>
          </w:tcPr>
          <w:p w:rsidRPr="003447C3" w:rsidR="003447C3" w:rsidP="00A2086E" w:rsidRDefault="003447C3" w14:paraId="64176E3E" w14:textId="67A91469">
            <w:pPr>
              <w:tabs>
                <w:tab w:val="center" w:pos="284"/>
              </w:tabs>
              <w:overflowPunct w:val="0"/>
              <w:autoSpaceDE w:val="0"/>
              <w:autoSpaceDN w:val="0"/>
              <w:adjustRightInd w:val="0"/>
              <w:ind w:left="266" w:hanging="376"/>
              <w:textAlignment w:val="baseline"/>
            </w:pPr>
            <w:r>
              <w:t>Stefano Palmieri (IT – Grupo dos Trabalhadores)</w:t>
            </w:r>
          </w:p>
        </w:tc>
      </w:tr>
      <w:tr w:rsidRPr="003447C3" w:rsidR="003447C3" w:rsidTr="00D97149" w14:paraId="36004CEE" w14:textId="77777777">
        <w:tc>
          <w:tcPr>
            <w:tcW w:w="5000" w:type="pct"/>
            <w:gridSpan w:val="2"/>
          </w:tcPr>
          <w:p w:rsidRPr="003447C3" w:rsidR="003447C3" w:rsidP="00A2086E" w:rsidRDefault="003447C3" w14:paraId="31BCE094" w14:textId="77777777">
            <w:pPr>
              <w:tabs>
                <w:tab w:val="center" w:pos="284"/>
              </w:tabs>
              <w:overflowPunct w:val="0"/>
              <w:autoSpaceDE w:val="0"/>
              <w:autoSpaceDN w:val="0"/>
              <w:adjustRightInd w:val="0"/>
              <w:spacing w:line="160" w:lineRule="exact"/>
              <w:ind w:left="266" w:hanging="376"/>
              <w:textAlignment w:val="baseline"/>
            </w:pPr>
          </w:p>
        </w:tc>
      </w:tr>
      <w:tr w:rsidRPr="003447C3" w:rsidR="003447C3" w:rsidTr="00D97149" w14:paraId="47C1D171" w14:textId="77777777">
        <w:tc>
          <w:tcPr>
            <w:tcW w:w="1400" w:type="pct"/>
            <w:vMerge w:val="restart"/>
          </w:tcPr>
          <w:p w:rsidRPr="003447C3" w:rsidR="003447C3" w:rsidP="00A2086E" w:rsidRDefault="003447C3" w14:paraId="44942505" w14:textId="77777777">
            <w:pPr>
              <w:tabs>
                <w:tab w:val="center" w:pos="284"/>
              </w:tabs>
              <w:overflowPunct w:val="0"/>
              <w:autoSpaceDE w:val="0"/>
              <w:autoSpaceDN w:val="0"/>
              <w:adjustRightInd w:val="0"/>
              <w:ind w:left="266" w:hanging="376"/>
              <w:textAlignment w:val="baseline"/>
              <w:rPr>
                <w:b/>
              </w:rPr>
            </w:pPr>
            <w:r>
              <w:rPr>
                <w:b/>
              </w:rPr>
              <w:t>Referências</w:t>
            </w:r>
          </w:p>
        </w:tc>
        <w:tc>
          <w:tcPr>
            <w:tcW w:w="3600" w:type="pct"/>
          </w:tcPr>
          <w:p w:rsidRPr="003447C3" w:rsidR="003447C3" w:rsidP="00A2086E" w:rsidRDefault="003447C3" w14:paraId="025D1380" w14:textId="4568F496">
            <w:pPr>
              <w:tabs>
                <w:tab w:val="center" w:pos="284"/>
              </w:tabs>
              <w:overflowPunct w:val="0"/>
              <w:autoSpaceDE w:val="0"/>
              <w:autoSpaceDN w:val="0"/>
              <w:adjustRightInd w:val="0"/>
              <w:ind w:left="266" w:hanging="376"/>
              <w:textAlignment w:val="baseline"/>
            </w:pPr>
            <w:r>
              <w:t xml:space="preserve">COM(2023) 108 final </w:t>
            </w:r>
          </w:p>
        </w:tc>
      </w:tr>
      <w:tr w:rsidRPr="003447C3" w:rsidR="003447C3" w:rsidTr="00D97149" w14:paraId="782957C4" w14:textId="77777777">
        <w:tc>
          <w:tcPr>
            <w:tcW w:w="1400" w:type="pct"/>
            <w:vMerge/>
          </w:tcPr>
          <w:p w:rsidRPr="003447C3" w:rsidR="003447C3" w:rsidP="00A2086E" w:rsidRDefault="003447C3" w14:paraId="718CC1E1" w14:textId="77777777">
            <w:pPr>
              <w:tabs>
                <w:tab w:val="center" w:pos="284"/>
              </w:tabs>
              <w:overflowPunct w:val="0"/>
              <w:autoSpaceDE w:val="0"/>
              <w:autoSpaceDN w:val="0"/>
              <w:adjustRightInd w:val="0"/>
              <w:ind w:left="266" w:hanging="376"/>
              <w:textAlignment w:val="baseline"/>
              <w:rPr>
                <w:b/>
              </w:rPr>
            </w:pPr>
          </w:p>
        </w:tc>
        <w:tc>
          <w:tcPr>
            <w:tcW w:w="3600" w:type="pct"/>
          </w:tcPr>
          <w:p w:rsidRPr="003447C3" w:rsidR="003447C3" w:rsidP="00A2086E" w:rsidRDefault="003447C3" w14:paraId="3FF6BFD0" w14:textId="3E823493">
            <w:pPr>
              <w:tabs>
                <w:tab w:val="center" w:pos="284"/>
              </w:tabs>
              <w:overflowPunct w:val="0"/>
              <w:autoSpaceDE w:val="0"/>
              <w:autoSpaceDN w:val="0"/>
              <w:adjustRightInd w:val="0"/>
              <w:ind w:left="266" w:hanging="376"/>
              <w:textAlignment w:val="baseline"/>
            </w:pPr>
            <w:r>
              <w:t>EESC-2023-02283-00-00-AC</w:t>
            </w:r>
          </w:p>
        </w:tc>
      </w:tr>
    </w:tbl>
    <w:p w:rsidRPr="003447C3" w:rsidR="003447C3" w:rsidP="003447C3" w:rsidRDefault="003447C3" w14:paraId="6518E5CC" w14:textId="77777777">
      <w:pPr>
        <w:tabs>
          <w:tab w:val="center" w:pos="284"/>
        </w:tabs>
        <w:overflowPunct w:val="0"/>
        <w:autoSpaceDE w:val="0"/>
        <w:autoSpaceDN w:val="0"/>
        <w:adjustRightInd w:val="0"/>
        <w:ind w:left="266" w:hanging="266"/>
        <w:textAlignment w:val="baseline"/>
        <w:rPr>
          <w:sz w:val="18"/>
          <w:szCs w:val="18"/>
        </w:rPr>
      </w:pPr>
    </w:p>
    <w:p w:rsidRPr="003447C3" w:rsidR="003447C3" w:rsidP="003447C3" w:rsidRDefault="003447C3" w14:paraId="0734BD06"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003447C3" w:rsidP="003447C3" w:rsidRDefault="003447C3" w14:paraId="0D44309A" w14:textId="5E8E85BB">
      <w:pPr>
        <w:keepNext/>
        <w:keepLines/>
        <w:tabs>
          <w:tab w:val="center" w:pos="284"/>
        </w:tabs>
        <w:overflowPunct w:val="0"/>
        <w:autoSpaceDE w:val="0"/>
        <w:autoSpaceDN w:val="0"/>
        <w:adjustRightInd w:val="0"/>
        <w:ind w:left="266" w:hanging="266"/>
        <w:textAlignment w:val="baseline"/>
        <w:rPr>
          <w:b/>
          <w:sz w:val="18"/>
          <w:szCs w:val="18"/>
        </w:rPr>
      </w:pPr>
    </w:p>
    <w:p w:rsidRPr="003447C3" w:rsidR="003447C3" w:rsidP="003447C3" w:rsidRDefault="003447C3" w14:paraId="0C0937E0" w14:textId="77777777">
      <w:pPr>
        <w:overflowPunct w:val="0"/>
        <w:autoSpaceDE w:val="0"/>
        <w:autoSpaceDN w:val="0"/>
        <w:adjustRightInd w:val="0"/>
        <w:textAlignment w:val="baseline"/>
        <w:rPr>
          <w:bCs/>
          <w:iCs/>
        </w:rPr>
      </w:pPr>
      <w:r>
        <w:t>O Comité Económico e Social Europeu:</w:t>
      </w:r>
    </w:p>
    <w:p w:rsidRPr="003447C3" w:rsidR="003447C3" w:rsidP="003447C3" w:rsidRDefault="003447C3" w14:paraId="58B13B21" w14:textId="77777777">
      <w:pPr>
        <w:overflowPunct w:val="0"/>
        <w:autoSpaceDE w:val="0"/>
        <w:autoSpaceDN w:val="0"/>
        <w:adjustRightInd w:val="0"/>
        <w:textAlignment w:val="baseline"/>
        <w:rPr>
          <w:bCs/>
          <w:iCs/>
          <w:sz w:val="18"/>
          <w:szCs w:val="18"/>
        </w:rPr>
      </w:pPr>
    </w:p>
    <w:p w:rsidRPr="003447C3" w:rsidR="003447C3" w:rsidP="00A2086E" w:rsidRDefault="003447C3" w14:paraId="22364804" w14:textId="2125F6A8">
      <w:pPr>
        <w:numPr>
          <w:ilvl w:val="0"/>
          <w:numId w:val="34"/>
        </w:numPr>
        <w:overflowPunct w:val="0"/>
        <w:autoSpaceDE w:val="0"/>
        <w:autoSpaceDN w:val="0"/>
        <w:adjustRightInd w:val="0"/>
        <w:ind w:left="426" w:hanging="426"/>
        <w:textAlignment w:val="baseline"/>
        <w:outlineLvl w:val="1"/>
        <w:rPr>
          <w:szCs w:val="20"/>
        </w:rPr>
      </w:pPr>
      <w:r>
        <w:t>reitera o seu ponto de vista expresso no Parecer 2018/05155</w:t>
      </w:r>
      <w:r w:rsidRPr="003447C3">
        <w:rPr>
          <w:sz w:val="24"/>
          <w:szCs w:val="20"/>
          <w:vertAlign w:val="superscript"/>
          <w:lang w:eastAsia="es-ES" w:bidi="es-ES"/>
        </w:rPr>
        <w:footnoteReference w:id="1"/>
      </w:r>
      <w:r>
        <w:t>, no Parecer 2020/02842</w:t>
      </w:r>
      <w:r w:rsidRPr="003447C3">
        <w:rPr>
          <w:sz w:val="24"/>
          <w:szCs w:val="20"/>
          <w:vertAlign w:val="superscript"/>
          <w:lang w:eastAsia="es-ES" w:bidi="es-ES"/>
        </w:rPr>
        <w:footnoteReference w:id="2"/>
      </w:r>
      <w:r>
        <w:t xml:space="preserve"> e no Parecer 2022/01131</w:t>
      </w:r>
      <w:r w:rsidRPr="003447C3">
        <w:rPr>
          <w:sz w:val="24"/>
          <w:szCs w:val="20"/>
          <w:vertAlign w:val="superscript"/>
          <w:lang w:eastAsia="es-ES" w:bidi="es-ES"/>
        </w:rPr>
        <w:footnoteReference w:id="3"/>
      </w:r>
      <w:r>
        <w:t>;</w:t>
      </w:r>
    </w:p>
    <w:p w:rsidRPr="003447C3" w:rsidR="003447C3" w:rsidP="00A2086E" w:rsidRDefault="003447C3" w14:paraId="177591EE" w14:textId="48744F37">
      <w:pPr>
        <w:numPr>
          <w:ilvl w:val="0"/>
          <w:numId w:val="34"/>
        </w:numPr>
        <w:overflowPunct w:val="0"/>
        <w:autoSpaceDE w:val="0"/>
        <w:autoSpaceDN w:val="0"/>
        <w:adjustRightInd w:val="0"/>
        <w:ind w:left="426" w:hanging="426"/>
        <w:textAlignment w:val="baseline"/>
        <w:outlineLvl w:val="1"/>
        <w:rPr>
          <w:szCs w:val="20"/>
        </w:rPr>
      </w:pPr>
      <w:r>
        <w:t>considera que a proposta não prevê um mecanismo rápido para transpor as normas adotadas pela NAFO e não resolve o problema da necessidade de atualizá-las anualmente;</w:t>
      </w:r>
    </w:p>
    <w:p w:rsidRPr="003447C3" w:rsidR="003447C3" w:rsidP="00A2086E" w:rsidRDefault="003447C3" w14:paraId="146C0E16" w14:textId="77777777">
      <w:pPr>
        <w:numPr>
          <w:ilvl w:val="0"/>
          <w:numId w:val="34"/>
        </w:numPr>
        <w:overflowPunct w:val="0"/>
        <w:autoSpaceDE w:val="0"/>
        <w:autoSpaceDN w:val="0"/>
        <w:adjustRightInd w:val="0"/>
        <w:ind w:left="426" w:hanging="426"/>
        <w:textAlignment w:val="baseline"/>
        <w:outlineLvl w:val="1"/>
        <w:rPr>
          <w:szCs w:val="20"/>
        </w:rPr>
      </w:pPr>
      <w:r>
        <w:t>é favorável a um mecanismo mais rápido e simples, pelo que propõe um regulamento constituído por um único artigo, no qual se determine que a União Europeia deve imperativamente aplicar à sua frota as normas adotadas pela NAFO.</w:t>
      </w:r>
    </w:p>
    <w:p w:rsidRPr="003447C3" w:rsidR="003447C3" w:rsidP="003447C3" w:rsidRDefault="003447C3" w14:paraId="1359B2B9" w14:textId="77777777">
      <w:pPr>
        <w:widowControl w:val="0"/>
        <w:overflowPunct w:val="0"/>
        <w:autoSpaceDE w:val="0"/>
        <w:autoSpaceDN w:val="0"/>
        <w:adjustRightInd w:val="0"/>
        <w:ind w:left="709"/>
        <w:textAlignment w:val="baseline"/>
        <w:rPr>
          <w:szCs w:val="20"/>
          <w:lang w:val="fr-LU"/>
        </w:rPr>
      </w:pPr>
    </w:p>
    <w:tbl>
      <w:tblPr>
        <w:tblStyle w:val="TableGrid50"/>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447C3" w:rsidR="003447C3" w:rsidTr="00D97149" w14:paraId="5D514F56" w14:textId="77777777">
        <w:tc>
          <w:tcPr>
            <w:tcW w:w="1418" w:type="dxa"/>
          </w:tcPr>
          <w:p w:rsidRPr="003447C3" w:rsidR="003447C3" w:rsidP="003447C3" w:rsidRDefault="003447C3" w14:paraId="732A1ACD" w14:textId="24E35C89">
            <w:pPr>
              <w:overflowPunct w:val="0"/>
              <w:autoSpaceDE w:val="0"/>
              <w:autoSpaceDN w:val="0"/>
              <w:adjustRightInd w:val="0"/>
              <w:spacing w:line="240" w:lineRule="auto"/>
              <w:textAlignment w:val="baseline"/>
              <w:rPr>
                <w:i/>
              </w:rPr>
            </w:pPr>
            <w:r>
              <w:rPr>
                <w:b/>
                <w:i/>
              </w:rPr>
              <w:t>Contacto</w:t>
            </w:r>
          </w:p>
        </w:tc>
        <w:tc>
          <w:tcPr>
            <w:tcW w:w="5670" w:type="dxa"/>
          </w:tcPr>
          <w:p w:rsidRPr="003447C3" w:rsidR="003447C3" w:rsidP="003447C3" w:rsidRDefault="003447C3" w14:paraId="31532222" w14:textId="77777777">
            <w:pPr>
              <w:overflowPunct w:val="0"/>
              <w:autoSpaceDE w:val="0"/>
              <w:autoSpaceDN w:val="0"/>
              <w:adjustRightInd w:val="0"/>
              <w:spacing w:line="240" w:lineRule="auto"/>
              <w:textAlignment w:val="baseline"/>
              <w:rPr>
                <w:i/>
              </w:rPr>
            </w:pPr>
            <w:r>
              <w:rPr>
                <w:i/>
              </w:rPr>
              <w:t>Arturo Iñiguez</w:t>
            </w:r>
          </w:p>
        </w:tc>
      </w:tr>
      <w:tr w:rsidRPr="003447C3" w:rsidR="003447C3" w:rsidTr="00D97149" w14:paraId="4F322913" w14:textId="77777777">
        <w:tc>
          <w:tcPr>
            <w:tcW w:w="1418" w:type="dxa"/>
          </w:tcPr>
          <w:p w:rsidRPr="003447C3" w:rsidR="003447C3" w:rsidP="003447C3" w:rsidRDefault="003447C3" w14:paraId="135D800B" w14:textId="4161C152">
            <w:pPr>
              <w:overflowPunct w:val="0"/>
              <w:autoSpaceDE w:val="0"/>
              <w:autoSpaceDN w:val="0"/>
              <w:adjustRightInd w:val="0"/>
              <w:spacing w:line="240" w:lineRule="auto"/>
              <w:textAlignment w:val="baseline"/>
              <w:rPr>
                <w:i/>
              </w:rPr>
            </w:pPr>
            <w:r>
              <w:rPr>
                <w:i/>
              </w:rPr>
              <w:t>Tel.</w:t>
            </w:r>
          </w:p>
        </w:tc>
        <w:tc>
          <w:tcPr>
            <w:tcW w:w="5670" w:type="dxa"/>
          </w:tcPr>
          <w:p w:rsidRPr="003447C3" w:rsidR="003447C3" w:rsidP="003447C3" w:rsidRDefault="003447C3" w14:paraId="0505EBC2" w14:textId="77777777">
            <w:pPr>
              <w:overflowPunct w:val="0"/>
              <w:autoSpaceDE w:val="0"/>
              <w:autoSpaceDN w:val="0"/>
              <w:adjustRightInd w:val="0"/>
              <w:spacing w:line="240" w:lineRule="auto"/>
              <w:textAlignment w:val="baseline"/>
              <w:rPr>
                <w:i/>
              </w:rPr>
            </w:pPr>
            <w:r>
              <w:rPr>
                <w:i/>
              </w:rPr>
              <w:t>+32 2 546 8768</w:t>
            </w:r>
          </w:p>
        </w:tc>
      </w:tr>
      <w:tr w:rsidRPr="003447C3" w:rsidR="003748B6" w:rsidTr="00D97149" w14:paraId="3D62CC70" w14:textId="77777777">
        <w:tc>
          <w:tcPr>
            <w:tcW w:w="1418" w:type="dxa"/>
          </w:tcPr>
          <w:p w:rsidRPr="003447C3" w:rsidR="003748B6" w:rsidP="003447C3" w:rsidRDefault="003748B6" w14:paraId="71AE887D" w14:textId="73CC1589">
            <w:pPr>
              <w:overflowPunct w:val="0"/>
              <w:autoSpaceDE w:val="0"/>
              <w:autoSpaceDN w:val="0"/>
              <w:adjustRightInd w:val="0"/>
              <w:spacing w:line="240" w:lineRule="auto"/>
              <w:textAlignment w:val="baseline"/>
              <w:rPr>
                <w:i/>
              </w:rPr>
            </w:pPr>
            <w:r>
              <w:rPr>
                <w:i/>
              </w:rPr>
              <w:t>Endereço eletrónico</w:t>
            </w:r>
          </w:p>
        </w:tc>
        <w:tc>
          <w:tcPr>
            <w:tcW w:w="5670" w:type="dxa"/>
          </w:tcPr>
          <w:p w:rsidRPr="003447C3" w:rsidR="003748B6" w:rsidP="003447C3" w:rsidRDefault="007E421A" w14:paraId="4FB7130D" w14:textId="683710FF">
            <w:pPr>
              <w:overflowPunct w:val="0"/>
              <w:autoSpaceDE w:val="0"/>
              <w:autoSpaceDN w:val="0"/>
              <w:adjustRightInd w:val="0"/>
              <w:spacing w:line="240" w:lineRule="auto"/>
              <w:textAlignment w:val="baseline"/>
              <w:rPr>
                <w:i/>
              </w:rPr>
            </w:pPr>
            <w:hyperlink w:history="1" r:id="rId51">
              <w:r w:rsidR="00E11732">
                <w:rPr>
                  <w:rStyle w:val="Hyperlink"/>
                  <w:i/>
                </w:rPr>
                <w:t>Arturo.Iniguez@eesc.europa.eu</w:t>
              </w:r>
            </w:hyperlink>
          </w:p>
        </w:tc>
      </w:tr>
    </w:tbl>
    <w:p w:rsidRPr="00A2086E" w:rsidR="00E110D0" w:rsidP="00A2086E" w:rsidRDefault="00E110D0" w14:paraId="268D0B18" w14:textId="0D7C4C39">
      <w:pPr>
        <w:pStyle w:val="Heading1"/>
        <w:numPr>
          <w:ilvl w:val="0"/>
          <w:numId w:val="3"/>
        </w:numPr>
        <w:ind w:hanging="578"/>
        <w:rPr>
          <w:b/>
          <w:bCs/>
        </w:rPr>
      </w:pPr>
      <w:r>
        <w:br w:type="page"/>
      </w:r>
      <w:bookmarkStart w:name="_Toc136006472" w:id="4"/>
      <w:r>
        <w:rPr>
          <w:b/>
        </w:rPr>
        <w:lastRenderedPageBreak/>
        <w:t>TRANSPORTES, ENERGIA, INFRAESTRUTURAS E SOCIEDADE DA INFORMAÇÃO</w:t>
      </w:r>
      <w:bookmarkEnd w:id="4"/>
    </w:p>
    <w:p w:rsidRPr="005463FF" w:rsidR="002B7C5C" w:rsidP="002B7C5C" w:rsidRDefault="002B7C5C" w14:paraId="55DDD83D" w14:textId="77777777"/>
    <w:p w:rsidRPr="00A13A09" w:rsidR="00A13A09" w:rsidP="00A13A09" w:rsidRDefault="007E421A" w14:paraId="69464818" w14:textId="202C2EDD">
      <w:pPr>
        <w:widowControl w:val="0"/>
        <w:numPr>
          <w:ilvl w:val="0"/>
          <w:numId w:val="1"/>
        </w:numPr>
        <w:overflowPunct w:val="0"/>
        <w:autoSpaceDE w:val="0"/>
        <w:autoSpaceDN w:val="0"/>
        <w:adjustRightInd w:val="0"/>
        <w:ind w:hanging="567"/>
        <w:textAlignment w:val="baseline"/>
        <w:rPr>
          <w:sz w:val="20"/>
          <w:szCs w:val="20"/>
        </w:rPr>
      </w:pPr>
      <w:hyperlink w:history="1" r:id="rId52">
        <w:r w:rsidR="00E11732">
          <w:rPr>
            <w:b/>
            <w:i/>
            <w:color w:val="0000FF"/>
            <w:sz w:val="28"/>
            <w:u w:val="single"/>
          </w:rPr>
          <w:t>Acompanhamento das medidas extraordinárias e da resiliência da UE no domínio energético</w:t>
        </w:r>
      </w:hyperlink>
    </w:p>
    <w:p w:rsidRPr="00A13A09" w:rsidR="00A13A09" w:rsidRDefault="00A13A09" w14:paraId="4848B48F" w14:textId="77777777">
      <w:pPr>
        <w:tabs>
          <w:tab w:val="center" w:pos="284"/>
        </w:tabs>
        <w:overflowPunct w:val="0"/>
        <w:autoSpaceDE w:val="0"/>
        <w:autoSpaceDN w:val="0"/>
        <w:adjustRightInd w:val="0"/>
        <w:ind w:left="266" w:hanging="266"/>
        <w:textAlignment w:val="baseline"/>
        <w:rPr>
          <w:b/>
        </w:rPr>
      </w:pPr>
    </w:p>
    <w:tbl>
      <w:tblPr>
        <w:tblStyle w:val="TableGrid5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1"/>
        <w:gridCol w:w="5387"/>
      </w:tblGrid>
      <w:tr w:rsidRPr="00A13A09" w:rsidR="00A13A09" w:rsidTr="00D97149" w14:paraId="08A5AEC2" w14:textId="77777777">
        <w:tc>
          <w:tcPr>
            <w:tcW w:w="1701" w:type="dxa"/>
          </w:tcPr>
          <w:p w:rsidRPr="00A13A09" w:rsidR="00A13A09" w:rsidRDefault="00A13A09" w14:paraId="2843A4BF" w14:textId="77777777">
            <w:pPr>
              <w:tabs>
                <w:tab w:val="center" w:pos="284"/>
              </w:tabs>
              <w:overflowPunct w:val="0"/>
              <w:autoSpaceDE w:val="0"/>
              <w:autoSpaceDN w:val="0"/>
              <w:adjustRightInd w:val="0"/>
              <w:ind w:left="266" w:hanging="266"/>
              <w:textAlignment w:val="baseline"/>
              <w:rPr>
                <w:b/>
              </w:rPr>
            </w:pPr>
            <w:r>
              <w:rPr>
                <w:b/>
              </w:rPr>
              <w:t>Relator</w:t>
            </w:r>
          </w:p>
        </w:tc>
        <w:tc>
          <w:tcPr>
            <w:tcW w:w="5387" w:type="dxa"/>
          </w:tcPr>
          <w:p w:rsidRPr="00A13A09" w:rsidR="00A13A09" w:rsidRDefault="00A13A09" w14:paraId="46140236" w14:textId="5A0040B4">
            <w:pPr>
              <w:tabs>
                <w:tab w:val="center" w:pos="284"/>
              </w:tabs>
              <w:overflowPunct w:val="0"/>
              <w:autoSpaceDE w:val="0"/>
              <w:autoSpaceDN w:val="0"/>
              <w:adjustRightInd w:val="0"/>
              <w:ind w:left="266" w:hanging="266"/>
              <w:textAlignment w:val="baseline"/>
            </w:pPr>
            <w:r>
              <w:t>Andrés Barceló Delgado (ES – Grupo dos Empregadores)</w:t>
            </w:r>
          </w:p>
        </w:tc>
      </w:tr>
      <w:tr w:rsidRPr="00A13A09" w:rsidR="00A13A09" w:rsidTr="00D97149" w14:paraId="18E2BFEE" w14:textId="77777777">
        <w:tc>
          <w:tcPr>
            <w:tcW w:w="7088" w:type="dxa"/>
            <w:gridSpan w:val="2"/>
          </w:tcPr>
          <w:p w:rsidRPr="00A13A09" w:rsidR="00A13A09" w:rsidRDefault="00A13A09" w14:paraId="572DF37C" w14:textId="77777777">
            <w:pPr>
              <w:tabs>
                <w:tab w:val="center" w:pos="284"/>
              </w:tabs>
              <w:overflowPunct w:val="0"/>
              <w:autoSpaceDE w:val="0"/>
              <w:autoSpaceDN w:val="0"/>
              <w:adjustRightInd w:val="0"/>
              <w:spacing w:line="160" w:lineRule="exact"/>
              <w:ind w:left="266" w:hanging="266"/>
              <w:textAlignment w:val="baseline"/>
            </w:pPr>
          </w:p>
        </w:tc>
      </w:tr>
      <w:tr w:rsidRPr="00A13A09" w:rsidR="00A13A09" w:rsidTr="00D97149" w14:paraId="16A9DD78" w14:textId="77777777">
        <w:tc>
          <w:tcPr>
            <w:tcW w:w="1701" w:type="dxa"/>
          </w:tcPr>
          <w:p w:rsidRPr="00A13A09" w:rsidR="00A13A09" w:rsidRDefault="00A13A09" w14:paraId="4DE9C5CE" w14:textId="77777777">
            <w:pPr>
              <w:tabs>
                <w:tab w:val="center" w:pos="284"/>
              </w:tabs>
              <w:overflowPunct w:val="0"/>
              <w:autoSpaceDE w:val="0"/>
              <w:autoSpaceDN w:val="0"/>
              <w:adjustRightInd w:val="0"/>
              <w:ind w:left="266" w:hanging="266"/>
              <w:textAlignment w:val="baseline"/>
              <w:rPr>
                <w:b/>
              </w:rPr>
            </w:pPr>
            <w:r>
              <w:rPr>
                <w:b/>
              </w:rPr>
              <w:t>Referência</w:t>
            </w:r>
          </w:p>
        </w:tc>
        <w:tc>
          <w:tcPr>
            <w:tcW w:w="5387" w:type="dxa"/>
          </w:tcPr>
          <w:p w:rsidR="00C50BAE" w:rsidRDefault="00C50BAE" w14:paraId="4492437E" w14:textId="77777777">
            <w:pPr>
              <w:tabs>
                <w:tab w:val="center" w:pos="284"/>
              </w:tabs>
              <w:overflowPunct w:val="0"/>
              <w:autoSpaceDE w:val="0"/>
              <w:autoSpaceDN w:val="0"/>
              <w:adjustRightInd w:val="0"/>
              <w:ind w:left="266" w:hanging="266"/>
              <w:textAlignment w:val="baseline"/>
            </w:pPr>
            <w:r>
              <w:t xml:space="preserve">Parecer exploratório a pedido da Presidência espanhola </w:t>
            </w:r>
          </w:p>
          <w:p w:rsidRPr="00A13A09" w:rsidR="00A13A09" w:rsidRDefault="005C078D" w14:paraId="38BF1C35" w14:textId="7DDFD16D">
            <w:pPr>
              <w:tabs>
                <w:tab w:val="center" w:pos="284"/>
              </w:tabs>
              <w:overflowPunct w:val="0"/>
              <w:autoSpaceDE w:val="0"/>
              <w:autoSpaceDN w:val="0"/>
              <w:adjustRightInd w:val="0"/>
              <w:ind w:left="266" w:hanging="266"/>
              <w:textAlignment w:val="baseline"/>
            </w:pPr>
            <w:r>
              <w:t>EESC-2023-00490-00-00-AC</w:t>
            </w:r>
          </w:p>
        </w:tc>
      </w:tr>
    </w:tbl>
    <w:p w:rsidRPr="00A13A09" w:rsidR="00A13A09" w:rsidRDefault="00A13A09" w14:paraId="0DA211A0" w14:textId="77777777">
      <w:pPr>
        <w:tabs>
          <w:tab w:val="center" w:pos="284"/>
        </w:tabs>
        <w:overflowPunct w:val="0"/>
        <w:autoSpaceDE w:val="0"/>
        <w:autoSpaceDN w:val="0"/>
        <w:adjustRightInd w:val="0"/>
        <w:ind w:left="266" w:hanging="266"/>
        <w:textAlignment w:val="baseline"/>
      </w:pPr>
    </w:p>
    <w:p w:rsidRPr="00A13A09" w:rsidR="00A13A09" w:rsidP="00A2086E" w:rsidRDefault="00A13A09" w14:paraId="1D8AD01D" w14:textId="77777777">
      <w:pPr>
        <w:tabs>
          <w:tab w:val="center" w:pos="284"/>
        </w:tabs>
        <w:overflowPunct w:val="0"/>
        <w:autoSpaceDE w:val="0"/>
        <w:autoSpaceDN w:val="0"/>
        <w:adjustRightInd w:val="0"/>
        <w:ind w:left="266" w:hanging="124"/>
        <w:textAlignment w:val="baseline"/>
        <w:rPr>
          <w:b/>
        </w:rPr>
      </w:pPr>
      <w:r>
        <w:rPr>
          <w:b/>
        </w:rPr>
        <w:t>Pontos principais</w:t>
      </w:r>
    </w:p>
    <w:p w:rsidRPr="00A13A09" w:rsidR="00A13A09" w:rsidP="00A2086E" w:rsidRDefault="00A13A09" w14:paraId="715EA9B8" w14:textId="77777777">
      <w:pPr>
        <w:pStyle w:val="Heading1"/>
      </w:pPr>
    </w:p>
    <w:p w:rsidRPr="00A13A09" w:rsidR="00A13A09" w:rsidP="00A2086E" w:rsidRDefault="00A13A09" w14:paraId="57A1F918" w14:textId="77777777">
      <w:pPr>
        <w:tabs>
          <w:tab w:val="center" w:pos="284"/>
        </w:tabs>
        <w:overflowPunct w:val="0"/>
        <w:autoSpaceDE w:val="0"/>
        <w:autoSpaceDN w:val="0"/>
        <w:adjustRightInd w:val="0"/>
        <w:ind w:left="266" w:hanging="124"/>
        <w:textAlignment w:val="baseline"/>
        <w:rPr>
          <w:bCs/>
          <w:iCs/>
        </w:rPr>
      </w:pPr>
      <w:r>
        <w:t>O Comité Económico e Social Europeu:</w:t>
      </w:r>
    </w:p>
    <w:p w:rsidRPr="00A13A09" w:rsidR="00A13A09" w:rsidRDefault="00A13A09" w14:paraId="7BDDF44B" w14:textId="77777777">
      <w:pPr>
        <w:overflowPunct w:val="0"/>
        <w:autoSpaceDE w:val="0"/>
        <w:autoSpaceDN w:val="0"/>
        <w:adjustRightInd w:val="0"/>
        <w:textAlignment w:val="baseline"/>
        <w:rPr>
          <w:bCs/>
          <w:iCs/>
        </w:rPr>
      </w:pPr>
    </w:p>
    <w:p w:rsidRPr="00A13A09" w:rsidR="00A13A09" w:rsidP="00A2086E" w:rsidRDefault="00931577" w14:paraId="0CF1D4A4" w14:textId="4F3D5272">
      <w:pPr>
        <w:widowControl w:val="0"/>
        <w:numPr>
          <w:ilvl w:val="0"/>
          <w:numId w:val="35"/>
        </w:numPr>
        <w:overflowPunct w:val="0"/>
        <w:autoSpaceDE w:val="0"/>
        <w:autoSpaceDN w:val="0"/>
        <w:adjustRightInd w:val="0"/>
        <w:ind w:hanging="502"/>
        <w:textAlignment w:val="baseline"/>
        <w:rPr>
          <w:bCs/>
          <w:iCs/>
        </w:rPr>
      </w:pPr>
      <w:r>
        <w:t>recomenda que se adotem medidas uniformes entre os Estados-Membros, a fim de assegurar condições de concorrência equitativas, exceto nos aspetos relacionados com as instalações ou infraestruturas essenciais;</w:t>
      </w:r>
    </w:p>
    <w:p w:rsidRPr="00A13A09" w:rsidR="00A13A09" w:rsidP="00A2086E" w:rsidRDefault="00931577" w14:paraId="5DF4BBDD" w14:textId="110BA532">
      <w:pPr>
        <w:widowControl w:val="0"/>
        <w:numPr>
          <w:ilvl w:val="0"/>
          <w:numId w:val="35"/>
        </w:numPr>
        <w:overflowPunct w:val="0"/>
        <w:autoSpaceDE w:val="0"/>
        <w:autoSpaceDN w:val="0"/>
        <w:adjustRightInd w:val="0"/>
        <w:ind w:hanging="502"/>
        <w:textAlignment w:val="baseline"/>
        <w:rPr>
          <w:bCs/>
          <w:iCs/>
        </w:rPr>
      </w:pPr>
      <w:r>
        <w:t>sublinha que a ação política da UE deve colocar uma maior ênfase na sua visão a longo prazo destinada a concretizar a dupla transição sem deixar ninguém para trás, indo além da adoção de medidas temporárias destinadas a atenuar a curto prazo o aumento dos preços da energia;</w:t>
      </w:r>
    </w:p>
    <w:p w:rsidRPr="00A13A09" w:rsidR="00A13A09" w:rsidP="00A2086E" w:rsidRDefault="00931577" w14:paraId="45F2C67C" w14:textId="053B5053">
      <w:pPr>
        <w:widowControl w:val="0"/>
        <w:numPr>
          <w:ilvl w:val="0"/>
          <w:numId w:val="35"/>
        </w:numPr>
        <w:overflowPunct w:val="0"/>
        <w:autoSpaceDE w:val="0"/>
        <w:autoSpaceDN w:val="0"/>
        <w:adjustRightInd w:val="0"/>
        <w:ind w:hanging="502"/>
        <w:textAlignment w:val="baseline"/>
        <w:rPr>
          <w:bCs/>
          <w:iCs/>
        </w:rPr>
      </w:pPr>
      <w:r>
        <w:t>considera que, para serem estáveis e previsíveis, os regimes de remuneração das energias renováveis têm de se guiar pelos custos reais de produção a longo prazo e ser dissociados dos preços dos combustíveis fósseis;</w:t>
      </w:r>
    </w:p>
    <w:p w:rsidRPr="00A13A09" w:rsidR="00A13A09" w:rsidP="00A2086E" w:rsidRDefault="00931577" w14:paraId="04822211" w14:textId="4F853A12">
      <w:pPr>
        <w:widowControl w:val="0"/>
        <w:numPr>
          <w:ilvl w:val="0"/>
          <w:numId w:val="35"/>
        </w:numPr>
        <w:overflowPunct w:val="0"/>
        <w:autoSpaceDE w:val="0"/>
        <w:autoSpaceDN w:val="0"/>
        <w:adjustRightInd w:val="0"/>
        <w:ind w:hanging="502"/>
        <w:textAlignment w:val="baseline"/>
      </w:pPr>
      <w:r>
        <w:t>entende que é importante acelerar a implantação em grande escala de fontes de energia que não emitam dióxido de carbono, simplificando, para tal, os processos de licenciamento, a fim de poder pôr rapidamente termo à dependência de combustíveis fósseis de terceiros, cumprir os compromissos em matéria de alterações climáticas e reforçar a competitividade.</w:t>
      </w:r>
    </w:p>
    <w:p w:rsidRPr="00A13A09" w:rsidR="00A13A09" w:rsidP="00A13A09" w:rsidRDefault="00A13A09" w14:paraId="0F61A6FE" w14:textId="77777777">
      <w:pPr>
        <w:widowControl w:val="0"/>
        <w:overflowPunct w:val="0"/>
        <w:autoSpaceDE w:val="0"/>
        <w:autoSpaceDN w:val="0"/>
        <w:adjustRightInd w:val="0"/>
        <w:ind w:left="709"/>
        <w:textAlignment w:val="baseline"/>
        <w:rPr>
          <w:szCs w:val="20"/>
        </w:rPr>
      </w:pPr>
    </w:p>
    <w:tbl>
      <w:tblPr>
        <w:tblStyle w:val="TableGrid52"/>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A13A09" w:rsidR="00A13A09" w:rsidTr="00D97149" w14:paraId="26D477F5" w14:textId="77777777">
        <w:tc>
          <w:tcPr>
            <w:tcW w:w="1418" w:type="dxa"/>
          </w:tcPr>
          <w:p w:rsidRPr="00A13A09" w:rsidR="00A13A09" w:rsidP="00A13A09" w:rsidRDefault="00A13A09" w14:paraId="30501652" w14:textId="5F8A64AC">
            <w:pPr>
              <w:overflowPunct w:val="0"/>
              <w:autoSpaceDE w:val="0"/>
              <w:autoSpaceDN w:val="0"/>
              <w:adjustRightInd w:val="0"/>
              <w:spacing w:line="240" w:lineRule="auto"/>
              <w:textAlignment w:val="baseline"/>
              <w:rPr>
                <w:i/>
              </w:rPr>
            </w:pPr>
            <w:r>
              <w:rPr>
                <w:b/>
                <w:i/>
              </w:rPr>
              <w:t xml:space="preserve">Contacto </w:t>
            </w:r>
          </w:p>
        </w:tc>
        <w:tc>
          <w:tcPr>
            <w:tcW w:w="5670" w:type="dxa"/>
          </w:tcPr>
          <w:p w:rsidRPr="00A13A09" w:rsidR="00A13A09" w:rsidP="00A13A09" w:rsidRDefault="00A13A09" w14:paraId="0B751C89" w14:textId="4511AE0A">
            <w:pPr>
              <w:overflowPunct w:val="0"/>
              <w:autoSpaceDE w:val="0"/>
              <w:autoSpaceDN w:val="0"/>
              <w:adjustRightInd w:val="0"/>
              <w:spacing w:line="240" w:lineRule="auto"/>
              <w:textAlignment w:val="baseline"/>
              <w:rPr>
                <w:i/>
              </w:rPr>
            </w:pPr>
            <w:r>
              <w:rPr>
                <w:i/>
              </w:rPr>
              <w:t>Francesco Napolitano</w:t>
            </w:r>
          </w:p>
        </w:tc>
      </w:tr>
      <w:tr w:rsidRPr="00A13A09" w:rsidR="00A13A09" w:rsidTr="00D97149" w14:paraId="7563550B" w14:textId="77777777">
        <w:tc>
          <w:tcPr>
            <w:tcW w:w="1418" w:type="dxa"/>
          </w:tcPr>
          <w:p w:rsidRPr="00A13A09" w:rsidR="00A13A09" w:rsidP="00A13A09" w:rsidRDefault="00A13A09" w14:paraId="400AB0B8" w14:textId="4B9F152A">
            <w:pPr>
              <w:overflowPunct w:val="0"/>
              <w:autoSpaceDE w:val="0"/>
              <w:autoSpaceDN w:val="0"/>
              <w:adjustRightInd w:val="0"/>
              <w:spacing w:line="240" w:lineRule="auto"/>
              <w:textAlignment w:val="baseline"/>
              <w:rPr>
                <w:i/>
              </w:rPr>
            </w:pPr>
            <w:r>
              <w:rPr>
                <w:i/>
              </w:rPr>
              <w:t>Tel.</w:t>
            </w:r>
          </w:p>
        </w:tc>
        <w:tc>
          <w:tcPr>
            <w:tcW w:w="5670" w:type="dxa"/>
          </w:tcPr>
          <w:p w:rsidRPr="00A13A09" w:rsidR="00A13A09" w:rsidP="00A13A09" w:rsidRDefault="00A13A09" w14:paraId="752A5DF4" w14:textId="77777777">
            <w:pPr>
              <w:overflowPunct w:val="0"/>
              <w:autoSpaceDE w:val="0"/>
              <w:autoSpaceDN w:val="0"/>
              <w:adjustRightInd w:val="0"/>
              <w:spacing w:line="240" w:lineRule="auto"/>
              <w:textAlignment w:val="baseline"/>
              <w:rPr>
                <w:i/>
              </w:rPr>
            </w:pPr>
            <w:r>
              <w:rPr>
                <w:i/>
              </w:rPr>
              <w:t>+32 2 546 8921</w:t>
            </w:r>
          </w:p>
        </w:tc>
      </w:tr>
      <w:tr w:rsidRPr="00A13A09" w:rsidR="00A13A09" w:rsidTr="00D97149" w14:paraId="078BF9AF" w14:textId="77777777">
        <w:tc>
          <w:tcPr>
            <w:tcW w:w="1418" w:type="dxa"/>
          </w:tcPr>
          <w:p w:rsidRPr="00A13A09" w:rsidR="00A13A09" w:rsidP="00A13A09" w:rsidRDefault="00D115CF" w14:paraId="7EC28D7D" w14:textId="74073302">
            <w:pPr>
              <w:overflowPunct w:val="0"/>
              <w:autoSpaceDE w:val="0"/>
              <w:autoSpaceDN w:val="0"/>
              <w:adjustRightInd w:val="0"/>
              <w:spacing w:line="240" w:lineRule="auto"/>
              <w:textAlignment w:val="baseline"/>
              <w:rPr>
                <w:i/>
              </w:rPr>
            </w:pPr>
            <w:r>
              <w:rPr>
                <w:i/>
              </w:rPr>
              <w:t>Endereço eletrónico</w:t>
            </w:r>
          </w:p>
        </w:tc>
        <w:tc>
          <w:tcPr>
            <w:tcW w:w="5670" w:type="dxa"/>
          </w:tcPr>
          <w:p w:rsidRPr="00A13A09" w:rsidR="00A13A09" w:rsidP="00A13A09" w:rsidRDefault="007E421A" w14:paraId="08BAF66A" w14:textId="77777777">
            <w:pPr>
              <w:overflowPunct w:val="0"/>
              <w:autoSpaceDE w:val="0"/>
              <w:autoSpaceDN w:val="0"/>
              <w:adjustRightInd w:val="0"/>
              <w:spacing w:line="240" w:lineRule="auto"/>
              <w:textAlignment w:val="baseline"/>
              <w:rPr>
                <w:i/>
              </w:rPr>
            </w:pPr>
            <w:hyperlink w:history="1" r:id="rId53">
              <w:r w:rsidR="00E11732">
                <w:rPr>
                  <w:i/>
                  <w:color w:val="0000FF"/>
                  <w:u w:val="single"/>
                </w:rPr>
                <w:t>Francesco.Napolitano@eesc.europa.eu</w:t>
              </w:r>
            </w:hyperlink>
            <w:r w:rsidR="00E11732">
              <w:rPr>
                <w:i/>
              </w:rPr>
              <w:t xml:space="preserve"> </w:t>
            </w:r>
          </w:p>
        </w:tc>
      </w:tr>
    </w:tbl>
    <w:p w:rsidRPr="00256BEC" w:rsidR="00E110D0" w:rsidP="00E110D0" w:rsidRDefault="00E110D0" w14:paraId="61B5B0FF" w14:textId="77777777">
      <w:pPr>
        <w:spacing w:after="160" w:line="259" w:lineRule="auto"/>
        <w:jc w:val="left"/>
        <w:rPr>
          <w:b/>
          <w:bCs/>
        </w:rPr>
      </w:pPr>
    </w:p>
    <w:p w:rsidRPr="005463FF" w:rsidR="00E35F6C" w:rsidRDefault="00E35F6C" w14:paraId="23B4F712" w14:textId="77777777">
      <w:pPr>
        <w:spacing w:after="160" w:line="259" w:lineRule="auto"/>
        <w:jc w:val="left"/>
        <w:rPr>
          <w:sz w:val="16"/>
          <w:szCs w:val="16"/>
        </w:rPr>
      </w:pPr>
      <w:r>
        <w:br w:type="page"/>
      </w:r>
    </w:p>
    <w:p w:rsidRPr="00330A97" w:rsidR="00330A97" w:rsidP="00330A97" w:rsidRDefault="007E421A" w14:paraId="21AFA122" w14:textId="524E85E1">
      <w:pPr>
        <w:widowControl w:val="0"/>
        <w:numPr>
          <w:ilvl w:val="0"/>
          <w:numId w:val="1"/>
        </w:numPr>
        <w:overflowPunct w:val="0"/>
        <w:autoSpaceDE w:val="0"/>
        <w:autoSpaceDN w:val="0"/>
        <w:adjustRightInd w:val="0"/>
        <w:ind w:hanging="567"/>
        <w:textAlignment w:val="baseline"/>
        <w:rPr>
          <w:sz w:val="20"/>
          <w:szCs w:val="20"/>
        </w:rPr>
      </w:pPr>
      <w:hyperlink w:history="1" r:id="rId54">
        <w:r w:rsidR="00E11732">
          <w:rPr>
            <w:b/>
            <w:i/>
            <w:color w:val="0000FF"/>
            <w:sz w:val="28"/>
            <w:u w:val="single"/>
          </w:rPr>
          <w:t>O impacto da crise energética na economia europeia</w:t>
        </w:r>
      </w:hyperlink>
    </w:p>
    <w:p w:rsidRPr="00330A97" w:rsidR="00330A97" w:rsidP="00330A97" w:rsidRDefault="00330A97" w14:paraId="69C55AA8" w14:textId="77777777">
      <w:pPr>
        <w:tabs>
          <w:tab w:val="center" w:pos="284"/>
        </w:tabs>
        <w:overflowPunct w:val="0"/>
        <w:autoSpaceDE w:val="0"/>
        <w:autoSpaceDN w:val="0"/>
        <w:adjustRightInd w:val="0"/>
        <w:ind w:left="266" w:hanging="266"/>
        <w:textAlignment w:val="baseline"/>
        <w:rPr>
          <w:b/>
        </w:rPr>
      </w:pPr>
    </w:p>
    <w:tbl>
      <w:tblPr>
        <w:tblStyle w:val="TableGrid53"/>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0"/>
        <w:gridCol w:w="6720"/>
      </w:tblGrid>
      <w:tr w:rsidRPr="00330A97" w:rsidR="00330A97" w:rsidTr="003748B6" w14:paraId="0F9BD801" w14:textId="77777777">
        <w:tc>
          <w:tcPr>
            <w:tcW w:w="2210" w:type="dxa"/>
          </w:tcPr>
          <w:p w:rsidRPr="00330A97" w:rsidR="00330A97" w:rsidP="00330A97" w:rsidRDefault="00330A97" w14:paraId="5333DFE8" w14:textId="77777777">
            <w:pPr>
              <w:tabs>
                <w:tab w:val="center" w:pos="284"/>
              </w:tabs>
              <w:overflowPunct w:val="0"/>
              <w:autoSpaceDE w:val="0"/>
              <w:autoSpaceDN w:val="0"/>
              <w:adjustRightInd w:val="0"/>
              <w:ind w:left="266" w:hanging="266"/>
              <w:textAlignment w:val="baseline"/>
              <w:rPr>
                <w:b/>
              </w:rPr>
            </w:pPr>
            <w:r>
              <w:rPr>
                <w:b/>
              </w:rPr>
              <w:t xml:space="preserve">Relatora </w:t>
            </w:r>
          </w:p>
        </w:tc>
        <w:tc>
          <w:tcPr>
            <w:tcW w:w="6720" w:type="dxa"/>
          </w:tcPr>
          <w:p w:rsidRPr="00330A97" w:rsidR="00330A97" w:rsidP="00330A97" w:rsidRDefault="00330A97" w14:paraId="0821B14F" w14:textId="3A8195E0">
            <w:pPr>
              <w:tabs>
                <w:tab w:val="center" w:pos="284"/>
              </w:tabs>
              <w:overflowPunct w:val="0"/>
              <w:autoSpaceDE w:val="0"/>
              <w:autoSpaceDN w:val="0"/>
              <w:adjustRightInd w:val="0"/>
              <w:ind w:left="266" w:hanging="266"/>
              <w:textAlignment w:val="baseline"/>
            </w:pPr>
            <w:r>
              <w:t>Alena Mastantuono (CZ – Grupo dos Empregadores)</w:t>
            </w:r>
          </w:p>
        </w:tc>
      </w:tr>
      <w:tr w:rsidRPr="00330A97" w:rsidR="00330A97" w:rsidTr="003748B6" w14:paraId="4DA64501" w14:textId="77777777">
        <w:tc>
          <w:tcPr>
            <w:tcW w:w="8930" w:type="dxa"/>
            <w:gridSpan w:val="2"/>
          </w:tcPr>
          <w:p w:rsidRPr="00330A97" w:rsidR="00330A97" w:rsidP="00330A97" w:rsidRDefault="00330A97" w14:paraId="68BA4998"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3748B6" w14:paraId="412A9D15" w14:textId="77777777">
        <w:tc>
          <w:tcPr>
            <w:tcW w:w="2210" w:type="dxa"/>
          </w:tcPr>
          <w:p w:rsidRPr="00330A97" w:rsidR="00330A97" w:rsidP="00330A97" w:rsidRDefault="00330A97" w14:paraId="7EB209B5" w14:textId="77777777">
            <w:pPr>
              <w:tabs>
                <w:tab w:val="center" w:pos="284"/>
              </w:tabs>
              <w:overflowPunct w:val="0"/>
              <w:autoSpaceDE w:val="0"/>
              <w:autoSpaceDN w:val="0"/>
              <w:adjustRightInd w:val="0"/>
              <w:ind w:left="266" w:hanging="266"/>
              <w:textAlignment w:val="baseline"/>
              <w:rPr>
                <w:b/>
              </w:rPr>
            </w:pPr>
            <w:r>
              <w:rPr>
                <w:b/>
              </w:rPr>
              <w:t>Referência</w:t>
            </w:r>
          </w:p>
        </w:tc>
        <w:tc>
          <w:tcPr>
            <w:tcW w:w="6720" w:type="dxa"/>
          </w:tcPr>
          <w:p w:rsidRPr="00330A97" w:rsidR="00330A97" w:rsidP="00330A97" w:rsidRDefault="00330A97" w14:paraId="0F2B5680" w14:textId="77777777">
            <w:pPr>
              <w:tabs>
                <w:tab w:val="center" w:pos="284"/>
              </w:tabs>
              <w:overflowPunct w:val="0"/>
              <w:autoSpaceDE w:val="0"/>
              <w:autoSpaceDN w:val="0"/>
              <w:adjustRightInd w:val="0"/>
              <w:ind w:left="266" w:hanging="266"/>
              <w:textAlignment w:val="baseline"/>
            </w:pPr>
            <w:r>
              <w:t>Parecer de iniciativa</w:t>
            </w:r>
          </w:p>
          <w:p w:rsidRPr="00330A97" w:rsidR="00330A97" w:rsidP="00330A97" w:rsidRDefault="00330A97" w14:paraId="0CA215CA" w14:textId="21657041">
            <w:pPr>
              <w:tabs>
                <w:tab w:val="center" w:pos="284"/>
              </w:tabs>
              <w:overflowPunct w:val="0"/>
              <w:autoSpaceDE w:val="0"/>
              <w:autoSpaceDN w:val="0"/>
              <w:adjustRightInd w:val="0"/>
              <w:ind w:left="266" w:hanging="266"/>
              <w:textAlignment w:val="baseline"/>
            </w:pPr>
            <w:r>
              <w:t>EESC-2023-00493-00-00-AC</w:t>
            </w:r>
          </w:p>
        </w:tc>
      </w:tr>
    </w:tbl>
    <w:p w:rsidR="003748B6" w:rsidP="00330A97" w:rsidRDefault="003748B6" w14:paraId="5C433110"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5E879C2C" w14:textId="574DBC71">
      <w:pPr>
        <w:keepNext/>
        <w:keepLines/>
        <w:tabs>
          <w:tab w:val="center" w:pos="284"/>
        </w:tabs>
        <w:overflowPunct w:val="0"/>
        <w:autoSpaceDE w:val="0"/>
        <w:autoSpaceDN w:val="0"/>
        <w:adjustRightInd w:val="0"/>
        <w:ind w:left="266" w:hanging="266"/>
        <w:textAlignment w:val="baseline"/>
        <w:rPr>
          <w:b/>
        </w:rPr>
      </w:pPr>
      <w:r>
        <w:rPr>
          <w:b/>
        </w:rPr>
        <w:t>Pontos principais</w:t>
      </w:r>
    </w:p>
    <w:p w:rsidRPr="00330A97" w:rsidR="00330A97" w:rsidP="00330A97" w:rsidRDefault="00330A97" w14:paraId="137F32A8"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11C71560" w14:textId="77777777">
      <w:pPr>
        <w:overflowPunct w:val="0"/>
        <w:autoSpaceDE w:val="0"/>
        <w:autoSpaceDN w:val="0"/>
        <w:adjustRightInd w:val="0"/>
        <w:textAlignment w:val="baseline"/>
        <w:rPr>
          <w:bCs/>
          <w:iCs/>
        </w:rPr>
      </w:pPr>
      <w:r>
        <w:t>O Comité Económico e Social Europeu:</w:t>
      </w:r>
    </w:p>
    <w:p w:rsidRPr="00A2086E" w:rsidR="00330A97" w:rsidP="00330A97" w:rsidRDefault="00330A97" w14:paraId="1D8BBC26" w14:textId="77777777">
      <w:pPr>
        <w:contextualSpacing/>
        <w:rPr>
          <w:b/>
          <w:bCs/>
          <w:lang w:eastAsia="zh-CN"/>
        </w:rPr>
      </w:pPr>
    </w:p>
    <w:p w:rsidRPr="00485EA6" w:rsidR="00330A97" w:rsidP="00A2086E" w:rsidRDefault="00EB46E1" w14:paraId="14BDC118" w14:textId="758E474A">
      <w:pPr>
        <w:pStyle w:val="ListParagraph"/>
        <w:numPr>
          <w:ilvl w:val="0"/>
          <w:numId w:val="36"/>
        </w:numPr>
        <w:overflowPunct w:val="0"/>
        <w:autoSpaceDE w:val="0"/>
        <w:autoSpaceDN w:val="0"/>
        <w:adjustRightInd w:val="0"/>
        <w:ind w:left="426" w:hanging="426"/>
        <w:textAlignment w:val="baseline"/>
        <w:rPr>
          <w:szCs w:val="20"/>
        </w:rPr>
      </w:pPr>
      <w:r>
        <w:t>considera que a UE deve ir além das respostas orçamentais de emergência e concentrar-se em mudanças estruturais que lhe permitam dissociar-se mais rapidamente dos combustíveis fósseis. Para assegurar o seu desenvolvimento económico harmonioso e competitivo, a UE necessita de fornecimentos fiáveis e seguros de energia a preços acessíveis, através de um mercado integrado da energia com uma elevada quota de energias limpas, resiliente e capaz de enfrentar perturbações e choques;</w:t>
      </w:r>
    </w:p>
    <w:p w:rsidRPr="00330A97" w:rsidR="00330A97" w:rsidP="00A2086E" w:rsidRDefault="00EB46E1" w14:paraId="4EA56D8A" w14:textId="541F3166">
      <w:pPr>
        <w:pStyle w:val="ListParagraph"/>
        <w:numPr>
          <w:ilvl w:val="0"/>
          <w:numId w:val="36"/>
        </w:numPr>
        <w:overflowPunct w:val="0"/>
        <w:autoSpaceDE w:val="0"/>
        <w:autoSpaceDN w:val="0"/>
        <w:adjustRightInd w:val="0"/>
        <w:ind w:left="426" w:hanging="426"/>
        <w:textAlignment w:val="baseline"/>
      </w:pPr>
      <w:r>
        <w:t>propõe a criação de um critério «ecológico triplo», com base nas recomendações do BCE, que assegure que as futuras intervenções sejam adaptadas à situação, orientadas para uma finalidade e compatíveis com a transição. A adoção de medidas relativas aos preços sem um alvo específico apenas prolongaria, a mais longo prazo, o período de inflação elevada;</w:t>
      </w:r>
    </w:p>
    <w:p w:rsidRPr="00485EA6" w:rsidR="00330A97" w:rsidP="00A2086E" w:rsidRDefault="00EB46E1" w14:paraId="3B682D56" w14:textId="4BB6FDFB">
      <w:pPr>
        <w:pStyle w:val="ListParagraph"/>
        <w:numPr>
          <w:ilvl w:val="0"/>
          <w:numId w:val="36"/>
        </w:numPr>
        <w:overflowPunct w:val="0"/>
        <w:autoSpaceDE w:val="0"/>
        <w:autoSpaceDN w:val="0"/>
        <w:adjustRightInd w:val="0"/>
        <w:ind w:left="426" w:hanging="426"/>
        <w:textAlignment w:val="baseline"/>
        <w:rPr>
          <w:szCs w:val="20"/>
        </w:rPr>
      </w:pPr>
      <w:r>
        <w:t>solicita que se preveja um quadro adequado a longo prazo para um financiamento sólido da execução do Pacto Ecológico, que permita apoiar de forma simples e eficiente as medidas de financiamento da transição para uma economia com impacto neutro no clima.</w:t>
      </w:r>
    </w:p>
    <w:p w:rsidRPr="00330A97" w:rsidR="00330A97" w:rsidP="00330A97" w:rsidRDefault="00330A97" w14:paraId="26A00CCB" w14:textId="77777777">
      <w:pPr>
        <w:widowControl w:val="0"/>
        <w:overflowPunct w:val="0"/>
        <w:autoSpaceDE w:val="0"/>
        <w:autoSpaceDN w:val="0"/>
        <w:adjustRightInd w:val="0"/>
        <w:ind w:left="709"/>
        <w:textAlignment w:val="baseline"/>
        <w:rPr>
          <w:szCs w:val="20"/>
        </w:rPr>
      </w:pPr>
    </w:p>
    <w:tbl>
      <w:tblPr>
        <w:tblStyle w:val="TableGrid5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30A97" w:rsidR="00330A97" w:rsidTr="00D97149" w14:paraId="3EE638DE" w14:textId="77777777">
        <w:tc>
          <w:tcPr>
            <w:tcW w:w="1418" w:type="dxa"/>
          </w:tcPr>
          <w:p w:rsidRPr="00330A97" w:rsidR="00330A97" w:rsidP="00330A97" w:rsidRDefault="00330A97" w14:paraId="65178556" w14:textId="18DEDAF3">
            <w:pPr>
              <w:overflowPunct w:val="0"/>
              <w:autoSpaceDE w:val="0"/>
              <w:autoSpaceDN w:val="0"/>
              <w:adjustRightInd w:val="0"/>
              <w:spacing w:line="240" w:lineRule="auto"/>
              <w:textAlignment w:val="baseline"/>
              <w:rPr>
                <w:i/>
              </w:rPr>
            </w:pPr>
            <w:r>
              <w:rPr>
                <w:b/>
                <w:i/>
              </w:rPr>
              <w:t>Contacto</w:t>
            </w:r>
          </w:p>
        </w:tc>
        <w:tc>
          <w:tcPr>
            <w:tcW w:w="5670" w:type="dxa"/>
          </w:tcPr>
          <w:p w:rsidRPr="00330A97" w:rsidR="00330A97" w:rsidP="00330A97" w:rsidRDefault="00330A97" w14:paraId="526319EB" w14:textId="463A5D8D">
            <w:pPr>
              <w:overflowPunct w:val="0"/>
              <w:autoSpaceDE w:val="0"/>
              <w:autoSpaceDN w:val="0"/>
              <w:adjustRightInd w:val="0"/>
              <w:spacing w:line="240" w:lineRule="auto"/>
              <w:textAlignment w:val="baseline"/>
              <w:rPr>
                <w:i/>
              </w:rPr>
            </w:pPr>
            <w:r>
              <w:rPr>
                <w:i/>
              </w:rPr>
              <w:t>Aleksandra Šarman-Grilc</w:t>
            </w:r>
          </w:p>
        </w:tc>
      </w:tr>
      <w:tr w:rsidRPr="00330A97" w:rsidR="00330A97" w:rsidTr="00D97149" w14:paraId="1A422D25" w14:textId="77777777">
        <w:tc>
          <w:tcPr>
            <w:tcW w:w="1418" w:type="dxa"/>
          </w:tcPr>
          <w:p w:rsidRPr="00330A97" w:rsidR="00330A97" w:rsidP="00330A97" w:rsidRDefault="00330A97" w14:paraId="21207717" w14:textId="38826B41">
            <w:pPr>
              <w:overflowPunct w:val="0"/>
              <w:autoSpaceDE w:val="0"/>
              <w:autoSpaceDN w:val="0"/>
              <w:adjustRightInd w:val="0"/>
              <w:spacing w:line="240" w:lineRule="auto"/>
              <w:textAlignment w:val="baseline"/>
              <w:rPr>
                <w:i/>
              </w:rPr>
            </w:pPr>
            <w:r>
              <w:rPr>
                <w:i/>
              </w:rPr>
              <w:t>Tel.</w:t>
            </w:r>
          </w:p>
        </w:tc>
        <w:tc>
          <w:tcPr>
            <w:tcW w:w="5670" w:type="dxa"/>
          </w:tcPr>
          <w:p w:rsidRPr="00330A97" w:rsidR="00330A97" w:rsidP="00330A97" w:rsidRDefault="00330A97" w14:paraId="75856A0B" w14:textId="77777777">
            <w:pPr>
              <w:overflowPunct w:val="0"/>
              <w:autoSpaceDE w:val="0"/>
              <w:autoSpaceDN w:val="0"/>
              <w:adjustRightInd w:val="0"/>
              <w:spacing w:line="240" w:lineRule="auto"/>
              <w:textAlignment w:val="baseline"/>
              <w:rPr>
                <w:i/>
              </w:rPr>
            </w:pPr>
            <w:r>
              <w:rPr>
                <w:i/>
              </w:rPr>
              <w:t>+32 2 546 8333</w:t>
            </w:r>
          </w:p>
        </w:tc>
      </w:tr>
      <w:tr w:rsidRPr="00330A97" w:rsidR="00330A97" w:rsidTr="00D97149" w14:paraId="56DBF3DE" w14:textId="77777777">
        <w:tc>
          <w:tcPr>
            <w:tcW w:w="1418" w:type="dxa"/>
          </w:tcPr>
          <w:p w:rsidRPr="00330A97" w:rsidR="00330A97" w:rsidP="00330A97" w:rsidRDefault="00A950A5" w14:paraId="77CAB5BC" w14:textId="41818CC9">
            <w:pPr>
              <w:overflowPunct w:val="0"/>
              <w:autoSpaceDE w:val="0"/>
              <w:autoSpaceDN w:val="0"/>
              <w:adjustRightInd w:val="0"/>
              <w:spacing w:line="240" w:lineRule="auto"/>
              <w:textAlignment w:val="baseline"/>
              <w:rPr>
                <w:i/>
              </w:rPr>
            </w:pPr>
            <w:r>
              <w:rPr>
                <w:i/>
              </w:rPr>
              <w:t>Endereço eletrónico</w:t>
            </w:r>
          </w:p>
        </w:tc>
        <w:tc>
          <w:tcPr>
            <w:tcW w:w="5670" w:type="dxa"/>
          </w:tcPr>
          <w:p w:rsidRPr="00330A97" w:rsidR="00330A97" w:rsidP="00330A97" w:rsidRDefault="007E421A" w14:paraId="36AAF092" w14:textId="56BF2583">
            <w:pPr>
              <w:overflowPunct w:val="0"/>
              <w:autoSpaceDE w:val="0"/>
              <w:autoSpaceDN w:val="0"/>
              <w:adjustRightInd w:val="0"/>
              <w:spacing w:line="240" w:lineRule="auto"/>
              <w:textAlignment w:val="baseline"/>
              <w:rPr>
                <w:i/>
              </w:rPr>
            </w:pPr>
            <w:hyperlink w:history="1" r:id="rId55">
              <w:r w:rsidR="00E11732">
                <w:rPr>
                  <w:i/>
                  <w:color w:val="0000FF"/>
                  <w:u w:val="single"/>
                </w:rPr>
                <w:t>Aleksandra.SarmanGrilc@eesc.europa.eu</w:t>
              </w:r>
            </w:hyperlink>
          </w:p>
        </w:tc>
      </w:tr>
    </w:tbl>
    <w:p w:rsidRPr="005463FF" w:rsidR="00E35F6C" w:rsidP="009E03F3" w:rsidRDefault="00E35F6C" w14:paraId="61B6007C" w14:textId="77777777">
      <w:pPr>
        <w:spacing w:after="160" w:line="259" w:lineRule="auto"/>
        <w:ind w:hanging="142"/>
        <w:jc w:val="left"/>
        <w:rPr>
          <w:sz w:val="16"/>
          <w:szCs w:val="16"/>
        </w:rPr>
      </w:pPr>
    </w:p>
    <w:p w:rsidR="00330A97" w:rsidRDefault="00330A97" w14:paraId="7AA99C11" w14:textId="77777777">
      <w:pPr>
        <w:spacing w:after="160" w:line="259" w:lineRule="auto"/>
        <w:jc w:val="left"/>
        <w:rPr>
          <w:sz w:val="16"/>
          <w:szCs w:val="16"/>
        </w:rPr>
      </w:pPr>
      <w:r>
        <w:br w:type="page"/>
      </w:r>
    </w:p>
    <w:p w:rsidRPr="00330A97" w:rsidR="00330A97" w:rsidP="00330A97" w:rsidRDefault="007E421A" w14:paraId="6ECB1442" w14:textId="4823BC1E">
      <w:pPr>
        <w:widowControl w:val="0"/>
        <w:numPr>
          <w:ilvl w:val="0"/>
          <w:numId w:val="1"/>
        </w:numPr>
        <w:overflowPunct w:val="0"/>
        <w:autoSpaceDE w:val="0"/>
        <w:autoSpaceDN w:val="0"/>
        <w:adjustRightInd w:val="0"/>
        <w:ind w:hanging="567"/>
        <w:textAlignment w:val="baseline"/>
        <w:rPr>
          <w:sz w:val="20"/>
          <w:szCs w:val="20"/>
        </w:rPr>
      </w:pPr>
      <w:hyperlink w:history="1" r:id="rId56">
        <w:r w:rsidR="00E11732">
          <w:rPr>
            <w:b/>
            <w:i/>
            <w:color w:val="0000FF"/>
            <w:sz w:val="28"/>
            <w:u w:val="single"/>
          </w:rPr>
          <w:t>Cartas de condução e inibição do direito de conduzir</w:t>
        </w:r>
      </w:hyperlink>
    </w:p>
    <w:p w:rsidRPr="00330A97" w:rsidR="00330A97" w:rsidP="00330A97" w:rsidRDefault="00330A97" w14:paraId="7FD51717" w14:textId="77777777">
      <w:pPr>
        <w:tabs>
          <w:tab w:val="center" w:pos="284"/>
        </w:tabs>
        <w:overflowPunct w:val="0"/>
        <w:autoSpaceDE w:val="0"/>
        <w:autoSpaceDN w:val="0"/>
        <w:adjustRightInd w:val="0"/>
        <w:ind w:left="266" w:hanging="266"/>
        <w:textAlignment w:val="baseline"/>
        <w:rPr>
          <w:b/>
        </w:rPr>
      </w:pPr>
    </w:p>
    <w:tbl>
      <w:tblPr>
        <w:tblStyle w:val="TableGrid54"/>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13"/>
        <w:gridCol w:w="6717"/>
      </w:tblGrid>
      <w:tr w:rsidRPr="00330A97" w:rsidR="00330A97" w:rsidTr="003748B6" w14:paraId="20F6D008" w14:textId="77777777">
        <w:tc>
          <w:tcPr>
            <w:tcW w:w="2213" w:type="dxa"/>
          </w:tcPr>
          <w:p w:rsidRPr="00330A97" w:rsidR="00330A97" w:rsidP="00330A97" w:rsidRDefault="00330A97" w14:paraId="2CE3DBF2" w14:textId="77777777">
            <w:pPr>
              <w:tabs>
                <w:tab w:val="center" w:pos="284"/>
              </w:tabs>
              <w:overflowPunct w:val="0"/>
              <w:autoSpaceDE w:val="0"/>
              <w:autoSpaceDN w:val="0"/>
              <w:adjustRightInd w:val="0"/>
              <w:ind w:left="266" w:hanging="266"/>
              <w:textAlignment w:val="baseline"/>
              <w:rPr>
                <w:b/>
              </w:rPr>
            </w:pPr>
            <w:r>
              <w:rPr>
                <w:b/>
              </w:rPr>
              <w:t xml:space="preserve">Relator </w:t>
            </w:r>
          </w:p>
        </w:tc>
        <w:tc>
          <w:tcPr>
            <w:tcW w:w="6717" w:type="dxa"/>
          </w:tcPr>
          <w:p w:rsidRPr="00330A97" w:rsidR="00330A97" w:rsidP="00330A97" w:rsidRDefault="00330A97" w14:paraId="3C799FDE" w14:textId="50717506">
            <w:pPr>
              <w:tabs>
                <w:tab w:val="center" w:pos="284"/>
              </w:tabs>
              <w:overflowPunct w:val="0"/>
              <w:autoSpaceDE w:val="0"/>
              <w:autoSpaceDN w:val="0"/>
              <w:adjustRightInd w:val="0"/>
              <w:ind w:left="266" w:hanging="266"/>
              <w:textAlignment w:val="baseline"/>
            </w:pPr>
            <w:r>
              <w:t>Philippe Charry (FR – Grupo dos Trabalhadores)</w:t>
            </w:r>
          </w:p>
        </w:tc>
      </w:tr>
      <w:tr w:rsidRPr="00330A97" w:rsidR="00330A97" w:rsidTr="003748B6" w14:paraId="4B51807E" w14:textId="77777777">
        <w:tc>
          <w:tcPr>
            <w:tcW w:w="8930" w:type="dxa"/>
            <w:gridSpan w:val="2"/>
          </w:tcPr>
          <w:p w:rsidRPr="00330A97" w:rsidR="00330A97" w:rsidP="00330A97" w:rsidRDefault="00330A97" w14:paraId="37978837" w14:textId="77777777">
            <w:pPr>
              <w:tabs>
                <w:tab w:val="center" w:pos="284"/>
              </w:tabs>
              <w:overflowPunct w:val="0"/>
              <w:autoSpaceDE w:val="0"/>
              <w:autoSpaceDN w:val="0"/>
              <w:adjustRightInd w:val="0"/>
              <w:spacing w:line="160" w:lineRule="exact"/>
              <w:ind w:left="266" w:hanging="266"/>
              <w:textAlignment w:val="baseline"/>
            </w:pPr>
          </w:p>
        </w:tc>
      </w:tr>
      <w:tr w:rsidRPr="00330A97" w:rsidR="00330A97" w:rsidTr="003748B6" w14:paraId="3004BC73" w14:textId="77777777">
        <w:tc>
          <w:tcPr>
            <w:tcW w:w="2213" w:type="dxa"/>
          </w:tcPr>
          <w:p w:rsidRPr="00330A97" w:rsidR="00330A97" w:rsidP="00330A97" w:rsidRDefault="00330A97" w14:paraId="10BB4BCD" w14:textId="77777777">
            <w:pPr>
              <w:tabs>
                <w:tab w:val="center" w:pos="284"/>
              </w:tabs>
              <w:overflowPunct w:val="0"/>
              <w:autoSpaceDE w:val="0"/>
              <w:autoSpaceDN w:val="0"/>
              <w:adjustRightInd w:val="0"/>
              <w:ind w:left="266" w:hanging="266"/>
              <w:textAlignment w:val="baseline"/>
              <w:rPr>
                <w:b/>
              </w:rPr>
            </w:pPr>
            <w:r>
              <w:rPr>
                <w:b/>
              </w:rPr>
              <w:t>Referências</w:t>
            </w:r>
          </w:p>
        </w:tc>
        <w:tc>
          <w:tcPr>
            <w:tcW w:w="6717" w:type="dxa"/>
          </w:tcPr>
          <w:p w:rsidRPr="00330A97" w:rsidR="00330A97" w:rsidP="00330A97" w:rsidRDefault="00330A97" w14:paraId="7C57ABC5" w14:textId="2BA35A6C">
            <w:pPr>
              <w:tabs>
                <w:tab w:val="center" w:pos="284"/>
              </w:tabs>
              <w:overflowPunct w:val="0"/>
              <w:autoSpaceDE w:val="0"/>
              <w:autoSpaceDN w:val="0"/>
              <w:adjustRightInd w:val="0"/>
              <w:ind w:left="266" w:hanging="266"/>
              <w:textAlignment w:val="baseline"/>
            </w:pPr>
            <w:r>
              <w:t xml:space="preserve">COM(2023) 127 final </w:t>
            </w:r>
          </w:p>
          <w:p w:rsidRPr="00330A97" w:rsidR="00330A97" w:rsidP="00330A97" w:rsidRDefault="00330A97" w14:paraId="4A659C87" w14:textId="34D0A2A6">
            <w:pPr>
              <w:tabs>
                <w:tab w:val="center" w:pos="284"/>
              </w:tabs>
              <w:overflowPunct w:val="0"/>
              <w:autoSpaceDE w:val="0"/>
              <w:autoSpaceDN w:val="0"/>
              <w:adjustRightInd w:val="0"/>
              <w:ind w:left="266" w:hanging="266"/>
              <w:textAlignment w:val="baseline"/>
            </w:pPr>
            <w:r>
              <w:t xml:space="preserve">COM(2023) 128 final </w:t>
            </w:r>
          </w:p>
          <w:p w:rsidRPr="00330A97" w:rsidR="00330A97" w:rsidP="00330A97" w:rsidRDefault="00330A97" w14:paraId="3732B98A" w14:textId="6C569D6F">
            <w:pPr>
              <w:tabs>
                <w:tab w:val="center" w:pos="284"/>
              </w:tabs>
              <w:overflowPunct w:val="0"/>
              <w:autoSpaceDE w:val="0"/>
              <w:autoSpaceDN w:val="0"/>
              <w:adjustRightInd w:val="0"/>
              <w:ind w:left="266" w:hanging="266"/>
              <w:textAlignment w:val="baseline"/>
            </w:pPr>
            <w:r>
              <w:t>EESC-2023-01194-00-00-AC</w:t>
            </w:r>
          </w:p>
        </w:tc>
      </w:tr>
    </w:tbl>
    <w:p w:rsidR="003748B6" w:rsidP="00330A97" w:rsidRDefault="003748B6" w14:paraId="1BB6CCAC"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0174E167" w14:textId="340AC1BA">
      <w:pPr>
        <w:keepNext/>
        <w:keepLines/>
        <w:tabs>
          <w:tab w:val="center" w:pos="284"/>
        </w:tabs>
        <w:overflowPunct w:val="0"/>
        <w:autoSpaceDE w:val="0"/>
        <w:autoSpaceDN w:val="0"/>
        <w:adjustRightInd w:val="0"/>
        <w:ind w:left="266" w:hanging="266"/>
        <w:textAlignment w:val="baseline"/>
        <w:rPr>
          <w:b/>
        </w:rPr>
      </w:pPr>
      <w:r>
        <w:rPr>
          <w:b/>
        </w:rPr>
        <w:t>Pontos principais</w:t>
      </w:r>
    </w:p>
    <w:p w:rsidRPr="00330A97" w:rsidR="00330A97" w:rsidP="00330A97" w:rsidRDefault="00330A97" w14:paraId="7BF7EF2D" w14:textId="77777777">
      <w:pPr>
        <w:keepNext/>
        <w:keepLines/>
        <w:tabs>
          <w:tab w:val="center" w:pos="284"/>
        </w:tabs>
        <w:overflowPunct w:val="0"/>
        <w:autoSpaceDE w:val="0"/>
        <w:autoSpaceDN w:val="0"/>
        <w:adjustRightInd w:val="0"/>
        <w:ind w:left="266" w:hanging="266"/>
        <w:textAlignment w:val="baseline"/>
        <w:rPr>
          <w:b/>
        </w:rPr>
      </w:pPr>
    </w:p>
    <w:p w:rsidRPr="00330A97" w:rsidR="00330A97" w:rsidP="00330A97" w:rsidRDefault="00330A97" w14:paraId="719F8B7B" w14:textId="77777777">
      <w:pPr>
        <w:overflowPunct w:val="0"/>
        <w:autoSpaceDE w:val="0"/>
        <w:autoSpaceDN w:val="0"/>
        <w:adjustRightInd w:val="0"/>
        <w:textAlignment w:val="baseline"/>
        <w:rPr>
          <w:bCs/>
          <w:iCs/>
        </w:rPr>
      </w:pPr>
      <w:r>
        <w:t>O Comité Económico e Social Europeu:</w:t>
      </w:r>
    </w:p>
    <w:p w:rsidRPr="00A2086E" w:rsidR="00330A97" w:rsidP="00330A97" w:rsidRDefault="00330A97" w14:paraId="10B6D5E9" w14:textId="77777777">
      <w:pPr>
        <w:contextualSpacing/>
        <w:rPr>
          <w:b/>
          <w:bCs/>
          <w:lang w:eastAsia="zh-CN"/>
        </w:rPr>
      </w:pPr>
    </w:p>
    <w:p w:rsidRPr="00330A97" w:rsidR="00330A97" w:rsidP="00A2086E" w:rsidRDefault="00854D9C" w14:paraId="51391898" w14:textId="7D0F6C10">
      <w:pPr>
        <w:numPr>
          <w:ilvl w:val="0"/>
          <w:numId w:val="37"/>
        </w:numPr>
        <w:overflowPunct w:val="0"/>
        <w:autoSpaceDE w:val="0"/>
        <w:autoSpaceDN w:val="0"/>
        <w:adjustRightInd w:val="0"/>
        <w:spacing w:after="200" w:line="276" w:lineRule="auto"/>
        <w:ind w:left="426" w:hanging="426"/>
        <w:contextualSpacing/>
        <w:textAlignment w:val="baseline"/>
        <w:rPr>
          <w:szCs w:val="20"/>
        </w:rPr>
      </w:pPr>
      <w:r>
        <w:t>apoia o objetivo de proporcionar aos condutores da UE uma carta de condução digital, que visa pôr termo à morosidade e às diferenças administrativas entre os Estados-Membros no tratamento dos pedidos de troca de cartas de condução de condutores estrangeiros. Essa carta de condução será conservada no telemóvel ou em qualquer outro suporte digital. No entanto, o CESE espera que as cartas de condução em formato físico continuem disponíveis para os condutores que prefiram este formato. Além disso, a fim de assegurar a inclusão digital das pessoas de todas as faixas etárias, o CESE recomenda que se facultem ações de formação e acompanhamento personalizado gratuitos sobre a utilização das novas cartas de condução digitais;</w:t>
      </w:r>
    </w:p>
    <w:p w:rsidRPr="00330A97" w:rsidR="00330A97" w:rsidP="00A2086E" w:rsidRDefault="00854D9C" w14:paraId="16716DF7" w14:textId="6133DEAD">
      <w:pPr>
        <w:numPr>
          <w:ilvl w:val="0"/>
          <w:numId w:val="37"/>
        </w:numPr>
        <w:overflowPunct w:val="0"/>
        <w:autoSpaceDE w:val="0"/>
        <w:autoSpaceDN w:val="0"/>
        <w:adjustRightInd w:val="0"/>
        <w:spacing w:after="200" w:line="276" w:lineRule="auto"/>
        <w:ind w:left="426" w:hanging="426"/>
        <w:contextualSpacing/>
        <w:textAlignment w:val="baseline"/>
        <w:rPr>
          <w:szCs w:val="20"/>
        </w:rPr>
      </w:pPr>
      <w:r>
        <w:t>toma nota da possibilidade de permitir que os jovens se iniciem na condução acompanhada de pesados a partir dos 17 anos. Sublinha a necessidade de adaptar igualmente a formação profissional dos condutores de pesados e melhorar as condições de trabalho e os salários, a fim de tornar essa profissão mais atrativa. Insta a Comissão a incentivar os empregadores a utilizarem todos os meios ao seu alcance para melhorarem a situação, por exemplo, reforçando a formação ou lançando ações de sensibilização nos Estados-Membros;</w:t>
      </w:r>
    </w:p>
    <w:p w:rsidRPr="00330A97" w:rsidR="00330A97" w:rsidP="00A2086E" w:rsidRDefault="00854D9C" w14:paraId="1894620B" w14:textId="1DF28E2F">
      <w:pPr>
        <w:numPr>
          <w:ilvl w:val="0"/>
          <w:numId w:val="37"/>
        </w:numPr>
        <w:overflowPunct w:val="0"/>
        <w:autoSpaceDE w:val="0"/>
        <w:autoSpaceDN w:val="0"/>
        <w:adjustRightInd w:val="0"/>
        <w:spacing w:after="200" w:line="276" w:lineRule="auto"/>
        <w:ind w:left="426" w:hanging="426"/>
        <w:contextualSpacing/>
        <w:textAlignment w:val="baseline"/>
        <w:rPr>
          <w:szCs w:val="20"/>
        </w:rPr>
      </w:pPr>
      <w:r>
        <w:t>espera que a proposta de diretiva relativa à inibição de conduzir ofereça melhores garantias contra o risco de sobreposição com o âmbito de aplicação da cooperação em matéria penal. Com efeito, a proposta de diretiva prevê como base para o intercâmbio de informações sobre as infrações cometidas pelos condutores o artigo 91.º, n.º 1, alínea c), do Tratado sobre o Funcionamento da União Europeia (TFUE) relativo à política comum de transportes, mas o intercâmbio de informações previsto entre autoridades nacionais parece incidir principalmente em infrações penais, aplicando-se neste caso os princípios da cooperação policial, prevista no artigo 87.º do TFUE, e os princípios da cooperação judiciária em matéria penal, prevista no artigo 82.º do TFUE.</w:t>
      </w:r>
    </w:p>
    <w:p w:rsidRPr="00330A97" w:rsidR="00330A97" w:rsidP="00330A97" w:rsidRDefault="00330A97" w14:paraId="0F81F426" w14:textId="77777777">
      <w:pPr>
        <w:widowControl w:val="0"/>
        <w:overflowPunct w:val="0"/>
        <w:autoSpaceDE w:val="0"/>
        <w:autoSpaceDN w:val="0"/>
        <w:adjustRightInd w:val="0"/>
        <w:ind w:left="709"/>
        <w:textAlignment w:val="baseline"/>
        <w:rPr>
          <w:szCs w:val="20"/>
        </w:rPr>
      </w:pPr>
    </w:p>
    <w:tbl>
      <w:tblPr>
        <w:tblStyle w:val="TableGrid54"/>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330A97" w:rsidR="00330A97" w:rsidTr="00D97149" w14:paraId="205756CA" w14:textId="77777777">
        <w:tc>
          <w:tcPr>
            <w:tcW w:w="1418" w:type="dxa"/>
          </w:tcPr>
          <w:p w:rsidRPr="00330A97" w:rsidR="00330A97" w:rsidP="00A2086E" w:rsidRDefault="00330A97" w14:paraId="07801978" w14:textId="1D696A93">
            <w:pPr>
              <w:overflowPunct w:val="0"/>
              <w:autoSpaceDE w:val="0"/>
              <w:autoSpaceDN w:val="0"/>
              <w:adjustRightInd w:val="0"/>
              <w:spacing w:line="240" w:lineRule="auto"/>
              <w:ind w:hanging="110"/>
              <w:textAlignment w:val="baseline"/>
              <w:rPr>
                <w:i/>
              </w:rPr>
            </w:pPr>
            <w:r>
              <w:rPr>
                <w:b/>
                <w:i/>
              </w:rPr>
              <w:t>Contacto</w:t>
            </w:r>
          </w:p>
        </w:tc>
        <w:tc>
          <w:tcPr>
            <w:tcW w:w="5670" w:type="dxa"/>
          </w:tcPr>
          <w:p w:rsidRPr="00330A97" w:rsidR="00330A97" w:rsidP="00A2086E" w:rsidRDefault="00330A97" w14:paraId="585DC4E4" w14:textId="12DC5BB3">
            <w:pPr>
              <w:overflowPunct w:val="0"/>
              <w:autoSpaceDE w:val="0"/>
              <w:autoSpaceDN w:val="0"/>
              <w:adjustRightInd w:val="0"/>
              <w:spacing w:line="240" w:lineRule="auto"/>
              <w:ind w:hanging="110"/>
              <w:textAlignment w:val="baseline"/>
              <w:rPr>
                <w:i/>
              </w:rPr>
            </w:pPr>
            <w:r>
              <w:rPr>
                <w:i/>
              </w:rPr>
              <w:t>Aleksandra Šarman-Grilc</w:t>
            </w:r>
          </w:p>
        </w:tc>
      </w:tr>
      <w:tr w:rsidRPr="00330A97" w:rsidR="00330A97" w:rsidTr="00D97149" w14:paraId="02EDE075" w14:textId="77777777">
        <w:tc>
          <w:tcPr>
            <w:tcW w:w="1418" w:type="dxa"/>
          </w:tcPr>
          <w:p w:rsidRPr="00330A97" w:rsidR="00330A97" w:rsidP="00A2086E" w:rsidRDefault="00330A97" w14:paraId="51A955CE" w14:textId="702A4BC9">
            <w:pPr>
              <w:overflowPunct w:val="0"/>
              <w:autoSpaceDE w:val="0"/>
              <w:autoSpaceDN w:val="0"/>
              <w:adjustRightInd w:val="0"/>
              <w:spacing w:line="240" w:lineRule="auto"/>
              <w:ind w:hanging="110"/>
              <w:textAlignment w:val="baseline"/>
              <w:rPr>
                <w:i/>
              </w:rPr>
            </w:pPr>
            <w:r>
              <w:rPr>
                <w:i/>
              </w:rPr>
              <w:t>Tel.</w:t>
            </w:r>
          </w:p>
        </w:tc>
        <w:tc>
          <w:tcPr>
            <w:tcW w:w="5670" w:type="dxa"/>
          </w:tcPr>
          <w:p w:rsidRPr="00330A97" w:rsidR="00330A97" w:rsidP="00A2086E" w:rsidRDefault="00330A97" w14:paraId="684D922E" w14:textId="77777777">
            <w:pPr>
              <w:overflowPunct w:val="0"/>
              <w:autoSpaceDE w:val="0"/>
              <w:autoSpaceDN w:val="0"/>
              <w:adjustRightInd w:val="0"/>
              <w:spacing w:line="240" w:lineRule="auto"/>
              <w:ind w:hanging="110"/>
              <w:textAlignment w:val="baseline"/>
              <w:rPr>
                <w:i/>
              </w:rPr>
            </w:pPr>
            <w:r>
              <w:rPr>
                <w:i/>
              </w:rPr>
              <w:t>+32 2 546 8333</w:t>
            </w:r>
          </w:p>
        </w:tc>
      </w:tr>
      <w:tr w:rsidRPr="00330A97" w:rsidR="00330A97" w:rsidTr="00D97149" w14:paraId="2DCF561E" w14:textId="77777777">
        <w:tc>
          <w:tcPr>
            <w:tcW w:w="1418" w:type="dxa"/>
          </w:tcPr>
          <w:p w:rsidRPr="00330A97" w:rsidR="00330A97" w:rsidP="00A2086E" w:rsidRDefault="00330A97" w14:paraId="7AC891A3" w14:textId="21AA5BAD">
            <w:pPr>
              <w:overflowPunct w:val="0"/>
              <w:autoSpaceDE w:val="0"/>
              <w:autoSpaceDN w:val="0"/>
              <w:adjustRightInd w:val="0"/>
              <w:spacing w:line="240" w:lineRule="auto"/>
              <w:ind w:hanging="110"/>
              <w:textAlignment w:val="baseline"/>
              <w:rPr>
                <w:i/>
              </w:rPr>
            </w:pPr>
            <w:r>
              <w:rPr>
                <w:i/>
              </w:rPr>
              <w:t>Endereço eletrónico</w:t>
            </w:r>
          </w:p>
        </w:tc>
        <w:tc>
          <w:tcPr>
            <w:tcW w:w="5670" w:type="dxa"/>
          </w:tcPr>
          <w:p w:rsidRPr="00330A97" w:rsidR="00330A97" w:rsidP="00A2086E" w:rsidRDefault="007E421A" w14:paraId="7B880FB4" w14:textId="77777777">
            <w:pPr>
              <w:overflowPunct w:val="0"/>
              <w:autoSpaceDE w:val="0"/>
              <w:autoSpaceDN w:val="0"/>
              <w:adjustRightInd w:val="0"/>
              <w:spacing w:line="240" w:lineRule="auto"/>
              <w:ind w:hanging="110"/>
              <w:textAlignment w:val="baseline"/>
              <w:rPr>
                <w:i/>
              </w:rPr>
            </w:pPr>
            <w:hyperlink w:history="1" r:id="rId57">
              <w:r w:rsidR="00E11732">
                <w:rPr>
                  <w:i/>
                  <w:color w:val="0000FF"/>
                  <w:u w:val="single"/>
                </w:rPr>
                <w:t>Aleksandra.SarmanGrilc@eesc.europa.eu</w:t>
              </w:r>
            </w:hyperlink>
          </w:p>
        </w:tc>
      </w:tr>
    </w:tbl>
    <w:p w:rsidR="00330A97" w:rsidP="008E2A59" w:rsidRDefault="00330A97" w14:paraId="2F25BBAF" w14:textId="77777777">
      <w:pPr>
        <w:spacing w:after="160" w:line="259" w:lineRule="auto"/>
        <w:jc w:val="left"/>
        <w:rPr>
          <w:sz w:val="16"/>
          <w:szCs w:val="16"/>
        </w:rPr>
      </w:pPr>
    </w:p>
    <w:p w:rsidR="00330A97" w:rsidRDefault="00330A97" w14:paraId="27C72597" w14:textId="77777777">
      <w:pPr>
        <w:spacing w:after="160" w:line="259" w:lineRule="auto"/>
        <w:jc w:val="left"/>
        <w:rPr>
          <w:sz w:val="16"/>
          <w:szCs w:val="16"/>
        </w:rPr>
      </w:pPr>
      <w:r>
        <w:br w:type="page"/>
      </w:r>
    </w:p>
    <w:p w:rsidRPr="00046E56" w:rsidR="00046E56" w:rsidP="00046E56" w:rsidRDefault="007E421A" w14:paraId="1D9BD8A2" w14:textId="7D4553CC">
      <w:pPr>
        <w:widowControl w:val="0"/>
        <w:numPr>
          <w:ilvl w:val="0"/>
          <w:numId w:val="1"/>
        </w:numPr>
        <w:overflowPunct w:val="0"/>
        <w:autoSpaceDE w:val="0"/>
        <w:autoSpaceDN w:val="0"/>
        <w:adjustRightInd w:val="0"/>
        <w:ind w:hanging="567"/>
        <w:textAlignment w:val="baseline"/>
        <w:rPr>
          <w:sz w:val="20"/>
          <w:szCs w:val="20"/>
        </w:rPr>
      </w:pPr>
      <w:hyperlink w:history="1" r:id="rId58">
        <w:r w:rsidR="00E11732">
          <w:rPr>
            <w:b/>
            <w:i/>
            <w:color w:val="0000FF"/>
            <w:sz w:val="28"/>
            <w:u w:val="single"/>
          </w:rPr>
          <w:t>Mercado grossista da energia da UE</w:t>
        </w:r>
      </w:hyperlink>
    </w:p>
    <w:p w:rsidRPr="00046E56" w:rsidR="00046E56" w:rsidP="00046E56" w:rsidRDefault="00046E56" w14:paraId="7ED27D1D" w14:textId="77777777">
      <w:pPr>
        <w:widowControl w:val="0"/>
        <w:overflowPunct w:val="0"/>
        <w:autoSpaceDE w:val="0"/>
        <w:autoSpaceDN w:val="0"/>
        <w:adjustRightInd w:val="0"/>
        <w:ind w:left="567"/>
        <w:textAlignment w:val="baseline"/>
        <w:rPr>
          <w:sz w:val="20"/>
          <w:szCs w:val="20"/>
        </w:rPr>
      </w:pPr>
    </w:p>
    <w:tbl>
      <w:tblPr>
        <w:tblStyle w:val="TableGrid5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834"/>
        <w:gridCol w:w="6954"/>
      </w:tblGrid>
      <w:tr w:rsidRPr="00046E56" w:rsidR="00AB0B18" w:rsidTr="00A2086E" w14:paraId="2B17A85E" w14:textId="77777777">
        <w:tc>
          <w:tcPr>
            <w:tcW w:w="1834" w:type="dxa"/>
          </w:tcPr>
          <w:p w:rsidRPr="00046E56" w:rsidR="00AB0B18" w:rsidP="00AB0B18" w:rsidRDefault="00AB0B18" w14:paraId="00F61B26" w14:textId="77777777">
            <w:pPr>
              <w:tabs>
                <w:tab w:val="center" w:pos="284"/>
              </w:tabs>
              <w:overflowPunct w:val="0"/>
              <w:autoSpaceDE w:val="0"/>
              <w:autoSpaceDN w:val="0"/>
              <w:adjustRightInd w:val="0"/>
              <w:ind w:left="596" w:hanging="709"/>
              <w:textAlignment w:val="baseline"/>
              <w:rPr>
                <w:b/>
              </w:rPr>
            </w:pPr>
            <w:r>
              <w:rPr>
                <w:b/>
              </w:rPr>
              <w:t>Relatora</w:t>
            </w:r>
          </w:p>
          <w:p w:rsidRPr="00046E56" w:rsidR="00AB0B18" w:rsidP="00AB0B18" w:rsidRDefault="00AB0B18" w14:paraId="61CD8A0E" w14:textId="7C7C2CEF">
            <w:pPr>
              <w:tabs>
                <w:tab w:val="center" w:pos="284"/>
              </w:tabs>
              <w:overflowPunct w:val="0"/>
              <w:autoSpaceDE w:val="0"/>
              <w:autoSpaceDN w:val="0"/>
              <w:adjustRightInd w:val="0"/>
              <w:ind w:left="596" w:hanging="709"/>
              <w:textAlignment w:val="baseline"/>
              <w:rPr>
                <w:b/>
              </w:rPr>
            </w:pPr>
            <w:r>
              <w:rPr>
                <w:b/>
              </w:rPr>
              <w:t>Correlator</w:t>
            </w:r>
          </w:p>
        </w:tc>
        <w:tc>
          <w:tcPr>
            <w:tcW w:w="6954" w:type="dxa"/>
          </w:tcPr>
          <w:p w:rsidRPr="00046E56" w:rsidR="00AB0B18" w:rsidP="00AB0B18" w:rsidRDefault="00AB0B18" w14:paraId="377DA977" w14:textId="67ACB830">
            <w:pPr>
              <w:tabs>
                <w:tab w:val="center" w:pos="284"/>
              </w:tabs>
              <w:overflowPunct w:val="0"/>
              <w:autoSpaceDE w:val="0"/>
              <w:autoSpaceDN w:val="0"/>
              <w:adjustRightInd w:val="0"/>
              <w:ind w:left="720" w:right="-1673" w:hanging="720"/>
              <w:textAlignment w:val="baseline"/>
              <w:rPr>
                <w:bCs/>
              </w:rPr>
            </w:pPr>
            <w:r>
              <w:t>Alena Mastantuono (CZ – Grupo dos Empregadores)</w:t>
            </w:r>
          </w:p>
          <w:p w:rsidRPr="00046E56" w:rsidR="00AB0B18" w:rsidP="00AB0B18" w:rsidRDefault="00AB0B18" w14:paraId="2536318D" w14:textId="6ADB05FB">
            <w:pPr>
              <w:tabs>
                <w:tab w:val="center" w:pos="284"/>
              </w:tabs>
              <w:overflowPunct w:val="0"/>
              <w:autoSpaceDE w:val="0"/>
              <w:autoSpaceDN w:val="0"/>
              <w:adjustRightInd w:val="0"/>
              <w:ind w:left="720" w:hanging="720"/>
              <w:textAlignment w:val="baseline"/>
              <w:rPr>
                <w:bCs/>
              </w:rPr>
            </w:pPr>
            <w:r>
              <w:t>Lutz Ribbe (DE – Grupo das Organizações da Sociedade Civil)</w:t>
            </w:r>
          </w:p>
        </w:tc>
      </w:tr>
      <w:tr w:rsidRPr="00046E56" w:rsidR="003748B6" w:rsidTr="00A2086E" w14:paraId="173AFBDC" w14:textId="77777777">
        <w:tc>
          <w:tcPr>
            <w:tcW w:w="1834" w:type="dxa"/>
          </w:tcPr>
          <w:p w:rsidR="003748B6" w:rsidDel="003748B6" w:rsidP="00046E56" w:rsidRDefault="003748B6" w14:paraId="01E310BC" w14:textId="621520AC">
            <w:pPr>
              <w:tabs>
                <w:tab w:val="center" w:pos="284"/>
              </w:tabs>
              <w:overflowPunct w:val="0"/>
              <w:autoSpaceDE w:val="0"/>
              <w:autoSpaceDN w:val="0"/>
              <w:adjustRightInd w:val="0"/>
              <w:ind w:left="596" w:hanging="709"/>
              <w:textAlignment w:val="baseline"/>
              <w:rPr>
                <w:b/>
              </w:rPr>
            </w:pPr>
            <w:r>
              <w:rPr>
                <w:b/>
              </w:rPr>
              <w:t>Referências</w:t>
            </w:r>
          </w:p>
        </w:tc>
        <w:tc>
          <w:tcPr>
            <w:tcW w:w="6954" w:type="dxa"/>
          </w:tcPr>
          <w:p w:rsidR="003748B6" w:rsidP="003748B6" w:rsidRDefault="003748B6" w14:paraId="589831D8" w14:textId="77777777">
            <w:pPr>
              <w:tabs>
                <w:tab w:val="center" w:pos="284"/>
              </w:tabs>
              <w:overflowPunct w:val="0"/>
              <w:autoSpaceDE w:val="0"/>
              <w:autoSpaceDN w:val="0"/>
              <w:adjustRightInd w:val="0"/>
              <w:ind w:left="720" w:hanging="720"/>
              <w:textAlignment w:val="baseline"/>
              <w:rPr>
                <w:bCs/>
              </w:rPr>
            </w:pPr>
            <w:r>
              <w:t>COM(2023)147 final</w:t>
            </w:r>
          </w:p>
          <w:p w:rsidR="003748B6" w:rsidDel="003748B6" w:rsidP="003748B6" w:rsidRDefault="003748B6" w14:paraId="7F05A940" w14:textId="61BD1351">
            <w:pPr>
              <w:tabs>
                <w:tab w:val="center" w:pos="284"/>
              </w:tabs>
              <w:overflowPunct w:val="0"/>
              <w:autoSpaceDE w:val="0"/>
              <w:autoSpaceDN w:val="0"/>
              <w:adjustRightInd w:val="0"/>
              <w:ind w:left="720" w:right="-1673" w:hanging="720"/>
              <w:textAlignment w:val="baseline"/>
            </w:pPr>
            <w:r>
              <w:t>EESC-2023-01713-00-00-AC</w:t>
            </w:r>
          </w:p>
        </w:tc>
      </w:tr>
    </w:tbl>
    <w:p w:rsidRPr="00046E56" w:rsidR="00046E56" w:rsidP="00046E56" w:rsidRDefault="00046E56" w14:paraId="4BECFD05" w14:textId="77777777">
      <w:pPr>
        <w:tabs>
          <w:tab w:val="center" w:pos="284"/>
        </w:tabs>
        <w:overflowPunct w:val="0"/>
        <w:autoSpaceDE w:val="0"/>
        <w:autoSpaceDN w:val="0"/>
        <w:adjustRightInd w:val="0"/>
        <w:ind w:left="709" w:hanging="720"/>
        <w:textAlignment w:val="baseline"/>
        <w:rPr>
          <w:b/>
        </w:rPr>
      </w:pPr>
    </w:p>
    <w:p w:rsidRPr="00046E56" w:rsidR="00046E56" w:rsidP="00046E56" w:rsidRDefault="00046E56" w14:paraId="5DB3959C" w14:textId="77777777">
      <w:pPr>
        <w:keepNext/>
        <w:keepLines/>
        <w:tabs>
          <w:tab w:val="center" w:pos="284"/>
        </w:tabs>
        <w:overflowPunct w:val="0"/>
        <w:autoSpaceDE w:val="0"/>
        <w:autoSpaceDN w:val="0"/>
        <w:adjustRightInd w:val="0"/>
        <w:ind w:left="720" w:hanging="720"/>
        <w:textAlignment w:val="baseline"/>
        <w:rPr>
          <w:b/>
        </w:rPr>
      </w:pPr>
      <w:r>
        <w:rPr>
          <w:b/>
        </w:rPr>
        <w:t>Pontos principais</w:t>
      </w:r>
    </w:p>
    <w:p w:rsidRPr="00046E56" w:rsidR="00046E56" w:rsidP="00046E56" w:rsidRDefault="00046E56" w14:paraId="4D7F77FC" w14:textId="77777777">
      <w:pPr>
        <w:keepNext/>
        <w:keepLines/>
        <w:tabs>
          <w:tab w:val="center" w:pos="284"/>
        </w:tabs>
        <w:overflowPunct w:val="0"/>
        <w:autoSpaceDE w:val="0"/>
        <w:autoSpaceDN w:val="0"/>
        <w:adjustRightInd w:val="0"/>
        <w:ind w:left="720" w:hanging="720"/>
        <w:textAlignment w:val="baseline"/>
        <w:rPr>
          <w:b/>
        </w:rPr>
      </w:pPr>
    </w:p>
    <w:p w:rsidRPr="00046E56" w:rsidR="00046E56" w:rsidP="00046E56" w:rsidRDefault="00046E56" w14:paraId="2E2AD11F" w14:textId="77777777">
      <w:pPr>
        <w:keepNext/>
        <w:keepLines/>
        <w:tabs>
          <w:tab w:val="center" w:pos="284"/>
        </w:tabs>
        <w:overflowPunct w:val="0"/>
        <w:autoSpaceDE w:val="0"/>
        <w:autoSpaceDN w:val="0"/>
        <w:adjustRightInd w:val="0"/>
        <w:ind w:left="720" w:hanging="720"/>
        <w:textAlignment w:val="baseline"/>
        <w:rPr>
          <w:b/>
        </w:rPr>
      </w:pPr>
      <w:r>
        <w:t>O Comité Económico e Social Europeu:</w:t>
      </w:r>
    </w:p>
    <w:p w:rsidRPr="00046E56" w:rsidR="00046E56" w:rsidP="00046E56" w:rsidRDefault="00046E56" w14:paraId="3BA54C2F" w14:textId="77777777">
      <w:pPr>
        <w:keepNext/>
        <w:keepLines/>
        <w:tabs>
          <w:tab w:val="center" w:pos="284"/>
        </w:tabs>
        <w:overflowPunct w:val="0"/>
        <w:autoSpaceDE w:val="0"/>
        <w:autoSpaceDN w:val="0"/>
        <w:adjustRightInd w:val="0"/>
        <w:ind w:left="720" w:hanging="720"/>
        <w:textAlignment w:val="baseline"/>
        <w:rPr>
          <w:b/>
        </w:rPr>
      </w:pPr>
    </w:p>
    <w:p w:rsidRPr="00A2086E" w:rsidR="00046E56" w:rsidP="00A2086E" w:rsidRDefault="0080771B" w14:paraId="4F686A36" w14:textId="1DD1E854">
      <w:pPr>
        <w:numPr>
          <w:ilvl w:val="0"/>
          <w:numId w:val="38"/>
        </w:numPr>
        <w:overflowPunct w:val="0"/>
        <w:autoSpaceDE w:val="0"/>
        <w:autoSpaceDN w:val="0"/>
        <w:adjustRightInd w:val="0"/>
        <w:ind w:left="426" w:hanging="426"/>
        <w:textAlignment w:val="baseline"/>
        <w:rPr>
          <w:szCs w:val="20"/>
        </w:rPr>
      </w:pPr>
      <w:r>
        <w:t>acolhe favoravelmente o objetivo principal da proposta de regulamento de reforçar a monitorização e a transparência dos mercados grossistas de energia; considera que serão necessárias monitorizações e análises contínuas para permitir intervenções adequadas e respostas regulamentares em tempo útil e com base em dados fiáveis; insta à proporcionalidade em matéria de comunicação de dados e à aplicação do princípio da declaração única. A revisão deve procurar criar um sistema transparente e não discriminatório, evitando simultaneamente uma utilização abusiva dos dados recolhidos;</w:t>
      </w:r>
    </w:p>
    <w:p w:rsidRPr="00A2086E" w:rsidR="00046E56" w:rsidP="00A2086E" w:rsidRDefault="0080771B" w14:paraId="114D31BC" w14:textId="317A2A7A">
      <w:pPr>
        <w:numPr>
          <w:ilvl w:val="0"/>
          <w:numId w:val="38"/>
        </w:numPr>
        <w:overflowPunct w:val="0"/>
        <w:autoSpaceDE w:val="0"/>
        <w:autoSpaceDN w:val="0"/>
        <w:adjustRightInd w:val="0"/>
        <w:ind w:left="426" w:hanging="426"/>
        <w:textAlignment w:val="baseline"/>
        <w:rPr>
          <w:szCs w:val="20"/>
        </w:rPr>
      </w:pPr>
      <w:r>
        <w:t>congratula-se com o alinhamento das definições de «informação privilegiada» e «manipulação de mercado» com as regras do mercado financeiro; destaca também a importância da cooperação entre as autoridades nacionais e a nível da UE e sublinha a necessidade de assegurar uma divisão adequada e eficiente das funções entre as autoridades reguladoras nacionais e a Agência da União Europeia de Cooperação dos Reguladores da Energia (ACER);</w:t>
      </w:r>
    </w:p>
    <w:p w:rsidRPr="00046E56" w:rsidR="00046E56" w:rsidP="00A2086E" w:rsidRDefault="0080771B" w14:paraId="2A6A8AAD" w14:textId="36BC5879">
      <w:pPr>
        <w:numPr>
          <w:ilvl w:val="0"/>
          <w:numId w:val="38"/>
        </w:numPr>
        <w:overflowPunct w:val="0"/>
        <w:autoSpaceDE w:val="0"/>
        <w:autoSpaceDN w:val="0"/>
        <w:adjustRightInd w:val="0"/>
        <w:ind w:left="426" w:hanging="426"/>
        <w:textAlignment w:val="baseline"/>
        <w:rPr>
          <w:szCs w:val="20"/>
        </w:rPr>
      </w:pPr>
      <w:r>
        <w:t>lamenta, com preocupação, que as propostas relativas à conceção do mercado da eletricidade não tenham sido submetidas a uma consulta e a uma avaliação de impacto exaustivas; considera que não se deve apressar nenhuma proposta e que as consultas públicas e as avaliações de impacto são instrumentos muito importantes no processo legislativo. </w:t>
      </w:r>
    </w:p>
    <w:p w:rsidRPr="00046E56" w:rsidR="00046E56" w:rsidP="00046E56" w:rsidRDefault="00046E56" w14:paraId="2060F0B4" w14:textId="77777777">
      <w:pPr>
        <w:widowControl w:val="0"/>
        <w:overflowPunct w:val="0"/>
        <w:autoSpaceDE w:val="0"/>
        <w:autoSpaceDN w:val="0"/>
        <w:adjustRightInd w:val="0"/>
        <w:ind w:left="720" w:hanging="720"/>
        <w:textAlignment w:val="baseline"/>
        <w:rPr>
          <w:szCs w:val="20"/>
        </w:rPr>
      </w:pPr>
    </w:p>
    <w:tbl>
      <w:tblPr>
        <w:tblStyle w:val="TableGrid5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046E56" w:rsidR="00046E56" w:rsidTr="00D97149" w14:paraId="5940B331" w14:textId="77777777">
        <w:tc>
          <w:tcPr>
            <w:tcW w:w="1418" w:type="dxa"/>
          </w:tcPr>
          <w:p w:rsidRPr="00046E56" w:rsidR="00046E56" w:rsidP="00046E56" w:rsidRDefault="00046E56" w14:paraId="41FEF9A4" w14:textId="17069CCA">
            <w:pPr>
              <w:overflowPunct w:val="0"/>
              <w:autoSpaceDE w:val="0"/>
              <w:autoSpaceDN w:val="0"/>
              <w:adjustRightInd w:val="0"/>
              <w:ind w:left="720" w:hanging="720"/>
              <w:textAlignment w:val="baseline"/>
              <w:rPr>
                <w:i/>
              </w:rPr>
            </w:pPr>
            <w:r>
              <w:rPr>
                <w:b/>
                <w:i/>
              </w:rPr>
              <w:t>Contacto</w:t>
            </w:r>
          </w:p>
        </w:tc>
        <w:tc>
          <w:tcPr>
            <w:tcW w:w="5670" w:type="dxa"/>
          </w:tcPr>
          <w:p w:rsidRPr="00046E56" w:rsidR="00046E56" w:rsidP="00046E56" w:rsidRDefault="00046E56" w14:paraId="6DBBD0A8" w14:textId="166E424A">
            <w:pPr>
              <w:overflowPunct w:val="0"/>
              <w:autoSpaceDE w:val="0"/>
              <w:autoSpaceDN w:val="0"/>
              <w:adjustRightInd w:val="0"/>
              <w:ind w:left="720" w:hanging="720"/>
              <w:textAlignment w:val="baseline"/>
              <w:rPr>
                <w:i/>
              </w:rPr>
            </w:pPr>
            <w:r>
              <w:rPr>
                <w:i/>
              </w:rPr>
              <w:t>Agota Bazsik</w:t>
            </w:r>
          </w:p>
        </w:tc>
      </w:tr>
      <w:tr w:rsidRPr="00046E56" w:rsidR="00046E56" w:rsidTr="00D97149" w14:paraId="25103C7E" w14:textId="77777777">
        <w:tc>
          <w:tcPr>
            <w:tcW w:w="1418" w:type="dxa"/>
          </w:tcPr>
          <w:p w:rsidRPr="00046E56" w:rsidR="00046E56" w:rsidP="00046E56" w:rsidRDefault="00046E56" w14:paraId="222749E0" w14:textId="73B9BB42">
            <w:pPr>
              <w:overflowPunct w:val="0"/>
              <w:autoSpaceDE w:val="0"/>
              <w:autoSpaceDN w:val="0"/>
              <w:adjustRightInd w:val="0"/>
              <w:ind w:left="720" w:hanging="720"/>
              <w:textAlignment w:val="baseline"/>
              <w:rPr>
                <w:i/>
              </w:rPr>
            </w:pPr>
            <w:r>
              <w:rPr>
                <w:i/>
              </w:rPr>
              <w:t>Tel.</w:t>
            </w:r>
          </w:p>
        </w:tc>
        <w:tc>
          <w:tcPr>
            <w:tcW w:w="5670" w:type="dxa"/>
          </w:tcPr>
          <w:p w:rsidRPr="00046E56" w:rsidR="00046E56" w:rsidP="00046E56" w:rsidRDefault="00046E56" w14:paraId="5849DF81" w14:textId="77777777">
            <w:pPr>
              <w:overflowPunct w:val="0"/>
              <w:autoSpaceDE w:val="0"/>
              <w:autoSpaceDN w:val="0"/>
              <w:adjustRightInd w:val="0"/>
              <w:ind w:left="720" w:hanging="720"/>
              <w:textAlignment w:val="baseline"/>
              <w:rPr>
                <w:i/>
              </w:rPr>
            </w:pPr>
            <w:r>
              <w:rPr>
                <w:i/>
              </w:rPr>
              <w:t>+32 2 546 8658</w:t>
            </w:r>
          </w:p>
        </w:tc>
      </w:tr>
      <w:tr w:rsidRPr="00046E56" w:rsidR="00046E56" w:rsidTr="00D97149" w14:paraId="789BF163" w14:textId="77777777">
        <w:tc>
          <w:tcPr>
            <w:tcW w:w="1418" w:type="dxa"/>
          </w:tcPr>
          <w:p w:rsidRPr="00046E56" w:rsidR="00046E56" w:rsidP="00046E56" w:rsidRDefault="0080771B" w14:paraId="7AED8570" w14:textId="2D11E065">
            <w:pPr>
              <w:overflowPunct w:val="0"/>
              <w:autoSpaceDE w:val="0"/>
              <w:autoSpaceDN w:val="0"/>
              <w:adjustRightInd w:val="0"/>
              <w:ind w:left="720" w:hanging="720"/>
              <w:textAlignment w:val="baseline"/>
              <w:rPr>
                <w:i/>
              </w:rPr>
            </w:pPr>
            <w:r>
              <w:rPr>
                <w:i/>
              </w:rPr>
              <w:t>Endereço eletrónico</w:t>
            </w:r>
          </w:p>
        </w:tc>
        <w:tc>
          <w:tcPr>
            <w:tcW w:w="5670" w:type="dxa"/>
          </w:tcPr>
          <w:p w:rsidRPr="00046E56" w:rsidR="00046E56" w:rsidP="00046E56" w:rsidRDefault="007E421A" w14:paraId="05250776" w14:textId="77777777">
            <w:pPr>
              <w:overflowPunct w:val="0"/>
              <w:autoSpaceDE w:val="0"/>
              <w:autoSpaceDN w:val="0"/>
              <w:adjustRightInd w:val="0"/>
              <w:ind w:left="720" w:hanging="720"/>
              <w:textAlignment w:val="baseline"/>
              <w:rPr>
                <w:i/>
              </w:rPr>
            </w:pPr>
            <w:hyperlink w:history="1" r:id="rId59">
              <w:r w:rsidR="00E11732">
                <w:rPr>
                  <w:i/>
                  <w:color w:val="0000FF"/>
                  <w:u w:val="single"/>
                </w:rPr>
                <w:t>Agota.Bazsik@eesc.europa.eu</w:t>
              </w:r>
            </w:hyperlink>
            <w:r w:rsidR="00E11732">
              <w:rPr>
                <w:i/>
              </w:rPr>
              <w:t xml:space="preserve"> </w:t>
            </w:r>
          </w:p>
        </w:tc>
      </w:tr>
    </w:tbl>
    <w:p w:rsidR="00806BBC" w:rsidP="008E2A59" w:rsidRDefault="00806BBC" w14:paraId="6D7EF29B" w14:textId="77777777">
      <w:pPr>
        <w:spacing w:after="160" w:line="259" w:lineRule="auto"/>
        <w:jc w:val="left"/>
        <w:rPr>
          <w:sz w:val="16"/>
          <w:szCs w:val="16"/>
        </w:rPr>
      </w:pPr>
    </w:p>
    <w:p w:rsidR="00806BBC" w:rsidRDefault="00806BBC" w14:paraId="17E7FF94" w14:textId="77777777">
      <w:pPr>
        <w:spacing w:after="160" w:line="259" w:lineRule="auto"/>
        <w:jc w:val="left"/>
        <w:rPr>
          <w:sz w:val="16"/>
          <w:szCs w:val="16"/>
        </w:rPr>
      </w:pPr>
      <w:r>
        <w:br w:type="page"/>
      </w:r>
    </w:p>
    <w:p w:rsidRPr="00806BBC" w:rsidR="00806BBC" w:rsidP="00806BBC" w:rsidRDefault="007E421A" w14:paraId="3A44A00A" w14:textId="729ADEBD">
      <w:pPr>
        <w:widowControl w:val="0"/>
        <w:numPr>
          <w:ilvl w:val="0"/>
          <w:numId w:val="1"/>
        </w:numPr>
        <w:overflowPunct w:val="0"/>
        <w:autoSpaceDE w:val="0"/>
        <w:autoSpaceDN w:val="0"/>
        <w:adjustRightInd w:val="0"/>
        <w:ind w:hanging="567"/>
        <w:textAlignment w:val="baseline"/>
        <w:rPr>
          <w:sz w:val="20"/>
          <w:szCs w:val="20"/>
        </w:rPr>
      </w:pPr>
      <w:hyperlink w:history="1" r:id="rId60">
        <w:r w:rsidR="00E11732">
          <w:rPr>
            <w:b/>
            <w:i/>
            <w:color w:val="0000FF"/>
            <w:sz w:val="28"/>
            <w:u w:val="single"/>
          </w:rPr>
          <w:t>Reforma do mercado da eletricidade</w:t>
        </w:r>
      </w:hyperlink>
    </w:p>
    <w:p w:rsidRPr="00806BBC" w:rsidR="00E47B45" w:rsidP="00806BBC" w:rsidRDefault="00E47B45" w14:paraId="008E7DC6" w14:textId="77777777">
      <w:pPr>
        <w:tabs>
          <w:tab w:val="center" w:pos="284"/>
        </w:tabs>
        <w:overflowPunct w:val="0"/>
        <w:autoSpaceDE w:val="0"/>
        <w:autoSpaceDN w:val="0"/>
        <w:adjustRightInd w:val="0"/>
        <w:ind w:left="266" w:hanging="266"/>
        <w:textAlignment w:val="baseline"/>
        <w:rPr>
          <w:b/>
        </w:rPr>
      </w:pPr>
    </w:p>
    <w:tbl>
      <w:tblPr>
        <w:tblStyle w:val="TableGrid58"/>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78"/>
      </w:tblGrid>
      <w:tr w:rsidRPr="00806BBC" w:rsidR="00806BBC" w:rsidTr="00D97149" w14:paraId="033ECB9C" w14:textId="77777777">
        <w:tc>
          <w:tcPr>
            <w:tcW w:w="2235" w:type="dxa"/>
          </w:tcPr>
          <w:p w:rsidRPr="00806BBC" w:rsidR="00806BBC" w:rsidP="00806BBC" w:rsidRDefault="00806BBC" w14:paraId="5B8F9CFD" w14:textId="77777777">
            <w:pPr>
              <w:tabs>
                <w:tab w:val="center" w:pos="284"/>
              </w:tabs>
              <w:overflowPunct w:val="0"/>
              <w:autoSpaceDE w:val="0"/>
              <w:autoSpaceDN w:val="0"/>
              <w:adjustRightInd w:val="0"/>
              <w:ind w:left="266" w:hanging="266"/>
              <w:textAlignment w:val="baseline"/>
              <w:rPr>
                <w:b/>
              </w:rPr>
            </w:pPr>
            <w:r>
              <w:rPr>
                <w:b/>
              </w:rPr>
              <w:t xml:space="preserve">Relator </w:t>
            </w:r>
          </w:p>
          <w:p w:rsidRPr="00806BBC" w:rsidR="00806BBC" w:rsidP="00806BBC" w:rsidRDefault="00806BBC" w14:paraId="2F867C0A" w14:textId="77777777">
            <w:pPr>
              <w:tabs>
                <w:tab w:val="center" w:pos="284"/>
              </w:tabs>
              <w:overflowPunct w:val="0"/>
              <w:autoSpaceDE w:val="0"/>
              <w:autoSpaceDN w:val="0"/>
              <w:adjustRightInd w:val="0"/>
              <w:ind w:left="266" w:hanging="266"/>
              <w:textAlignment w:val="baseline"/>
              <w:rPr>
                <w:b/>
              </w:rPr>
            </w:pPr>
            <w:r>
              <w:rPr>
                <w:b/>
              </w:rPr>
              <w:t>Correlator</w:t>
            </w:r>
          </w:p>
        </w:tc>
        <w:tc>
          <w:tcPr>
            <w:tcW w:w="5278" w:type="dxa"/>
          </w:tcPr>
          <w:p w:rsidRPr="00806BBC" w:rsidR="00806BBC" w:rsidP="00806BBC" w:rsidRDefault="00806BBC" w14:paraId="55515536" w14:textId="0D6558D9">
            <w:pPr>
              <w:tabs>
                <w:tab w:val="center" w:pos="284"/>
              </w:tabs>
              <w:overflowPunct w:val="0"/>
              <w:autoSpaceDE w:val="0"/>
              <w:autoSpaceDN w:val="0"/>
              <w:adjustRightInd w:val="0"/>
              <w:ind w:left="266" w:hanging="266"/>
              <w:textAlignment w:val="baseline"/>
            </w:pPr>
            <w:r>
              <w:t>Jan Dirx (NL – Grupo das Organizações da Sociedade Civil)</w:t>
            </w:r>
          </w:p>
          <w:p w:rsidRPr="00806BBC" w:rsidR="00806BBC" w:rsidP="00806BBC" w:rsidRDefault="007E421A" w14:paraId="2C3EE0B2" w14:textId="30266F73">
            <w:pPr>
              <w:tabs>
                <w:tab w:val="center" w:pos="284"/>
              </w:tabs>
              <w:overflowPunct w:val="0"/>
              <w:autoSpaceDE w:val="0"/>
              <w:autoSpaceDN w:val="0"/>
              <w:adjustRightInd w:val="0"/>
              <w:ind w:left="266" w:hanging="266"/>
              <w:textAlignment w:val="baseline"/>
            </w:pPr>
            <w:hyperlink w:tgtFrame="_blank" w:tooltip="Christophe Quarez - Hiperligação abre numa nova janela" w:history="1" r:id="rId61">
              <w:r w:rsidR="00E11732">
                <w:t>Christophe Quarez</w:t>
              </w:r>
            </w:hyperlink>
            <w:r w:rsidR="00E11732">
              <w:t xml:space="preserve"> (FR – Grupo dos Trabalhadores)</w:t>
            </w:r>
          </w:p>
        </w:tc>
      </w:tr>
      <w:tr w:rsidRPr="00806BBC" w:rsidR="00806BBC" w:rsidTr="00D97149" w14:paraId="2CE5466A" w14:textId="77777777">
        <w:tc>
          <w:tcPr>
            <w:tcW w:w="7513" w:type="dxa"/>
            <w:gridSpan w:val="2"/>
          </w:tcPr>
          <w:p w:rsidRPr="00806BBC" w:rsidR="00806BBC" w:rsidP="00806BBC" w:rsidRDefault="00806BBC" w14:paraId="1B15C2F7" w14:textId="77777777">
            <w:pPr>
              <w:tabs>
                <w:tab w:val="center" w:pos="284"/>
              </w:tabs>
              <w:overflowPunct w:val="0"/>
              <w:autoSpaceDE w:val="0"/>
              <w:autoSpaceDN w:val="0"/>
              <w:adjustRightInd w:val="0"/>
              <w:spacing w:line="160" w:lineRule="exact"/>
              <w:ind w:left="266" w:hanging="266"/>
              <w:textAlignment w:val="baseline"/>
            </w:pPr>
          </w:p>
        </w:tc>
      </w:tr>
      <w:tr w:rsidRPr="00806BBC" w:rsidR="00806BBC" w:rsidTr="00D97149" w14:paraId="7FB2F196" w14:textId="77777777">
        <w:tc>
          <w:tcPr>
            <w:tcW w:w="2235" w:type="dxa"/>
          </w:tcPr>
          <w:p w:rsidRPr="00806BBC" w:rsidR="00806BBC" w:rsidP="00806BBC" w:rsidRDefault="00806BBC" w14:paraId="72CB2254" w14:textId="77777777">
            <w:pPr>
              <w:tabs>
                <w:tab w:val="center" w:pos="284"/>
              </w:tabs>
              <w:overflowPunct w:val="0"/>
              <w:autoSpaceDE w:val="0"/>
              <w:autoSpaceDN w:val="0"/>
              <w:adjustRightInd w:val="0"/>
              <w:ind w:left="266" w:hanging="266"/>
              <w:textAlignment w:val="baseline"/>
              <w:rPr>
                <w:b/>
              </w:rPr>
            </w:pPr>
            <w:r>
              <w:rPr>
                <w:b/>
              </w:rPr>
              <w:t>Referências</w:t>
            </w:r>
          </w:p>
        </w:tc>
        <w:tc>
          <w:tcPr>
            <w:tcW w:w="5278" w:type="dxa"/>
          </w:tcPr>
          <w:p w:rsidRPr="00806BBC" w:rsidR="00806BBC" w:rsidP="00806BBC" w:rsidRDefault="00806BBC" w14:paraId="75F0D7D7" w14:textId="77777777">
            <w:pPr>
              <w:tabs>
                <w:tab w:val="center" w:pos="284"/>
              </w:tabs>
              <w:overflowPunct w:val="0"/>
              <w:autoSpaceDE w:val="0"/>
              <w:autoSpaceDN w:val="0"/>
              <w:adjustRightInd w:val="0"/>
              <w:ind w:left="266" w:hanging="266"/>
              <w:textAlignment w:val="baseline"/>
            </w:pPr>
            <w:r>
              <w:t>COM(2023) 148 final</w:t>
            </w:r>
          </w:p>
          <w:p w:rsidRPr="00806BBC" w:rsidR="00806BBC" w:rsidP="00806BBC" w:rsidRDefault="00806BBC" w14:paraId="33953F87" w14:textId="68E08322">
            <w:pPr>
              <w:tabs>
                <w:tab w:val="center" w:pos="284"/>
              </w:tabs>
              <w:overflowPunct w:val="0"/>
              <w:autoSpaceDE w:val="0"/>
              <w:autoSpaceDN w:val="0"/>
              <w:adjustRightInd w:val="0"/>
              <w:ind w:left="266" w:hanging="266"/>
              <w:textAlignment w:val="baseline"/>
            </w:pPr>
            <w:r>
              <w:t>EESC-2023-01739-00-00-AC</w:t>
            </w:r>
          </w:p>
        </w:tc>
      </w:tr>
    </w:tbl>
    <w:p w:rsidRPr="00806BBC" w:rsidR="00806BBC" w:rsidP="00806BBC" w:rsidRDefault="00806BBC" w14:paraId="26BC1593" w14:textId="77777777">
      <w:pPr>
        <w:keepNext/>
        <w:keepLines/>
        <w:tabs>
          <w:tab w:val="center" w:pos="284"/>
        </w:tabs>
        <w:overflowPunct w:val="0"/>
        <w:autoSpaceDE w:val="0"/>
        <w:autoSpaceDN w:val="0"/>
        <w:adjustRightInd w:val="0"/>
        <w:ind w:left="266" w:hanging="266"/>
        <w:textAlignment w:val="baseline"/>
        <w:rPr>
          <w:b/>
        </w:rPr>
      </w:pPr>
    </w:p>
    <w:p w:rsidRPr="00806BBC" w:rsidR="00806BBC" w:rsidP="00806BBC" w:rsidRDefault="00806BBC" w14:paraId="18945EF4"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806BBC" w:rsidR="00806BBC" w:rsidP="00806BBC" w:rsidRDefault="00806BBC" w14:paraId="0F0B731C" w14:textId="77777777">
      <w:pPr>
        <w:keepNext/>
        <w:keepLines/>
        <w:tabs>
          <w:tab w:val="center" w:pos="284"/>
        </w:tabs>
        <w:overflowPunct w:val="0"/>
        <w:autoSpaceDE w:val="0"/>
        <w:autoSpaceDN w:val="0"/>
        <w:adjustRightInd w:val="0"/>
        <w:ind w:left="266" w:hanging="266"/>
        <w:textAlignment w:val="baseline"/>
        <w:rPr>
          <w:b/>
        </w:rPr>
      </w:pPr>
    </w:p>
    <w:p w:rsidRPr="00806BBC" w:rsidR="00806BBC" w:rsidP="00806BBC" w:rsidRDefault="00806BBC" w14:paraId="454BC30D" w14:textId="77777777">
      <w:pPr>
        <w:overflowPunct w:val="0"/>
        <w:autoSpaceDE w:val="0"/>
        <w:autoSpaceDN w:val="0"/>
        <w:adjustRightInd w:val="0"/>
        <w:textAlignment w:val="baseline"/>
        <w:rPr>
          <w:bCs/>
          <w:iCs/>
        </w:rPr>
      </w:pPr>
      <w:r>
        <w:t>O Comité Económico e Social Europeu:</w:t>
      </w:r>
    </w:p>
    <w:p w:rsidRPr="00806BBC" w:rsidR="00806BBC" w:rsidP="00806BBC" w:rsidRDefault="00806BBC" w14:paraId="0686A750" w14:textId="77777777">
      <w:pPr>
        <w:contextualSpacing/>
        <w:rPr>
          <w:szCs w:val="20"/>
        </w:rPr>
      </w:pPr>
    </w:p>
    <w:p w:rsidRPr="00A2086E" w:rsidR="00806BBC" w:rsidP="00A2086E" w:rsidRDefault="00E94F65" w14:paraId="76CD5684" w14:textId="723ABAAF">
      <w:pPr>
        <w:pStyle w:val="ListParagraph"/>
        <w:numPr>
          <w:ilvl w:val="0"/>
          <w:numId w:val="39"/>
        </w:numPr>
        <w:overflowPunct w:val="0"/>
        <w:autoSpaceDE w:val="0"/>
        <w:autoSpaceDN w:val="0"/>
        <w:adjustRightInd w:val="0"/>
        <w:ind w:left="426" w:hanging="426"/>
        <w:textAlignment w:val="baseline"/>
        <w:rPr>
          <w:szCs w:val="20"/>
        </w:rPr>
      </w:pPr>
      <w:r>
        <w:t>considera que a energia, incluindo as infraestruturas de transporte e distribuição, não pode ser tratada como qualquer outra mercadoria: é uma pedra basilar essencial do nosso sistema económico e social e, por conseguinte, uma parte central do fornecimento de serviços públicos. É por isso que o fornecimento de energia é classificado como um serviço de interesse geral. Por esse motivo, é necessário criar condições-quadro regulamentares para a energia futura que garantam não só um aprovisionamento energético ecológico, a preços comportáveis e fiável, mas também o direito à energia. Tal significa também que a conceção do mercado da energia deve ter em conta os requisitos associados à descarbonização. Para assegurar um abastecimento básico de energia a preços comportáveis, o CESE entende que a nova conceção do mercado deve garantir o abastecimento básico de energia a preços regulados;</w:t>
      </w:r>
    </w:p>
    <w:p w:rsidRPr="00A2086E" w:rsidR="00806BBC" w:rsidP="00A2086E" w:rsidRDefault="00E94F65" w14:paraId="5B2E97A0" w14:textId="19BC20BC">
      <w:pPr>
        <w:pStyle w:val="ListParagraph"/>
        <w:numPr>
          <w:ilvl w:val="0"/>
          <w:numId w:val="39"/>
        </w:numPr>
        <w:overflowPunct w:val="0"/>
        <w:autoSpaceDE w:val="0"/>
        <w:autoSpaceDN w:val="0"/>
        <w:adjustRightInd w:val="0"/>
        <w:ind w:left="426" w:hanging="426"/>
        <w:textAlignment w:val="baseline"/>
        <w:rPr>
          <w:szCs w:val="20"/>
        </w:rPr>
      </w:pPr>
      <w:r>
        <w:t>sublinha que, no contexto de uma reforma do mercado da eletricidade, a liberalização deve ser examinada de forma crítica em termos da sua sustentabilidade, acessibilidade dos preços e segurança do abastecimento. Importa não esquecer, também, que a atual crise demonstra que os mercados de energia liberalizados não são capazes de satisfazer estas necessidades e não criam incentivos suficientes e segurança de investimento para as energias renováveis. Além disso, os governos serão responsáveis por alcançar estes três objetivos (sustentabilidade, acessibilidade dos preços e segurança do aprovisionamento) ao longo de um período alargado, porque o mercado não os aliará uns aos outros nem os realizará espontaneamente;</w:t>
      </w:r>
    </w:p>
    <w:p w:rsidRPr="00A2086E" w:rsidR="00806BBC" w:rsidP="00A2086E" w:rsidRDefault="00E94F65" w14:paraId="163E9C88" w14:textId="61407DE6">
      <w:pPr>
        <w:pStyle w:val="ListParagraph"/>
        <w:numPr>
          <w:ilvl w:val="0"/>
          <w:numId w:val="39"/>
        </w:numPr>
        <w:overflowPunct w:val="0"/>
        <w:autoSpaceDE w:val="0"/>
        <w:autoSpaceDN w:val="0"/>
        <w:adjustRightInd w:val="0"/>
        <w:ind w:left="426" w:hanging="426"/>
        <w:textAlignment w:val="baseline"/>
        <w:rPr>
          <w:szCs w:val="20"/>
        </w:rPr>
      </w:pPr>
      <w:r>
        <w:t>preconiza um modelo híbrido, em que as forças do mercado e uma gestão orientada para metas geram, em conjunto, um funcionamento ideal do mercado, no quadro dos objetivos definidos. No cerne deste modelo encontra-se um «serviço para a eletricidade» a estabelecer pelos governos, que adquire eletricidade aos produtores e a vende aos fornecedores de clientes domésticos, às PME, às comunidades de cidadãos para a energia e aos grandes consumidores e, sempre que adequado e possível, a outros países, usando os três objetivos como quadro para a tomada de decisões. Este serviço celebraria contratos a longo prazo com os produtores de eletricidade, com base em concursos. Esses contratos seriam de vários tipos, como contratos de aquisição de energia, contratos por diferenças ou contratos a preço por percentagem.</w:t>
      </w:r>
    </w:p>
    <w:p w:rsidRPr="00806BBC" w:rsidR="00806BBC" w:rsidP="00806BBC" w:rsidRDefault="00806BBC" w14:paraId="7B07D93B" w14:textId="77777777">
      <w:pPr>
        <w:widowControl w:val="0"/>
        <w:overflowPunct w:val="0"/>
        <w:autoSpaceDE w:val="0"/>
        <w:autoSpaceDN w:val="0"/>
        <w:adjustRightInd w:val="0"/>
        <w:ind w:left="709"/>
        <w:textAlignment w:val="baseline"/>
        <w:rPr>
          <w:szCs w:val="20"/>
        </w:rPr>
      </w:pPr>
    </w:p>
    <w:tbl>
      <w:tblPr>
        <w:tblStyle w:val="TableGrid58"/>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806BBC" w:rsidR="00806BBC" w:rsidTr="00D97149" w14:paraId="0E2F41DD" w14:textId="77777777">
        <w:tc>
          <w:tcPr>
            <w:tcW w:w="1418" w:type="dxa"/>
          </w:tcPr>
          <w:p w:rsidRPr="00806BBC" w:rsidR="00806BBC" w:rsidP="00806BBC" w:rsidRDefault="00806BBC" w14:paraId="7725A5BD" w14:textId="79AEC1BA">
            <w:pPr>
              <w:overflowPunct w:val="0"/>
              <w:autoSpaceDE w:val="0"/>
              <w:autoSpaceDN w:val="0"/>
              <w:adjustRightInd w:val="0"/>
              <w:spacing w:line="240" w:lineRule="auto"/>
              <w:textAlignment w:val="baseline"/>
              <w:rPr>
                <w:i/>
              </w:rPr>
            </w:pPr>
            <w:r>
              <w:rPr>
                <w:b/>
                <w:i/>
              </w:rPr>
              <w:t>Contacto</w:t>
            </w:r>
          </w:p>
        </w:tc>
        <w:tc>
          <w:tcPr>
            <w:tcW w:w="5670" w:type="dxa"/>
          </w:tcPr>
          <w:p w:rsidRPr="00806BBC" w:rsidR="00806BBC" w:rsidP="00806BBC" w:rsidRDefault="00806BBC" w14:paraId="7A5446DB" w14:textId="34C80D30">
            <w:pPr>
              <w:overflowPunct w:val="0"/>
              <w:autoSpaceDE w:val="0"/>
              <w:autoSpaceDN w:val="0"/>
              <w:adjustRightInd w:val="0"/>
              <w:spacing w:line="240" w:lineRule="auto"/>
              <w:textAlignment w:val="baseline"/>
              <w:rPr>
                <w:i/>
              </w:rPr>
            </w:pPr>
            <w:r>
              <w:rPr>
                <w:i/>
              </w:rPr>
              <w:t>Agota Bazsik</w:t>
            </w:r>
          </w:p>
        </w:tc>
      </w:tr>
      <w:tr w:rsidRPr="00806BBC" w:rsidR="00806BBC" w:rsidTr="00D97149" w14:paraId="034201FB" w14:textId="77777777">
        <w:tc>
          <w:tcPr>
            <w:tcW w:w="1418" w:type="dxa"/>
          </w:tcPr>
          <w:p w:rsidRPr="00806BBC" w:rsidR="00806BBC" w:rsidP="00806BBC" w:rsidRDefault="00806BBC" w14:paraId="45FE69F7" w14:textId="404AEDDD">
            <w:pPr>
              <w:overflowPunct w:val="0"/>
              <w:autoSpaceDE w:val="0"/>
              <w:autoSpaceDN w:val="0"/>
              <w:adjustRightInd w:val="0"/>
              <w:spacing w:line="240" w:lineRule="auto"/>
              <w:textAlignment w:val="baseline"/>
              <w:rPr>
                <w:i/>
              </w:rPr>
            </w:pPr>
            <w:r>
              <w:rPr>
                <w:i/>
              </w:rPr>
              <w:t>Tel.</w:t>
            </w:r>
          </w:p>
        </w:tc>
        <w:tc>
          <w:tcPr>
            <w:tcW w:w="5670" w:type="dxa"/>
          </w:tcPr>
          <w:p w:rsidRPr="00806BBC" w:rsidR="00806BBC" w:rsidP="00806BBC" w:rsidRDefault="00806BBC" w14:paraId="4C3408CA" w14:textId="77777777">
            <w:pPr>
              <w:overflowPunct w:val="0"/>
              <w:autoSpaceDE w:val="0"/>
              <w:autoSpaceDN w:val="0"/>
              <w:adjustRightInd w:val="0"/>
              <w:spacing w:line="240" w:lineRule="auto"/>
              <w:textAlignment w:val="baseline"/>
              <w:rPr>
                <w:i/>
              </w:rPr>
            </w:pPr>
            <w:r>
              <w:rPr>
                <w:i/>
              </w:rPr>
              <w:t>+32 2 546 8658</w:t>
            </w:r>
          </w:p>
        </w:tc>
      </w:tr>
      <w:tr w:rsidRPr="00806BBC" w:rsidR="00806BBC" w:rsidTr="00D97149" w14:paraId="35391086" w14:textId="77777777">
        <w:tc>
          <w:tcPr>
            <w:tcW w:w="1418" w:type="dxa"/>
          </w:tcPr>
          <w:p w:rsidRPr="00806BBC" w:rsidR="00806BBC" w:rsidP="00806BBC" w:rsidRDefault="00791A8F" w14:paraId="1652B06F" w14:textId="3BFE831E">
            <w:pPr>
              <w:overflowPunct w:val="0"/>
              <w:autoSpaceDE w:val="0"/>
              <w:autoSpaceDN w:val="0"/>
              <w:adjustRightInd w:val="0"/>
              <w:spacing w:line="240" w:lineRule="auto"/>
              <w:textAlignment w:val="baseline"/>
              <w:rPr>
                <w:i/>
              </w:rPr>
            </w:pPr>
            <w:r>
              <w:rPr>
                <w:i/>
              </w:rPr>
              <w:t>Endereço eletrónico</w:t>
            </w:r>
          </w:p>
        </w:tc>
        <w:tc>
          <w:tcPr>
            <w:tcW w:w="5670" w:type="dxa"/>
          </w:tcPr>
          <w:p w:rsidRPr="00806BBC" w:rsidR="00806BBC" w:rsidP="00806BBC" w:rsidRDefault="007E421A" w14:paraId="7D475948" w14:textId="77777777">
            <w:pPr>
              <w:overflowPunct w:val="0"/>
              <w:autoSpaceDE w:val="0"/>
              <w:autoSpaceDN w:val="0"/>
              <w:adjustRightInd w:val="0"/>
              <w:spacing w:line="240" w:lineRule="auto"/>
              <w:textAlignment w:val="baseline"/>
              <w:rPr>
                <w:i/>
                <w:iCs/>
              </w:rPr>
            </w:pPr>
            <w:hyperlink w:history="1" r:id="rId62">
              <w:r w:rsidR="00E11732">
                <w:rPr>
                  <w:i/>
                  <w:color w:val="0000FF"/>
                  <w:u w:val="single"/>
                </w:rPr>
                <w:t>Agota.Bazsik@eesc.europa.eu</w:t>
              </w:r>
            </w:hyperlink>
          </w:p>
        </w:tc>
      </w:tr>
    </w:tbl>
    <w:p w:rsidRPr="00806BBC" w:rsidR="00806BBC" w:rsidP="00806BBC" w:rsidRDefault="00806BBC" w14:paraId="693BB7C6" w14:textId="77777777">
      <w:pPr>
        <w:overflowPunct w:val="0"/>
        <w:autoSpaceDE w:val="0"/>
        <w:autoSpaceDN w:val="0"/>
        <w:adjustRightInd w:val="0"/>
        <w:jc w:val="center"/>
        <w:textAlignment w:val="baseline"/>
        <w:rPr>
          <w:szCs w:val="20"/>
        </w:rPr>
      </w:pPr>
    </w:p>
    <w:p w:rsidR="00697BC4" w:rsidRDefault="00697BC4" w14:paraId="5508BEE8" w14:textId="77777777">
      <w:pPr>
        <w:spacing w:after="160" w:line="259" w:lineRule="auto"/>
        <w:jc w:val="left"/>
        <w:rPr>
          <w:sz w:val="16"/>
          <w:szCs w:val="16"/>
        </w:rPr>
      </w:pPr>
      <w:r>
        <w:br w:type="page"/>
      </w:r>
    </w:p>
    <w:p w:rsidRPr="00A2086E" w:rsidR="00697BC4" w:rsidP="00697BC4" w:rsidRDefault="007E421A" w14:paraId="2BF76DAB" w14:textId="022AC3D7">
      <w:pPr>
        <w:widowControl w:val="0"/>
        <w:numPr>
          <w:ilvl w:val="0"/>
          <w:numId w:val="1"/>
        </w:numPr>
        <w:overflowPunct w:val="0"/>
        <w:autoSpaceDE w:val="0"/>
        <w:autoSpaceDN w:val="0"/>
        <w:adjustRightInd w:val="0"/>
        <w:ind w:hanging="567"/>
        <w:textAlignment w:val="baseline"/>
        <w:rPr>
          <w:sz w:val="20"/>
          <w:szCs w:val="20"/>
        </w:rPr>
      </w:pPr>
      <w:hyperlink w:history="1" r:id="rId63">
        <w:r w:rsidR="00E11732">
          <w:rPr>
            <w:b/>
            <w:i/>
            <w:color w:val="0000FF"/>
            <w:sz w:val="28"/>
            <w:u w:val="single"/>
          </w:rPr>
          <w:t>Banco Europeu do Hidrogénio</w:t>
        </w:r>
      </w:hyperlink>
    </w:p>
    <w:p w:rsidRPr="00697BC4" w:rsidR="000243E7" w:rsidP="00A2086E" w:rsidRDefault="000243E7" w14:paraId="493E9899" w14:textId="77777777">
      <w:pPr>
        <w:widowControl w:val="0"/>
        <w:overflowPunct w:val="0"/>
        <w:autoSpaceDE w:val="0"/>
        <w:autoSpaceDN w:val="0"/>
        <w:adjustRightInd w:val="0"/>
        <w:ind w:left="284"/>
        <w:textAlignment w:val="baseline"/>
        <w:rPr>
          <w:sz w:val="20"/>
          <w:szCs w:val="20"/>
        </w:rPr>
      </w:pPr>
    </w:p>
    <w:tbl>
      <w:tblPr>
        <w:tblStyle w:val="TableGrid59"/>
        <w:tblW w:w="0" w:type="auto"/>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35"/>
        <w:gridCol w:w="5278"/>
      </w:tblGrid>
      <w:tr w:rsidRPr="00697BC4" w:rsidR="00697BC4" w:rsidTr="00D97149" w14:paraId="1DA6CCBF" w14:textId="77777777">
        <w:tc>
          <w:tcPr>
            <w:tcW w:w="2235" w:type="dxa"/>
          </w:tcPr>
          <w:p w:rsidRPr="00697BC4" w:rsidR="00697BC4" w:rsidP="00697BC4" w:rsidRDefault="00697BC4" w14:paraId="2D924A93" w14:textId="77777777">
            <w:pPr>
              <w:tabs>
                <w:tab w:val="center" w:pos="284"/>
              </w:tabs>
              <w:overflowPunct w:val="0"/>
              <w:autoSpaceDE w:val="0"/>
              <w:autoSpaceDN w:val="0"/>
              <w:adjustRightInd w:val="0"/>
              <w:ind w:left="266" w:hanging="266"/>
              <w:textAlignment w:val="baseline"/>
              <w:rPr>
                <w:b/>
              </w:rPr>
            </w:pPr>
            <w:r>
              <w:rPr>
                <w:b/>
              </w:rPr>
              <w:t xml:space="preserve">Relator </w:t>
            </w:r>
          </w:p>
        </w:tc>
        <w:tc>
          <w:tcPr>
            <w:tcW w:w="5278" w:type="dxa"/>
          </w:tcPr>
          <w:p w:rsidRPr="00697BC4" w:rsidR="00697BC4" w:rsidP="00697BC4" w:rsidRDefault="00697BC4" w14:paraId="6043A1E6" w14:textId="3F705820">
            <w:pPr>
              <w:tabs>
                <w:tab w:val="center" w:pos="284"/>
              </w:tabs>
              <w:overflowPunct w:val="0"/>
              <w:autoSpaceDE w:val="0"/>
              <w:autoSpaceDN w:val="0"/>
              <w:adjustRightInd w:val="0"/>
              <w:ind w:left="266" w:hanging="266"/>
              <w:textAlignment w:val="baseline"/>
            </w:pPr>
            <w:r>
              <w:t>Thomas Kattnig (AT – Grupo dos Trabalhadores)</w:t>
            </w:r>
          </w:p>
        </w:tc>
      </w:tr>
      <w:tr w:rsidRPr="00697BC4" w:rsidR="00697BC4" w:rsidTr="00D97149" w14:paraId="407B1195" w14:textId="77777777">
        <w:tc>
          <w:tcPr>
            <w:tcW w:w="7513" w:type="dxa"/>
            <w:gridSpan w:val="2"/>
          </w:tcPr>
          <w:p w:rsidRPr="00697BC4" w:rsidR="00697BC4" w:rsidP="00697BC4" w:rsidRDefault="00697BC4" w14:paraId="23098D36" w14:textId="77777777">
            <w:pPr>
              <w:tabs>
                <w:tab w:val="center" w:pos="284"/>
              </w:tabs>
              <w:overflowPunct w:val="0"/>
              <w:autoSpaceDE w:val="0"/>
              <w:autoSpaceDN w:val="0"/>
              <w:adjustRightInd w:val="0"/>
              <w:spacing w:line="160" w:lineRule="exact"/>
              <w:ind w:left="266" w:hanging="266"/>
              <w:textAlignment w:val="baseline"/>
            </w:pPr>
          </w:p>
        </w:tc>
      </w:tr>
      <w:tr w:rsidRPr="00697BC4" w:rsidR="00697BC4" w:rsidTr="00D97149" w14:paraId="3B7FBCB6" w14:textId="77777777">
        <w:tc>
          <w:tcPr>
            <w:tcW w:w="2235" w:type="dxa"/>
          </w:tcPr>
          <w:p w:rsidRPr="00697BC4" w:rsidR="00697BC4" w:rsidP="00697BC4" w:rsidRDefault="00697BC4" w14:paraId="4C5E471D" w14:textId="77777777">
            <w:pPr>
              <w:tabs>
                <w:tab w:val="center" w:pos="284"/>
              </w:tabs>
              <w:overflowPunct w:val="0"/>
              <w:autoSpaceDE w:val="0"/>
              <w:autoSpaceDN w:val="0"/>
              <w:adjustRightInd w:val="0"/>
              <w:ind w:left="266" w:hanging="266"/>
              <w:textAlignment w:val="baseline"/>
              <w:rPr>
                <w:b/>
              </w:rPr>
            </w:pPr>
            <w:r>
              <w:rPr>
                <w:b/>
              </w:rPr>
              <w:t>Referências</w:t>
            </w:r>
          </w:p>
        </w:tc>
        <w:tc>
          <w:tcPr>
            <w:tcW w:w="5278" w:type="dxa"/>
          </w:tcPr>
          <w:p w:rsidRPr="00697BC4" w:rsidR="00697BC4" w:rsidP="00697BC4" w:rsidRDefault="00697BC4" w14:paraId="57DAF009" w14:textId="77777777">
            <w:pPr>
              <w:tabs>
                <w:tab w:val="center" w:pos="284"/>
              </w:tabs>
              <w:overflowPunct w:val="0"/>
              <w:autoSpaceDE w:val="0"/>
              <w:autoSpaceDN w:val="0"/>
              <w:adjustRightInd w:val="0"/>
              <w:ind w:left="266" w:hanging="266"/>
              <w:textAlignment w:val="baseline"/>
            </w:pPr>
            <w:r>
              <w:t>COM(2023) 156 final</w:t>
            </w:r>
          </w:p>
          <w:p w:rsidRPr="00697BC4" w:rsidR="00697BC4" w:rsidP="00697BC4" w:rsidRDefault="00697BC4" w14:paraId="05377492" w14:textId="76389B27">
            <w:pPr>
              <w:tabs>
                <w:tab w:val="center" w:pos="284"/>
              </w:tabs>
              <w:overflowPunct w:val="0"/>
              <w:autoSpaceDE w:val="0"/>
              <w:autoSpaceDN w:val="0"/>
              <w:adjustRightInd w:val="0"/>
              <w:ind w:left="266" w:hanging="266"/>
              <w:textAlignment w:val="baseline"/>
            </w:pPr>
            <w:r>
              <w:t>EESC-2023-00754-00-00-AC</w:t>
            </w:r>
          </w:p>
        </w:tc>
      </w:tr>
    </w:tbl>
    <w:p w:rsidR="00AB0B18" w:rsidP="00697BC4" w:rsidRDefault="00AB0B18" w14:paraId="7A407584" w14:textId="77777777">
      <w:pPr>
        <w:keepNext/>
        <w:keepLines/>
        <w:tabs>
          <w:tab w:val="center" w:pos="284"/>
        </w:tabs>
        <w:overflowPunct w:val="0"/>
        <w:autoSpaceDE w:val="0"/>
        <w:autoSpaceDN w:val="0"/>
        <w:adjustRightInd w:val="0"/>
        <w:ind w:left="266" w:hanging="266"/>
        <w:textAlignment w:val="baseline"/>
        <w:rPr>
          <w:b/>
        </w:rPr>
      </w:pPr>
    </w:p>
    <w:p w:rsidRPr="00697BC4" w:rsidR="00697BC4" w:rsidP="00697BC4" w:rsidRDefault="00697BC4" w14:paraId="45508188" w14:textId="529005EF">
      <w:pPr>
        <w:keepNext/>
        <w:keepLines/>
        <w:tabs>
          <w:tab w:val="center" w:pos="284"/>
        </w:tabs>
        <w:overflowPunct w:val="0"/>
        <w:autoSpaceDE w:val="0"/>
        <w:autoSpaceDN w:val="0"/>
        <w:adjustRightInd w:val="0"/>
        <w:ind w:left="266" w:hanging="266"/>
        <w:textAlignment w:val="baseline"/>
        <w:rPr>
          <w:b/>
        </w:rPr>
      </w:pPr>
      <w:r>
        <w:rPr>
          <w:b/>
        </w:rPr>
        <w:t>Pontos principais</w:t>
      </w:r>
    </w:p>
    <w:p w:rsidRPr="00697BC4" w:rsidR="00697BC4" w:rsidP="00697BC4" w:rsidRDefault="00697BC4" w14:paraId="3C862B21" w14:textId="77777777">
      <w:pPr>
        <w:keepNext/>
        <w:keepLines/>
        <w:tabs>
          <w:tab w:val="center" w:pos="284"/>
        </w:tabs>
        <w:overflowPunct w:val="0"/>
        <w:autoSpaceDE w:val="0"/>
        <w:autoSpaceDN w:val="0"/>
        <w:adjustRightInd w:val="0"/>
        <w:ind w:left="266" w:hanging="266"/>
        <w:textAlignment w:val="baseline"/>
        <w:rPr>
          <w:b/>
        </w:rPr>
      </w:pPr>
    </w:p>
    <w:p w:rsidRPr="00697BC4" w:rsidR="00697BC4" w:rsidP="00697BC4" w:rsidRDefault="00697BC4" w14:paraId="023159F9" w14:textId="77777777">
      <w:pPr>
        <w:overflowPunct w:val="0"/>
        <w:autoSpaceDE w:val="0"/>
        <w:autoSpaceDN w:val="0"/>
        <w:adjustRightInd w:val="0"/>
        <w:textAlignment w:val="baseline"/>
        <w:rPr>
          <w:bCs/>
          <w:iCs/>
        </w:rPr>
      </w:pPr>
      <w:r>
        <w:t>O Comité Económico e Social Europeu:</w:t>
      </w:r>
    </w:p>
    <w:p w:rsidRPr="00697BC4" w:rsidR="00697BC4" w:rsidP="00697BC4" w:rsidRDefault="00697BC4" w14:paraId="3A5555C9" w14:textId="77777777">
      <w:pPr>
        <w:contextualSpacing/>
        <w:rPr>
          <w:bCs/>
          <w:iCs/>
        </w:rPr>
      </w:pPr>
    </w:p>
    <w:p w:rsidRPr="00A2086E" w:rsidR="00697BC4" w:rsidP="00A2086E" w:rsidRDefault="000243E7" w14:paraId="76C8DFED" w14:textId="7B10056E">
      <w:pPr>
        <w:pStyle w:val="ListParagraph"/>
        <w:numPr>
          <w:ilvl w:val="0"/>
          <w:numId w:val="40"/>
        </w:numPr>
        <w:overflowPunct w:val="0"/>
        <w:autoSpaceDE w:val="0"/>
        <w:autoSpaceDN w:val="0"/>
        <w:adjustRightInd w:val="0"/>
        <w:ind w:left="426" w:hanging="426"/>
        <w:textAlignment w:val="baseline"/>
        <w:rPr>
          <w:szCs w:val="20"/>
        </w:rPr>
      </w:pPr>
      <w:r>
        <w:t>congratula-se com a ideia da Comissão de criar um Banco Europeu do Hidrogénio, gerando assim incentivos para o surgimento de um mercado do hidrogénio. O CESE salienta que os combustíveis fósseis não podem ser subsidiados com fundos da UE. Consequentemente, o princípio de «não prejudicar» também tem de ser aplicado aos fundos associados ao Banco Europeu do Hidrogénio. O hidrogénio só pode ser financiado através de fundos da UE se for produzido com eletricidade proveniente de fontes que sejam compatíveis com o Regulamento Taxonomia e consideradas um contributo significativo para a redução das emissões de CO</w:t>
      </w:r>
      <w:r>
        <w:rPr>
          <w:vertAlign w:val="subscript"/>
        </w:rPr>
        <w:t>2</w:t>
      </w:r>
      <w:r>
        <w:t>;</w:t>
      </w:r>
    </w:p>
    <w:p w:rsidRPr="00A2086E" w:rsidR="00697BC4" w:rsidP="00A2086E" w:rsidRDefault="000243E7" w14:paraId="13438B20" w14:textId="035F170B">
      <w:pPr>
        <w:pStyle w:val="ListParagraph"/>
        <w:numPr>
          <w:ilvl w:val="0"/>
          <w:numId w:val="40"/>
        </w:numPr>
        <w:overflowPunct w:val="0"/>
        <w:autoSpaceDE w:val="0"/>
        <w:autoSpaceDN w:val="0"/>
        <w:adjustRightInd w:val="0"/>
        <w:ind w:left="426" w:hanging="426"/>
        <w:textAlignment w:val="baseline"/>
        <w:rPr>
          <w:szCs w:val="20"/>
        </w:rPr>
      </w:pPr>
      <w:r>
        <w:t>opõe-se à utilização de energia (não renovável) proveniente das redes elétricas europeias em processos de eletrólise com utilização intensiva de energia, que aumentam a procura global de energia. O CESE salienta que a utilização do hidrogénio só deve ser promovida em conjugação com a expansão de fontes de energia renováveis e permitida apenas nos casos em que a eletrificação direta não seja possível;</w:t>
      </w:r>
    </w:p>
    <w:p w:rsidRPr="00A2086E" w:rsidR="00697BC4" w:rsidP="00A2086E" w:rsidRDefault="000243E7" w14:paraId="213D0033" w14:textId="7203B598">
      <w:pPr>
        <w:pStyle w:val="ListParagraph"/>
        <w:numPr>
          <w:ilvl w:val="0"/>
          <w:numId w:val="40"/>
        </w:numPr>
        <w:overflowPunct w:val="0"/>
        <w:autoSpaceDE w:val="0"/>
        <w:autoSpaceDN w:val="0"/>
        <w:adjustRightInd w:val="0"/>
        <w:ind w:left="426" w:hanging="426"/>
        <w:textAlignment w:val="baseline"/>
        <w:rPr>
          <w:szCs w:val="20"/>
        </w:rPr>
      </w:pPr>
      <w:r>
        <w:t>considera que a relação custo-eficácia dos projetos a apoiar não deve ser o único fator a ter em conta na elaboração das orientações para a atribuição de financiamento do Banco Europeu do Hidrogénio. Em vez disso, há que prever outros critérios de qualidade, incluindo normas de sustentabilidade ambiental e social, em especial disposições sobre os salários em vigor, o desenvolvimento da mão de obra e os programas de aprendizagem, a fim de assegurar o acesso de um conjunto mais vasto e diversificado de trabalhadores qualificados a empregos de qualidade, bem como as competências necessárias para os trabalhadores, de modo a cumprir os objetivos em matéria de energias limpas.</w:t>
      </w:r>
    </w:p>
    <w:p w:rsidRPr="00697BC4" w:rsidR="00697BC4" w:rsidP="00697BC4" w:rsidRDefault="00697BC4" w14:paraId="3C3D797F" w14:textId="77777777">
      <w:pPr>
        <w:widowControl w:val="0"/>
        <w:overflowPunct w:val="0"/>
        <w:autoSpaceDE w:val="0"/>
        <w:autoSpaceDN w:val="0"/>
        <w:adjustRightInd w:val="0"/>
        <w:ind w:left="709"/>
        <w:textAlignment w:val="baseline"/>
        <w:rPr>
          <w:szCs w:val="20"/>
        </w:rPr>
      </w:pPr>
    </w:p>
    <w:tbl>
      <w:tblPr>
        <w:tblStyle w:val="TableGrid59"/>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418"/>
        <w:gridCol w:w="5670"/>
      </w:tblGrid>
      <w:tr w:rsidRPr="00697BC4" w:rsidR="00697BC4" w:rsidTr="00D97149" w14:paraId="4733C642" w14:textId="77777777">
        <w:tc>
          <w:tcPr>
            <w:tcW w:w="1418" w:type="dxa"/>
          </w:tcPr>
          <w:p w:rsidRPr="00697BC4" w:rsidR="00697BC4" w:rsidP="00697BC4" w:rsidRDefault="00697BC4" w14:paraId="1D6AD63B" w14:textId="4AC64AC8">
            <w:pPr>
              <w:overflowPunct w:val="0"/>
              <w:autoSpaceDE w:val="0"/>
              <w:autoSpaceDN w:val="0"/>
              <w:adjustRightInd w:val="0"/>
              <w:spacing w:line="240" w:lineRule="auto"/>
              <w:textAlignment w:val="baseline"/>
              <w:rPr>
                <w:i/>
              </w:rPr>
            </w:pPr>
            <w:r>
              <w:rPr>
                <w:b/>
                <w:i/>
              </w:rPr>
              <w:t>Contacto</w:t>
            </w:r>
          </w:p>
        </w:tc>
        <w:tc>
          <w:tcPr>
            <w:tcW w:w="5670" w:type="dxa"/>
          </w:tcPr>
          <w:p w:rsidRPr="00697BC4" w:rsidR="00697BC4" w:rsidP="00697BC4" w:rsidRDefault="00697BC4" w14:paraId="26A947CA" w14:textId="35E51143">
            <w:pPr>
              <w:overflowPunct w:val="0"/>
              <w:autoSpaceDE w:val="0"/>
              <w:autoSpaceDN w:val="0"/>
              <w:adjustRightInd w:val="0"/>
              <w:spacing w:line="240" w:lineRule="auto"/>
              <w:textAlignment w:val="baseline"/>
              <w:rPr>
                <w:i/>
              </w:rPr>
            </w:pPr>
            <w:r>
              <w:rPr>
                <w:i/>
              </w:rPr>
              <w:t>Giorgia Bordignon</w:t>
            </w:r>
          </w:p>
        </w:tc>
      </w:tr>
      <w:tr w:rsidRPr="00697BC4" w:rsidR="00697BC4" w:rsidTr="00D97149" w14:paraId="5311F562" w14:textId="77777777">
        <w:tc>
          <w:tcPr>
            <w:tcW w:w="1418" w:type="dxa"/>
          </w:tcPr>
          <w:p w:rsidRPr="00697BC4" w:rsidR="00697BC4" w:rsidP="00697BC4" w:rsidRDefault="00697BC4" w14:paraId="28499C75" w14:textId="342FBA31">
            <w:pPr>
              <w:overflowPunct w:val="0"/>
              <w:autoSpaceDE w:val="0"/>
              <w:autoSpaceDN w:val="0"/>
              <w:adjustRightInd w:val="0"/>
              <w:spacing w:line="240" w:lineRule="auto"/>
              <w:textAlignment w:val="baseline"/>
              <w:rPr>
                <w:i/>
              </w:rPr>
            </w:pPr>
            <w:r>
              <w:rPr>
                <w:i/>
              </w:rPr>
              <w:t>Tel.</w:t>
            </w:r>
          </w:p>
        </w:tc>
        <w:tc>
          <w:tcPr>
            <w:tcW w:w="5670" w:type="dxa"/>
          </w:tcPr>
          <w:p w:rsidRPr="00697BC4" w:rsidR="00697BC4" w:rsidP="00697BC4" w:rsidRDefault="00697BC4" w14:paraId="2B03FD1C" w14:textId="77777777">
            <w:pPr>
              <w:overflowPunct w:val="0"/>
              <w:autoSpaceDE w:val="0"/>
              <w:autoSpaceDN w:val="0"/>
              <w:adjustRightInd w:val="0"/>
              <w:spacing w:line="240" w:lineRule="auto"/>
              <w:textAlignment w:val="baseline"/>
              <w:rPr>
                <w:i/>
              </w:rPr>
            </w:pPr>
            <w:r>
              <w:rPr>
                <w:i/>
              </w:rPr>
              <w:t>+32 2 546 8535</w:t>
            </w:r>
          </w:p>
        </w:tc>
      </w:tr>
      <w:tr w:rsidRPr="00697BC4" w:rsidR="00697BC4" w:rsidTr="00D97149" w14:paraId="22E7EDD3" w14:textId="77777777">
        <w:tc>
          <w:tcPr>
            <w:tcW w:w="1418" w:type="dxa"/>
          </w:tcPr>
          <w:p w:rsidRPr="00697BC4" w:rsidR="00697BC4" w:rsidP="00697BC4" w:rsidRDefault="000243E7" w14:paraId="72FFA51D" w14:textId="2606B3FB">
            <w:pPr>
              <w:overflowPunct w:val="0"/>
              <w:autoSpaceDE w:val="0"/>
              <w:autoSpaceDN w:val="0"/>
              <w:adjustRightInd w:val="0"/>
              <w:spacing w:line="240" w:lineRule="auto"/>
              <w:textAlignment w:val="baseline"/>
              <w:rPr>
                <w:i/>
              </w:rPr>
            </w:pPr>
            <w:r>
              <w:rPr>
                <w:i/>
              </w:rPr>
              <w:t>Endereço eletrónico</w:t>
            </w:r>
          </w:p>
        </w:tc>
        <w:tc>
          <w:tcPr>
            <w:tcW w:w="5670" w:type="dxa"/>
          </w:tcPr>
          <w:p w:rsidRPr="00697BC4" w:rsidR="00697BC4" w:rsidP="00697BC4" w:rsidRDefault="007E421A" w14:paraId="546E34AF" w14:textId="77777777">
            <w:pPr>
              <w:overflowPunct w:val="0"/>
              <w:autoSpaceDE w:val="0"/>
              <w:autoSpaceDN w:val="0"/>
              <w:adjustRightInd w:val="0"/>
              <w:spacing w:line="240" w:lineRule="auto"/>
              <w:textAlignment w:val="baseline"/>
              <w:rPr>
                <w:i/>
              </w:rPr>
            </w:pPr>
            <w:hyperlink w:history="1" r:id="rId64">
              <w:r w:rsidR="00E11732">
                <w:rPr>
                  <w:i/>
                  <w:color w:val="0000FF"/>
                  <w:u w:val="single"/>
                </w:rPr>
                <w:t>GiorgiaAndrea.Bordignon@eesc.europa.eu</w:t>
              </w:r>
            </w:hyperlink>
            <w:r w:rsidR="00E11732">
              <w:rPr>
                <w:i/>
              </w:rPr>
              <w:t xml:space="preserve"> </w:t>
            </w:r>
          </w:p>
        </w:tc>
      </w:tr>
    </w:tbl>
    <w:p w:rsidRPr="005463FF" w:rsidR="008E2A59" w:rsidP="008E2A59" w:rsidRDefault="008E2A59" w14:paraId="6D5356B1" w14:textId="687E6C2C">
      <w:pPr>
        <w:spacing w:after="160" w:line="259" w:lineRule="auto"/>
        <w:jc w:val="left"/>
        <w:rPr>
          <w:sz w:val="16"/>
          <w:szCs w:val="16"/>
        </w:rPr>
      </w:pPr>
      <w:r>
        <w:br w:type="page"/>
      </w:r>
    </w:p>
    <w:p w:rsidRPr="005463FF" w:rsidR="00E110D0" w:rsidP="0076753A" w:rsidRDefault="00695E6A" w14:paraId="7A5EEAAF" w14:textId="553304F8">
      <w:pPr>
        <w:pStyle w:val="Heading1"/>
        <w:numPr>
          <w:ilvl w:val="0"/>
          <w:numId w:val="3"/>
        </w:numPr>
        <w:ind w:hanging="578"/>
        <w:rPr>
          <w:b/>
        </w:rPr>
      </w:pPr>
      <w:bookmarkStart w:name="_Toc136006473" w:id="5"/>
      <w:r>
        <w:rPr>
          <w:b/>
        </w:rPr>
        <w:lastRenderedPageBreak/>
        <w:t>COMISSÃO CONSULTIVA DAS MUTAÇÕES INDUSTRIAIS</w:t>
      </w:r>
      <w:bookmarkEnd w:id="5"/>
    </w:p>
    <w:p w:rsidRPr="005463FF" w:rsidR="009103B0" w:rsidP="009103B0" w:rsidRDefault="009103B0" w14:paraId="6039499E" w14:textId="77777777"/>
    <w:p w:rsidRPr="00B371BD" w:rsidR="00B371BD" w:rsidP="00A2086E" w:rsidRDefault="007E421A" w14:paraId="4CB5892D" w14:textId="135A75B1">
      <w:pPr>
        <w:widowControl w:val="0"/>
        <w:numPr>
          <w:ilvl w:val="0"/>
          <w:numId w:val="1"/>
        </w:numPr>
        <w:overflowPunct w:val="0"/>
        <w:autoSpaceDE w:val="0"/>
        <w:autoSpaceDN w:val="0"/>
        <w:adjustRightInd w:val="0"/>
        <w:ind w:hanging="425"/>
        <w:textAlignment w:val="baseline"/>
        <w:rPr>
          <w:sz w:val="20"/>
          <w:szCs w:val="20"/>
        </w:rPr>
      </w:pPr>
      <w:hyperlink w:history="1" r:id="rId65">
        <w:r w:rsidR="00E11732">
          <w:rPr>
            <w:b/>
            <w:i/>
            <w:color w:val="0000FF"/>
            <w:sz w:val="28"/>
            <w:u w:val="single"/>
          </w:rPr>
          <w:t>Proposta de uma política de ciberdefesa da UE</w:t>
        </w:r>
      </w:hyperlink>
      <w:r w:rsidR="00E11732">
        <w:rPr>
          <w:b/>
          <w:i/>
          <w:sz w:val="28"/>
        </w:rPr>
        <w:t xml:space="preserve"> </w:t>
      </w:r>
    </w:p>
    <w:p w:rsidRPr="00B371BD" w:rsidR="0064343F" w:rsidP="00B371BD" w:rsidRDefault="0064343F" w14:paraId="6E48B58A" w14:textId="77777777">
      <w:pPr>
        <w:tabs>
          <w:tab w:val="center" w:pos="284"/>
        </w:tabs>
        <w:overflowPunct w:val="0"/>
        <w:autoSpaceDE w:val="0"/>
        <w:autoSpaceDN w:val="0"/>
        <w:adjustRightInd w:val="0"/>
        <w:ind w:left="266" w:hanging="266"/>
        <w:textAlignment w:val="baseline"/>
        <w:rPr>
          <w:b/>
        </w:rPr>
      </w:pPr>
    </w:p>
    <w:tbl>
      <w:tblPr>
        <w:tblStyle w:val="TableGrid60"/>
        <w:tblW w:w="418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05"/>
        <w:gridCol w:w="1947"/>
        <w:gridCol w:w="3877"/>
      </w:tblGrid>
      <w:tr w:rsidRPr="00B371BD" w:rsidR="00B371BD" w:rsidTr="00A2086E" w14:paraId="22E3E48B" w14:textId="77777777">
        <w:tc>
          <w:tcPr>
            <w:tcW w:w="1132" w:type="pct"/>
          </w:tcPr>
          <w:p w:rsidRPr="00B371BD" w:rsidR="00B371BD" w:rsidP="00B371BD" w:rsidRDefault="00B371BD" w14:paraId="539A9326" w14:textId="77777777">
            <w:pPr>
              <w:tabs>
                <w:tab w:val="center" w:pos="284"/>
              </w:tabs>
              <w:overflowPunct w:val="0"/>
              <w:autoSpaceDE w:val="0"/>
              <w:autoSpaceDN w:val="0"/>
              <w:adjustRightInd w:val="0"/>
              <w:ind w:left="266" w:hanging="266"/>
              <w:textAlignment w:val="baseline"/>
              <w:rPr>
                <w:b/>
              </w:rPr>
            </w:pPr>
            <w:r>
              <w:rPr>
                <w:b/>
              </w:rPr>
              <w:t>Relator</w:t>
            </w:r>
          </w:p>
        </w:tc>
        <w:tc>
          <w:tcPr>
            <w:tcW w:w="3868" w:type="pct"/>
            <w:gridSpan w:val="2"/>
          </w:tcPr>
          <w:p w:rsidRPr="00193D92" w:rsidR="00B371BD" w:rsidP="00B371BD" w:rsidRDefault="00B371BD" w14:paraId="6C0BFC88" w14:textId="284A5CE9">
            <w:pPr>
              <w:tabs>
                <w:tab w:val="center" w:pos="284"/>
              </w:tabs>
              <w:overflowPunct w:val="0"/>
              <w:autoSpaceDE w:val="0"/>
              <w:autoSpaceDN w:val="0"/>
              <w:adjustRightInd w:val="0"/>
              <w:ind w:left="266" w:hanging="266"/>
              <w:textAlignment w:val="baseline"/>
              <w:rPr>
                <w:bCs/>
              </w:rPr>
            </w:pPr>
            <w:r>
              <w:t>Anastasis Yiapanis (CY – Grupo das Organizações da Sociedade Civil)</w:t>
            </w:r>
          </w:p>
        </w:tc>
      </w:tr>
      <w:tr w:rsidRPr="00B371BD" w:rsidR="00B371BD" w:rsidTr="00A2086E" w14:paraId="0B51AAE6" w14:textId="77777777">
        <w:tc>
          <w:tcPr>
            <w:tcW w:w="1132" w:type="pct"/>
          </w:tcPr>
          <w:p w:rsidRPr="00B371BD" w:rsidR="00B371BD" w:rsidP="00B371BD" w:rsidRDefault="00B371BD" w14:paraId="1BC37B25" w14:textId="77777777">
            <w:pPr>
              <w:tabs>
                <w:tab w:val="center" w:pos="284"/>
              </w:tabs>
              <w:overflowPunct w:val="0"/>
              <w:autoSpaceDE w:val="0"/>
              <w:autoSpaceDN w:val="0"/>
              <w:adjustRightInd w:val="0"/>
              <w:ind w:left="266" w:hanging="266"/>
              <w:textAlignment w:val="baseline"/>
              <w:rPr>
                <w:b/>
              </w:rPr>
            </w:pPr>
            <w:r>
              <w:rPr>
                <w:b/>
              </w:rPr>
              <w:t>Correlator</w:t>
            </w:r>
          </w:p>
        </w:tc>
        <w:tc>
          <w:tcPr>
            <w:tcW w:w="3868" w:type="pct"/>
            <w:gridSpan w:val="2"/>
          </w:tcPr>
          <w:p w:rsidRPr="00A2086E" w:rsidR="00B371BD" w:rsidP="00B371BD" w:rsidRDefault="00B371BD" w14:paraId="3557FB55" w14:textId="3C8711C0">
            <w:pPr>
              <w:tabs>
                <w:tab w:val="center" w:pos="284"/>
              </w:tabs>
              <w:overflowPunct w:val="0"/>
              <w:autoSpaceDE w:val="0"/>
              <w:autoSpaceDN w:val="0"/>
              <w:adjustRightInd w:val="0"/>
              <w:ind w:left="266" w:hanging="266"/>
              <w:textAlignment w:val="baseline"/>
              <w:rPr>
                <w:bCs/>
              </w:rPr>
            </w:pPr>
            <w:r>
              <w:t>Alberto Mazzola (IT – Cat. 1)</w:t>
            </w:r>
          </w:p>
        </w:tc>
      </w:tr>
      <w:tr w:rsidRPr="00B371BD" w:rsidR="00B371BD" w:rsidTr="00A2086E" w14:paraId="7DD18D7B" w14:textId="77777777">
        <w:trPr>
          <w:gridAfter w:val="1"/>
          <w:wAfter w:w="2575" w:type="pct"/>
        </w:trPr>
        <w:tc>
          <w:tcPr>
            <w:tcW w:w="2425" w:type="pct"/>
            <w:gridSpan w:val="2"/>
          </w:tcPr>
          <w:p w:rsidRPr="00B371BD" w:rsidR="00B371BD" w:rsidP="00B371BD" w:rsidRDefault="00B371BD" w14:paraId="5715E3D0" w14:textId="77777777">
            <w:pPr>
              <w:tabs>
                <w:tab w:val="center" w:pos="284"/>
              </w:tabs>
              <w:overflowPunct w:val="0"/>
              <w:autoSpaceDE w:val="0"/>
              <w:autoSpaceDN w:val="0"/>
              <w:adjustRightInd w:val="0"/>
              <w:spacing w:line="160" w:lineRule="exact"/>
              <w:ind w:left="266" w:hanging="266"/>
              <w:textAlignment w:val="baseline"/>
            </w:pPr>
          </w:p>
        </w:tc>
      </w:tr>
      <w:tr w:rsidRPr="00B371BD" w:rsidR="00B371BD" w:rsidTr="00A2086E" w14:paraId="41574FA9" w14:textId="77777777">
        <w:trPr>
          <w:trHeight w:val="304"/>
        </w:trPr>
        <w:tc>
          <w:tcPr>
            <w:tcW w:w="1132" w:type="pct"/>
            <w:vMerge w:val="restart"/>
          </w:tcPr>
          <w:p w:rsidRPr="00B371BD" w:rsidR="00B371BD" w:rsidRDefault="00B371BD" w14:paraId="6B2DAF9A" w14:textId="77777777">
            <w:pPr>
              <w:tabs>
                <w:tab w:val="center" w:pos="284"/>
              </w:tabs>
              <w:overflowPunct w:val="0"/>
              <w:autoSpaceDE w:val="0"/>
              <w:autoSpaceDN w:val="0"/>
              <w:adjustRightInd w:val="0"/>
              <w:ind w:left="266" w:hanging="266"/>
              <w:textAlignment w:val="baseline"/>
              <w:rPr>
                <w:b/>
              </w:rPr>
            </w:pPr>
            <w:r>
              <w:rPr>
                <w:b/>
              </w:rPr>
              <w:t>Referência</w:t>
            </w:r>
          </w:p>
        </w:tc>
        <w:tc>
          <w:tcPr>
            <w:tcW w:w="3868" w:type="pct"/>
            <w:gridSpan w:val="2"/>
            <w:vMerge w:val="restart"/>
          </w:tcPr>
          <w:p w:rsidRPr="00B371BD" w:rsidR="00B371BD" w:rsidP="00B371BD" w:rsidRDefault="00B371BD" w14:paraId="52B693F7" w14:textId="7EF8F3CF">
            <w:pPr>
              <w:tabs>
                <w:tab w:val="center" w:pos="284"/>
              </w:tabs>
              <w:overflowPunct w:val="0"/>
              <w:autoSpaceDE w:val="0"/>
              <w:autoSpaceDN w:val="0"/>
              <w:adjustRightInd w:val="0"/>
              <w:ind w:left="266" w:hanging="266"/>
              <w:textAlignment w:val="baseline"/>
            </w:pPr>
            <w:r>
              <w:t>EESC-2022-05106-00-00-AC</w:t>
            </w:r>
          </w:p>
        </w:tc>
      </w:tr>
      <w:tr w:rsidRPr="00B371BD" w:rsidR="00B371BD" w:rsidTr="00A2086E" w14:paraId="0EE80077" w14:textId="77777777">
        <w:trPr>
          <w:trHeight w:val="304"/>
        </w:trPr>
        <w:tc>
          <w:tcPr>
            <w:tcW w:w="1132" w:type="pct"/>
            <w:vMerge/>
          </w:tcPr>
          <w:p w:rsidRPr="00B371BD" w:rsidR="00B371BD" w:rsidP="00B371BD" w:rsidRDefault="00B371BD" w14:paraId="4D97D392" w14:textId="77777777">
            <w:pPr>
              <w:tabs>
                <w:tab w:val="center" w:pos="284"/>
              </w:tabs>
              <w:overflowPunct w:val="0"/>
              <w:autoSpaceDE w:val="0"/>
              <w:autoSpaceDN w:val="0"/>
              <w:adjustRightInd w:val="0"/>
              <w:ind w:left="266" w:hanging="266"/>
              <w:textAlignment w:val="baseline"/>
              <w:rPr>
                <w:b/>
              </w:rPr>
            </w:pPr>
          </w:p>
        </w:tc>
        <w:tc>
          <w:tcPr>
            <w:tcW w:w="3868" w:type="pct"/>
            <w:gridSpan w:val="2"/>
            <w:vMerge/>
          </w:tcPr>
          <w:p w:rsidRPr="00B371BD" w:rsidR="00B371BD" w:rsidP="00B371BD" w:rsidRDefault="00B371BD" w14:paraId="549C6553" w14:textId="77777777">
            <w:pPr>
              <w:tabs>
                <w:tab w:val="center" w:pos="284"/>
              </w:tabs>
              <w:overflowPunct w:val="0"/>
              <w:autoSpaceDE w:val="0"/>
              <w:autoSpaceDN w:val="0"/>
              <w:adjustRightInd w:val="0"/>
              <w:ind w:left="266" w:hanging="266"/>
              <w:textAlignment w:val="baseline"/>
            </w:pPr>
          </w:p>
        </w:tc>
      </w:tr>
    </w:tbl>
    <w:p w:rsidRPr="00B371BD" w:rsidR="00B371BD" w:rsidP="00B371BD" w:rsidRDefault="00B371BD" w14:paraId="75668A80" w14:textId="77777777">
      <w:pPr>
        <w:tabs>
          <w:tab w:val="center" w:pos="284"/>
        </w:tabs>
        <w:overflowPunct w:val="0"/>
        <w:autoSpaceDE w:val="0"/>
        <w:autoSpaceDN w:val="0"/>
        <w:adjustRightInd w:val="0"/>
        <w:ind w:left="266" w:hanging="266"/>
        <w:textAlignment w:val="baseline"/>
      </w:pPr>
    </w:p>
    <w:p w:rsidRPr="00B371BD" w:rsidR="00B371BD" w:rsidP="00B371BD" w:rsidRDefault="00B371BD" w14:paraId="79DC5652" w14:textId="77777777">
      <w:pPr>
        <w:keepNext/>
        <w:keepLines/>
        <w:tabs>
          <w:tab w:val="center" w:pos="284"/>
        </w:tabs>
        <w:overflowPunct w:val="0"/>
        <w:autoSpaceDE w:val="0"/>
        <w:autoSpaceDN w:val="0"/>
        <w:adjustRightInd w:val="0"/>
        <w:ind w:left="266" w:hanging="266"/>
        <w:textAlignment w:val="baseline"/>
        <w:rPr>
          <w:b/>
        </w:rPr>
      </w:pPr>
      <w:r>
        <w:rPr>
          <w:b/>
        </w:rPr>
        <w:t>Pontos principais</w:t>
      </w:r>
    </w:p>
    <w:p w:rsidRPr="00B371BD" w:rsidR="00B371BD" w:rsidP="00B371BD" w:rsidRDefault="00B371BD" w14:paraId="14E87184" w14:textId="77777777">
      <w:pPr>
        <w:keepNext/>
        <w:keepLines/>
        <w:tabs>
          <w:tab w:val="center" w:pos="284"/>
        </w:tabs>
        <w:overflowPunct w:val="0"/>
        <w:autoSpaceDE w:val="0"/>
        <w:autoSpaceDN w:val="0"/>
        <w:adjustRightInd w:val="0"/>
        <w:ind w:left="266" w:hanging="266"/>
        <w:textAlignment w:val="baseline"/>
        <w:rPr>
          <w:b/>
        </w:rPr>
      </w:pPr>
    </w:p>
    <w:p w:rsidRPr="00B371BD" w:rsidR="00B371BD" w:rsidP="00B371BD" w:rsidRDefault="00B371BD" w14:paraId="345793D2" w14:textId="77777777">
      <w:pPr>
        <w:overflowPunct w:val="0"/>
        <w:autoSpaceDE w:val="0"/>
        <w:autoSpaceDN w:val="0"/>
        <w:adjustRightInd w:val="0"/>
        <w:textAlignment w:val="baseline"/>
        <w:rPr>
          <w:bCs/>
          <w:iCs/>
        </w:rPr>
      </w:pPr>
      <w:r>
        <w:t>O Comité Económico e Social Europeu:</w:t>
      </w:r>
    </w:p>
    <w:p w:rsidRPr="00B371BD" w:rsidR="00B371BD" w:rsidP="00B371BD" w:rsidRDefault="00B371BD" w14:paraId="1ECEA1FA" w14:textId="77777777">
      <w:pPr>
        <w:overflowPunct w:val="0"/>
        <w:autoSpaceDE w:val="0"/>
        <w:autoSpaceDN w:val="0"/>
        <w:adjustRightInd w:val="0"/>
        <w:textAlignment w:val="baseline"/>
        <w:rPr>
          <w:bCs/>
          <w:iCs/>
        </w:rPr>
      </w:pPr>
    </w:p>
    <w:p w:rsidRPr="00B371BD" w:rsidR="00B371BD" w:rsidP="00A2086E" w:rsidRDefault="00B371BD" w14:paraId="7828C09E"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esperava que fosse </w:t>
      </w:r>
      <w:r>
        <w:rPr>
          <w:b/>
          <w:color w:val="000000" w:themeColor="text1"/>
        </w:rPr>
        <w:t>atribuído à sociedade civil organizada um papel mais proeminente</w:t>
      </w:r>
      <w:r>
        <w:rPr>
          <w:color w:val="000000" w:themeColor="text1"/>
        </w:rPr>
        <w:t xml:space="preserve"> na elaboração da proposta de uma política de ciberdefesa da UE;</w:t>
      </w:r>
    </w:p>
    <w:p w:rsidRPr="00B371BD" w:rsidR="00B371BD" w:rsidP="00A2086E" w:rsidRDefault="00B371BD" w14:paraId="4E727492" w14:textId="77777777">
      <w:pPr>
        <w:widowControl w:val="0"/>
        <w:numPr>
          <w:ilvl w:val="0"/>
          <w:numId w:val="41"/>
        </w:numPr>
        <w:overflowPunct w:val="0"/>
        <w:autoSpaceDE w:val="0"/>
        <w:autoSpaceDN w:val="0"/>
        <w:adjustRightInd w:val="0"/>
        <w:ind w:left="567" w:hanging="567"/>
        <w:textAlignment w:val="baseline"/>
        <w:rPr>
          <w:b/>
          <w:bCs/>
          <w:iCs/>
        </w:rPr>
      </w:pPr>
      <w:r>
        <w:rPr>
          <w:color w:val="000000" w:themeColor="text1"/>
        </w:rPr>
        <w:t xml:space="preserve">salienta a </w:t>
      </w:r>
      <w:r>
        <w:rPr>
          <w:b/>
          <w:color w:val="000000" w:themeColor="text1"/>
        </w:rPr>
        <w:t>necessidade de medidas adicionais</w:t>
      </w:r>
      <w:r>
        <w:rPr>
          <w:color w:val="000000" w:themeColor="text1"/>
        </w:rPr>
        <w:t xml:space="preserve"> para reforçar a capacidade da UE de </w:t>
      </w:r>
      <w:r>
        <w:rPr>
          <w:b/>
          <w:color w:val="000000" w:themeColor="text1"/>
        </w:rPr>
        <w:t>detetar ciberameaças</w:t>
      </w:r>
      <w:r>
        <w:rPr>
          <w:color w:val="000000" w:themeColor="text1"/>
        </w:rPr>
        <w:t xml:space="preserve"> e apela para que o </w:t>
      </w:r>
      <w:r>
        <w:rPr>
          <w:b/>
          <w:color w:val="000000" w:themeColor="text1"/>
        </w:rPr>
        <w:t>financiamento da investigação e desenvolvimento (I&amp;D)</w:t>
      </w:r>
      <w:r>
        <w:rPr>
          <w:color w:val="000000" w:themeColor="text1"/>
        </w:rPr>
        <w:t xml:space="preserve"> seja canalizado para o desenvolvimento de </w:t>
      </w:r>
      <w:r>
        <w:rPr>
          <w:b/>
          <w:color w:val="000000" w:themeColor="text1"/>
        </w:rPr>
        <w:t>capacidades de ponta da UE</w:t>
      </w:r>
      <w:r>
        <w:rPr>
          <w:color w:val="000000" w:themeColor="text1"/>
        </w:rPr>
        <w:t>;</w:t>
      </w:r>
    </w:p>
    <w:p w:rsidRPr="00B371BD" w:rsidR="00B371BD" w:rsidP="00A2086E" w:rsidRDefault="00B371BD" w14:paraId="17EED298"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considera que importa desenvolver uma </w:t>
      </w:r>
      <w:r>
        <w:rPr>
          <w:b/>
          <w:color w:val="000000" w:themeColor="text1"/>
        </w:rPr>
        <w:t>plataforma que permita a realização de testes e a partilha de informações de forma dinâmica e em tempo real</w:t>
      </w:r>
      <w:r>
        <w:rPr>
          <w:color w:val="000000" w:themeColor="text1"/>
        </w:rPr>
        <w:t xml:space="preserve">, a fim de </w:t>
      </w:r>
      <w:r>
        <w:rPr>
          <w:b/>
          <w:color w:val="000000" w:themeColor="text1"/>
        </w:rPr>
        <w:t>reforçar a autonomia estratégica e a soberania da União no domínio da cibersegurança</w:t>
      </w:r>
      <w:r>
        <w:rPr>
          <w:color w:val="000000" w:themeColor="text1"/>
        </w:rPr>
        <w:t>;</w:t>
      </w:r>
    </w:p>
    <w:p w:rsidRPr="00B371BD" w:rsidR="00B371BD" w:rsidP="00A2086E" w:rsidRDefault="00B371BD" w14:paraId="4011C49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salienta a </w:t>
      </w:r>
      <w:r>
        <w:rPr>
          <w:b/>
          <w:color w:val="000000" w:themeColor="text1"/>
        </w:rPr>
        <w:t>necessidade de uma melhor preparação contra ciberataques</w:t>
      </w:r>
      <w:r>
        <w:rPr>
          <w:color w:val="000000" w:themeColor="text1"/>
        </w:rPr>
        <w:t>, como os russos na Ucrânia, especialmente os que visem infraestruturas críticas;</w:t>
      </w:r>
    </w:p>
    <w:p w:rsidRPr="00B371BD" w:rsidR="00B371BD" w:rsidP="00A2086E" w:rsidRDefault="00B371BD" w14:paraId="04B0D278"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considera que </w:t>
      </w:r>
      <w:r>
        <w:rPr>
          <w:b/>
          <w:color w:val="000000" w:themeColor="text1"/>
        </w:rPr>
        <w:t>os investimentos na ciberdefesa</w:t>
      </w:r>
      <w:r>
        <w:rPr>
          <w:color w:val="000000" w:themeColor="text1"/>
        </w:rPr>
        <w:t xml:space="preserve"> devem dar prioridade à </w:t>
      </w:r>
      <w:r>
        <w:rPr>
          <w:b/>
          <w:color w:val="000000" w:themeColor="text1"/>
        </w:rPr>
        <w:t>proteção dos cidadãos e das infraestruturas críticas da UE</w:t>
      </w:r>
      <w:r>
        <w:rPr>
          <w:color w:val="000000" w:themeColor="text1"/>
        </w:rPr>
        <w:t>;</w:t>
      </w:r>
    </w:p>
    <w:p w:rsidRPr="00B371BD" w:rsidR="00B371BD" w:rsidP="00A2086E" w:rsidRDefault="00B371BD" w14:paraId="0E86FCB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considera crucial </w:t>
      </w:r>
      <w:r>
        <w:rPr>
          <w:b/>
          <w:color w:val="000000" w:themeColor="text1"/>
        </w:rPr>
        <w:t>sensibilizar os cidadãos para a cibersegurança</w:t>
      </w:r>
      <w:r>
        <w:rPr>
          <w:color w:val="000000" w:themeColor="text1"/>
        </w:rPr>
        <w:t xml:space="preserve">, a fim de reduzir a exposição a ciberataques, e apela para a criação de programas de ensino e de formação ao longo da vida sobre a cibersegurança, que se centrem na </w:t>
      </w:r>
      <w:r>
        <w:rPr>
          <w:b/>
          <w:color w:val="000000" w:themeColor="text1"/>
        </w:rPr>
        <w:t>melhoria das cibercompetências e dos ciberconhecimentos</w:t>
      </w:r>
      <w:r>
        <w:rPr>
          <w:color w:val="000000" w:themeColor="text1"/>
        </w:rPr>
        <w:t>;</w:t>
      </w:r>
    </w:p>
    <w:p w:rsidRPr="00B371BD" w:rsidR="00B371BD" w:rsidP="00A2086E" w:rsidRDefault="00B371BD" w14:paraId="6B9AD2DF" w14:textId="77777777">
      <w:pPr>
        <w:widowControl w:val="0"/>
        <w:numPr>
          <w:ilvl w:val="0"/>
          <w:numId w:val="41"/>
        </w:numPr>
        <w:overflowPunct w:val="0"/>
        <w:autoSpaceDE w:val="0"/>
        <w:autoSpaceDN w:val="0"/>
        <w:adjustRightInd w:val="0"/>
        <w:ind w:left="567" w:hanging="567"/>
        <w:textAlignment w:val="baseline"/>
        <w:rPr>
          <w:bCs/>
          <w:iCs/>
        </w:rPr>
      </w:pPr>
      <w:r>
        <w:rPr>
          <w:color w:val="000000" w:themeColor="text1"/>
        </w:rPr>
        <w:t xml:space="preserve">considera que uma </w:t>
      </w:r>
      <w:r>
        <w:rPr>
          <w:b/>
          <w:color w:val="000000" w:themeColor="text1"/>
        </w:rPr>
        <w:t>forte cooperação com os aliados da OTAN</w:t>
      </w:r>
      <w:r>
        <w:rPr>
          <w:color w:val="000000" w:themeColor="text1"/>
        </w:rPr>
        <w:t xml:space="preserve"> em domínios militares deve incidir na plena coordenação e reciprocidade, em projetos conjuntos de investigação, desenvolvimento e inovação, na partilha de boas práticas, em programas de formação de grande dimensão e em simulações de ciberataques, com o principal objetivo de </w:t>
      </w:r>
      <w:r>
        <w:rPr>
          <w:b/>
          <w:color w:val="000000" w:themeColor="text1"/>
        </w:rPr>
        <w:t>melhorar a capacidade de resposta comum</w:t>
      </w:r>
      <w:r>
        <w:rPr>
          <w:color w:val="000000" w:themeColor="text1"/>
        </w:rPr>
        <w:t>.</w:t>
      </w:r>
    </w:p>
    <w:p w:rsidRPr="00B371BD" w:rsidR="00B371BD" w:rsidP="00B371BD" w:rsidRDefault="00B371BD" w14:paraId="2D98AAA7" w14:textId="77777777">
      <w:pPr>
        <w:widowControl w:val="0"/>
        <w:overflowPunct w:val="0"/>
        <w:autoSpaceDE w:val="0"/>
        <w:autoSpaceDN w:val="0"/>
        <w:adjustRightInd w:val="0"/>
        <w:ind w:left="709"/>
        <w:textAlignment w:val="baseline"/>
        <w:rPr>
          <w:bCs/>
          <w:iCs/>
        </w:rPr>
      </w:pPr>
    </w:p>
    <w:tbl>
      <w:tblPr>
        <w:tblStyle w:val="TableGrid60"/>
        <w:tblW w:w="3516"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71"/>
        <w:gridCol w:w="4361"/>
      </w:tblGrid>
      <w:tr w:rsidRPr="00B371BD" w:rsidR="00B371BD" w:rsidTr="00D97149" w14:paraId="039564DF" w14:textId="77777777">
        <w:tc>
          <w:tcPr>
            <w:tcW w:w="1556" w:type="pct"/>
          </w:tcPr>
          <w:p w:rsidRPr="00B371BD" w:rsidR="00B371BD" w:rsidP="00B371BD" w:rsidRDefault="00B371BD" w14:paraId="54D78309" w14:textId="00C284D1">
            <w:pPr>
              <w:overflowPunct w:val="0"/>
              <w:autoSpaceDE w:val="0"/>
              <w:autoSpaceDN w:val="0"/>
              <w:adjustRightInd w:val="0"/>
              <w:spacing w:line="240" w:lineRule="auto"/>
              <w:textAlignment w:val="baseline"/>
              <w:rPr>
                <w:i/>
              </w:rPr>
            </w:pPr>
            <w:r>
              <w:rPr>
                <w:b/>
                <w:i/>
              </w:rPr>
              <w:t>Contacto</w:t>
            </w:r>
          </w:p>
        </w:tc>
        <w:tc>
          <w:tcPr>
            <w:tcW w:w="3444" w:type="pct"/>
          </w:tcPr>
          <w:p w:rsidRPr="00B371BD" w:rsidR="00B371BD" w:rsidP="00B371BD" w:rsidRDefault="00B371BD" w14:paraId="6ACADD37" w14:textId="77777777">
            <w:pPr>
              <w:overflowPunct w:val="0"/>
              <w:autoSpaceDE w:val="0"/>
              <w:autoSpaceDN w:val="0"/>
              <w:adjustRightInd w:val="0"/>
              <w:spacing w:line="240" w:lineRule="auto"/>
              <w:textAlignment w:val="baseline"/>
              <w:rPr>
                <w:i/>
              </w:rPr>
            </w:pPr>
            <w:r>
              <w:rPr>
                <w:b/>
                <w:i/>
              </w:rPr>
              <w:t xml:space="preserve">Marie-Laurence </w:t>
            </w:r>
            <w:proofErr w:type="spellStart"/>
            <w:r>
              <w:rPr>
                <w:b/>
                <w:i/>
              </w:rPr>
              <w:t>Drillon</w:t>
            </w:r>
            <w:proofErr w:type="spellEnd"/>
          </w:p>
        </w:tc>
      </w:tr>
      <w:tr w:rsidRPr="00B371BD" w:rsidR="00B371BD" w:rsidTr="00D97149" w14:paraId="6131848A" w14:textId="77777777">
        <w:tc>
          <w:tcPr>
            <w:tcW w:w="1556" w:type="pct"/>
          </w:tcPr>
          <w:p w:rsidRPr="00B371BD" w:rsidR="00B371BD" w:rsidP="00B371BD" w:rsidRDefault="00B371BD" w14:paraId="154B630E" w14:textId="416DFE7F">
            <w:pPr>
              <w:overflowPunct w:val="0"/>
              <w:autoSpaceDE w:val="0"/>
              <w:autoSpaceDN w:val="0"/>
              <w:adjustRightInd w:val="0"/>
              <w:spacing w:line="240" w:lineRule="auto"/>
              <w:textAlignment w:val="baseline"/>
              <w:rPr>
                <w:i/>
              </w:rPr>
            </w:pPr>
            <w:r>
              <w:rPr>
                <w:i/>
              </w:rPr>
              <w:t>Tel.</w:t>
            </w:r>
          </w:p>
        </w:tc>
        <w:tc>
          <w:tcPr>
            <w:tcW w:w="3444" w:type="pct"/>
          </w:tcPr>
          <w:p w:rsidRPr="00B371BD" w:rsidR="00B371BD" w:rsidP="00B371BD" w:rsidRDefault="007D2E29" w14:paraId="0823D1BA" w14:textId="4C1AA426">
            <w:pPr>
              <w:overflowPunct w:val="0"/>
              <w:autoSpaceDE w:val="0"/>
              <w:autoSpaceDN w:val="0"/>
              <w:adjustRightInd w:val="0"/>
              <w:spacing w:line="240" w:lineRule="auto"/>
              <w:textAlignment w:val="baseline"/>
              <w:rPr>
                <w:i/>
              </w:rPr>
            </w:pPr>
            <w:r>
              <w:rPr>
                <w:i/>
              </w:rPr>
              <w:t>+32 2 546 8320</w:t>
            </w:r>
          </w:p>
        </w:tc>
      </w:tr>
      <w:tr w:rsidRPr="00B371BD" w:rsidR="00B371BD" w:rsidTr="00D97149" w14:paraId="47F4E800" w14:textId="77777777">
        <w:tc>
          <w:tcPr>
            <w:tcW w:w="1556" w:type="pct"/>
          </w:tcPr>
          <w:p w:rsidRPr="00B371BD" w:rsidR="00B371BD" w:rsidP="00B371BD" w:rsidRDefault="00DA5622" w14:paraId="43B69646" w14:textId="4E0DAC9D">
            <w:pPr>
              <w:overflowPunct w:val="0"/>
              <w:autoSpaceDE w:val="0"/>
              <w:autoSpaceDN w:val="0"/>
              <w:adjustRightInd w:val="0"/>
              <w:spacing w:line="240" w:lineRule="auto"/>
              <w:textAlignment w:val="baseline"/>
              <w:rPr>
                <w:i/>
              </w:rPr>
            </w:pPr>
            <w:r>
              <w:rPr>
                <w:i/>
              </w:rPr>
              <w:t>Endereço eletrónico</w:t>
            </w:r>
          </w:p>
        </w:tc>
        <w:tc>
          <w:tcPr>
            <w:tcW w:w="3444" w:type="pct"/>
          </w:tcPr>
          <w:p w:rsidRPr="00B371BD" w:rsidR="00B371BD" w:rsidP="00B371BD" w:rsidRDefault="007E421A" w14:paraId="4EAFC3BC" w14:textId="77777777">
            <w:pPr>
              <w:overflowPunct w:val="0"/>
              <w:autoSpaceDE w:val="0"/>
              <w:autoSpaceDN w:val="0"/>
              <w:adjustRightInd w:val="0"/>
              <w:spacing w:line="240" w:lineRule="auto"/>
              <w:textAlignment w:val="baseline"/>
              <w:rPr>
                <w:i/>
              </w:rPr>
            </w:pPr>
            <w:hyperlink w:history="1" r:id="rId66">
              <w:r w:rsidR="00E11732">
                <w:rPr>
                  <w:i/>
                  <w:color w:val="0000FF"/>
                  <w:u w:val="single"/>
                </w:rPr>
                <w:t>Marie-laurence.Drillon@eesc.europa.eu</w:t>
              </w:r>
            </w:hyperlink>
          </w:p>
        </w:tc>
      </w:tr>
    </w:tbl>
    <w:p w:rsidRPr="005463FF" w:rsidR="00C87097" w:rsidRDefault="00C87097" w14:paraId="30BA2115" w14:textId="2AE80B57">
      <w:pPr>
        <w:spacing w:after="160" w:line="259" w:lineRule="auto"/>
        <w:jc w:val="left"/>
      </w:pPr>
    </w:p>
    <w:p w:rsidRPr="000B652D" w:rsidR="000E1079" w:rsidP="000E1079" w:rsidRDefault="000E1079" w14:paraId="61D446FB" w14:textId="77777777">
      <w:pPr>
        <w:jc w:val="center"/>
      </w:pPr>
      <w:r>
        <w:t>_____________</w:t>
      </w:r>
    </w:p>
    <w:p w:rsidRPr="005463FF" w:rsidR="00D67CAD" w:rsidP="00E67282" w:rsidRDefault="00D67CAD" w14:paraId="5E62A09A" w14:textId="3AE4DE6E">
      <w:pPr>
        <w:spacing w:after="160" w:line="259" w:lineRule="auto"/>
        <w:jc w:val="left"/>
      </w:pPr>
    </w:p>
    <w:sectPr w:rsidRPr="005463FF" w:rsidR="00D67CAD" w:rsidSect="006D1EA4">
      <w:headerReference w:type="even" r:id="rId67"/>
      <w:headerReference w:type="default" r:id="rId68"/>
      <w:footerReference w:type="even" r:id="rId69"/>
      <w:footerReference w:type="default" r:id="rId70"/>
      <w:headerReference w:type="first" r:id="rId71"/>
      <w:footerReference w:type="first" r:id="rId72"/>
      <w:pgSz w:w="11907" w:h="16839"/>
      <w:pgMar w:top="0" w:right="1418" w:bottom="680"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AB756" w14:textId="77777777" w:rsidR="001965D5" w:rsidRDefault="001965D5" w:rsidP="003B0516">
      <w:pPr>
        <w:spacing w:line="240" w:lineRule="auto"/>
      </w:pPr>
      <w:r>
        <w:separator/>
      </w:r>
    </w:p>
  </w:endnote>
  <w:endnote w:type="continuationSeparator" w:id="0">
    <w:p w14:paraId="5C78B710" w14:textId="77777777" w:rsidR="001965D5" w:rsidRDefault="001965D5" w:rsidP="003B05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D595" w14:textId="77777777" w:rsidR="006D1EA4" w:rsidRPr="006D1EA4" w:rsidRDefault="006D1EA4" w:rsidP="006D1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D38" w14:textId="7BC5C8D4" w:rsidR="00765C4F" w:rsidRPr="006D1EA4" w:rsidRDefault="006D1EA4" w:rsidP="006D1EA4">
    <w:pPr>
      <w:pStyle w:val="Footer"/>
    </w:pPr>
    <w:r>
      <w:t xml:space="preserve">EESC-2023-02218-00-01-TCD-TRA (EN) </w:t>
    </w:r>
    <w:r>
      <w:fldChar w:fldCharType="begin"/>
    </w:r>
    <w:r>
      <w:instrText xml:space="preserve"> PAGE  \* Arabic  \* MERGEFORMAT </w:instrText>
    </w:r>
    <w:r>
      <w:fldChar w:fldCharType="separate"/>
    </w:r>
    <w:r w:rsidR="007E58E2">
      <w:t>1</w:t>
    </w:r>
    <w:r>
      <w:fldChar w:fldCharType="end"/>
    </w:r>
    <w:r>
      <w:t>/</w:t>
    </w:r>
    <w:r w:rsidR="007E421A">
      <w:fldChar w:fldCharType="begin"/>
    </w:r>
    <w:r w:rsidR="007E421A">
      <w:instrText xml:space="preserve"> NUMPAGES </w:instrText>
    </w:r>
    <w:r w:rsidR="007E421A">
      <w:fldChar w:fldCharType="separate"/>
    </w:r>
    <w:r w:rsidR="007E58E2">
      <w:t>1</w:t>
    </w:r>
    <w:r w:rsidR="007E421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373E" w14:textId="77777777" w:rsidR="006D1EA4" w:rsidRPr="006D1EA4" w:rsidRDefault="006D1EA4" w:rsidP="006D1E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C15F" w14:textId="77777777" w:rsidR="00765C4F" w:rsidRPr="006D1EA4" w:rsidRDefault="00765C4F" w:rsidP="006D1EA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860" w14:textId="6F7F8AF7" w:rsidR="00765C4F" w:rsidRPr="006D1EA4" w:rsidRDefault="006D1EA4" w:rsidP="006D1EA4">
    <w:pPr>
      <w:pStyle w:val="Footer"/>
    </w:pPr>
    <w:r>
      <w:t xml:space="preserve">EESC-2023-02218-00-01-TCD-TRA (EN) </w:t>
    </w:r>
    <w:r>
      <w:fldChar w:fldCharType="begin"/>
    </w:r>
    <w:r>
      <w:instrText xml:space="preserve"> PAGE  \* Arabic  \* MERGEFORMAT </w:instrText>
    </w:r>
    <w:r>
      <w:fldChar w:fldCharType="separate"/>
    </w:r>
    <w:r>
      <w:t>2</w:t>
    </w:r>
    <w:r>
      <w:fldChar w:fldCharType="end"/>
    </w:r>
    <w:r>
      <w:t>/</w:t>
    </w:r>
    <w:r w:rsidR="007E421A">
      <w:fldChar w:fldCharType="begin"/>
    </w:r>
    <w:r w:rsidR="007E421A">
      <w:instrText xml:space="preserve"> NUMPAGES </w:instrText>
    </w:r>
    <w:r w:rsidR="007E421A">
      <w:fldChar w:fldCharType="separate"/>
    </w:r>
    <w:r>
      <w:t>27</w:t>
    </w:r>
    <w:r w:rsidR="007E421A">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E62D" w14:textId="77777777" w:rsidR="00765C4F" w:rsidRPr="006D1EA4" w:rsidRDefault="00765C4F" w:rsidP="006D1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E0673" w14:textId="77777777" w:rsidR="001965D5" w:rsidRDefault="001965D5" w:rsidP="003B0516">
      <w:pPr>
        <w:spacing w:line="240" w:lineRule="auto"/>
      </w:pPr>
      <w:r>
        <w:separator/>
      </w:r>
    </w:p>
  </w:footnote>
  <w:footnote w:type="continuationSeparator" w:id="0">
    <w:p w14:paraId="067D6332" w14:textId="77777777" w:rsidR="001965D5" w:rsidRDefault="001965D5" w:rsidP="003B0516">
      <w:pPr>
        <w:spacing w:line="240" w:lineRule="auto"/>
      </w:pPr>
      <w:r>
        <w:continuationSeparator/>
      </w:r>
    </w:p>
  </w:footnote>
  <w:footnote w:id="1">
    <w:p w14:paraId="21BBBAC0" w14:textId="77777777" w:rsidR="003447C3" w:rsidRPr="00384299" w:rsidRDefault="003447C3" w:rsidP="003447C3">
      <w:pPr>
        <w:pStyle w:val="FootnoteText"/>
      </w:pPr>
      <w:r>
        <w:rPr>
          <w:rStyle w:val="FootnoteReference"/>
        </w:rPr>
        <w:footnoteRef/>
      </w:r>
      <w:r>
        <w:tab/>
        <w:t xml:space="preserve">Parecer do CESE – Medidas de conservação e de controlo na Área da Organização das Pescarias do Noroeste do Atlântico, </w:t>
      </w:r>
      <w:hyperlink r:id="rId1" w:history="1">
        <w:r>
          <w:rPr>
            <w:rStyle w:val="Hyperlink"/>
          </w:rPr>
          <w:t>JO C 159 de 10.5.2019, p. 60</w:t>
        </w:r>
      </w:hyperlink>
      <w:r>
        <w:t>.</w:t>
      </w:r>
    </w:p>
  </w:footnote>
  <w:footnote w:id="2">
    <w:p w14:paraId="39F82C92" w14:textId="77777777" w:rsidR="003447C3" w:rsidRPr="00384299" w:rsidRDefault="003447C3" w:rsidP="003447C3">
      <w:pPr>
        <w:pStyle w:val="FootnoteText"/>
      </w:pPr>
      <w:r>
        <w:rPr>
          <w:rStyle w:val="FootnoteReference"/>
        </w:rPr>
        <w:footnoteRef/>
      </w:r>
      <w:r>
        <w:tab/>
      </w:r>
      <w:r>
        <w:t xml:space="preserve">Parecer do CESE – Medidas de conservação e de execução – NAFO, </w:t>
      </w:r>
      <w:hyperlink r:id="rId2" w:history="1">
        <w:r>
          <w:rPr>
            <w:rStyle w:val="Hyperlink"/>
          </w:rPr>
          <w:t>JO C 429 de 11.12.2020, p. 279</w:t>
        </w:r>
      </w:hyperlink>
      <w:r>
        <w:t>.</w:t>
      </w:r>
    </w:p>
  </w:footnote>
  <w:footnote w:id="3">
    <w:p w14:paraId="0322B8E8" w14:textId="097AA89D" w:rsidR="006A66F5" w:rsidRPr="00384299" w:rsidRDefault="003447C3" w:rsidP="003447C3">
      <w:pPr>
        <w:pStyle w:val="FootnoteText"/>
      </w:pPr>
      <w:r>
        <w:rPr>
          <w:rStyle w:val="FootnoteReference"/>
        </w:rPr>
        <w:footnoteRef/>
      </w:r>
      <w:r>
        <w:tab/>
      </w:r>
      <w:r>
        <w:t xml:space="preserve">Parecer do CESE – Medidas de conservação e de execução – NAFO, </w:t>
      </w:r>
      <w:hyperlink r:id="rId3" w:history="1">
        <w:r>
          <w:rPr>
            <w:rStyle w:val="Hyperlink"/>
          </w:rPr>
          <w:t>JO C 290 de 29.7.2022, p. 149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911F" w14:textId="77777777" w:rsidR="006D1EA4" w:rsidRPr="006D1EA4" w:rsidRDefault="006D1EA4" w:rsidP="006D1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BD77F" w14:textId="21313184" w:rsidR="006D1EA4" w:rsidRPr="006D1EA4" w:rsidRDefault="006D1EA4" w:rsidP="006D1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5CF1" w14:textId="77777777" w:rsidR="006D1EA4" w:rsidRPr="006D1EA4" w:rsidRDefault="006D1EA4" w:rsidP="006D1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9DF2" w14:textId="77777777" w:rsidR="00765C4F" w:rsidRPr="006D1EA4" w:rsidRDefault="00765C4F" w:rsidP="006D1EA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FBA" w14:textId="3B932C1F" w:rsidR="00765C4F" w:rsidRPr="006D1EA4" w:rsidRDefault="00765C4F" w:rsidP="006D1E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5E7F" w14:textId="77777777" w:rsidR="00765C4F" w:rsidRPr="006D1EA4" w:rsidRDefault="00765C4F" w:rsidP="006D1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4B44F4C"/>
    <w:lvl w:ilvl="0">
      <w:numFmt w:val="decimal"/>
      <w:lvlText w:val="*"/>
      <w:lvlJc w:val="left"/>
    </w:lvl>
  </w:abstractNum>
  <w:abstractNum w:abstractNumId="1" w15:restartNumberingAfterBreak="0">
    <w:nsid w:val="00CC4993"/>
    <w:multiLevelType w:val="hybridMultilevel"/>
    <w:tmpl w:val="A41E906C"/>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33533F9"/>
    <w:multiLevelType w:val="hybridMultilevel"/>
    <w:tmpl w:val="71D6A7B4"/>
    <w:lvl w:ilvl="0" w:tplc="26BC7C74">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1DB38D0"/>
    <w:multiLevelType w:val="hybridMultilevel"/>
    <w:tmpl w:val="6FE2BB68"/>
    <w:lvl w:ilvl="0" w:tplc="F6166D28">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 w15:restartNumberingAfterBreak="0">
    <w:nsid w:val="1A783156"/>
    <w:multiLevelType w:val="hybridMultilevel"/>
    <w:tmpl w:val="C5B66254"/>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0C67293"/>
    <w:multiLevelType w:val="hybridMultilevel"/>
    <w:tmpl w:val="A98A9E0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D13A9B"/>
    <w:multiLevelType w:val="hybridMultilevel"/>
    <w:tmpl w:val="2EC45CA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20E34D62"/>
    <w:multiLevelType w:val="hybridMultilevel"/>
    <w:tmpl w:val="E0EEA54E"/>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B45D08"/>
    <w:multiLevelType w:val="hybridMultilevel"/>
    <w:tmpl w:val="819CD394"/>
    <w:lvl w:ilvl="0" w:tplc="85C8C05E">
      <w:start w:val="1"/>
      <w:numFmt w:val="bullet"/>
      <w:pStyle w:val="Link"/>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B92316D"/>
    <w:multiLevelType w:val="hybridMultilevel"/>
    <w:tmpl w:val="D24E93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B43D16"/>
    <w:multiLevelType w:val="hybridMultilevel"/>
    <w:tmpl w:val="53F08532"/>
    <w:lvl w:ilvl="0" w:tplc="080C000F">
      <w:start w:val="1"/>
      <w:numFmt w:val="decimal"/>
      <w:lvlText w:val="%1."/>
      <w:lvlJc w:val="left"/>
      <w:pPr>
        <w:ind w:left="502" w:hanging="360"/>
      </w:pPr>
      <w:rPr>
        <w:rFonts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1" w15:restartNumberingAfterBreak="0">
    <w:nsid w:val="35646D05"/>
    <w:multiLevelType w:val="hybridMultilevel"/>
    <w:tmpl w:val="47B2F454"/>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7AB472E"/>
    <w:multiLevelType w:val="hybridMultilevel"/>
    <w:tmpl w:val="EC5E92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97460C4"/>
    <w:multiLevelType w:val="hybridMultilevel"/>
    <w:tmpl w:val="2C0AED76"/>
    <w:lvl w:ilvl="0" w:tplc="080C0001">
      <w:start w:val="1"/>
      <w:numFmt w:val="bullet"/>
      <w:lvlText w:val=""/>
      <w:lvlJc w:val="left"/>
      <w:pPr>
        <w:ind w:left="567" w:hanging="360"/>
      </w:pPr>
      <w:rPr>
        <w:rFonts w:ascii="Symbol" w:hAnsi="Symbol" w:hint="default"/>
      </w:rPr>
    </w:lvl>
    <w:lvl w:ilvl="1" w:tplc="080C0003">
      <w:start w:val="1"/>
      <w:numFmt w:val="bullet"/>
      <w:lvlText w:val="o"/>
      <w:lvlJc w:val="left"/>
      <w:pPr>
        <w:ind w:left="1287" w:hanging="360"/>
      </w:pPr>
      <w:rPr>
        <w:rFonts w:ascii="Courier New" w:hAnsi="Courier New" w:cs="Courier New" w:hint="default"/>
      </w:rPr>
    </w:lvl>
    <w:lvl w:ilvl="2" w:tplc="080C0005">
      <w:start w:val="1"/>
      <w:numFmt w:val="bullet"/>
      <w:lvlText w:val=""/>
      <w:lvlJc w:val="left"/>
      <w:pPr>
        <w:ind w:left="2007" w:hanging="360"/>
      </w:pPr>
      <w:rPr>
        <w:rFonts w:ascii="Wingdings" w:hAnsi="Wingdings" w:hint="default"/>
      </w:rPr>
    </w:lvl>
    <w:lvl w:ilvl="3" w:tplc="080C0001">
      <w:start w:val="1"/>
      <w:numFmt w:val="bullet"/>
      <w:lvlText w:val=""/>
      <w:lvlJc w:val="left"/>
      <w:pPr>
        <w:ind w:left="2727" w:hanging="360"/>
      </w:pPr>
      <w:rPr>
        <w:rFonts w:ascii="Symbol" w:hAnsi="Symbol" w:hint="default"/>
      </w:rPr>
    </w:lvl>
    <w:lvl w:ilvl="4" w:tplc="080C0003" w:tentative="1">
      <w:start w:val="1"/>
      <w:numFmt w:val="bullet"/>
      <w:lvlText w:val="o"/>
      <w:lvlJc w:val="left"/>
      <w:pPr>
        <w:ind w:left="3447" w:hanging="360"/>
      </w:pPr>
      <w:rPr>
        <w:rFonts w:ascii="Courier New" w:hAnsi="Courier New" w:cs="Courier New" w:hint="default"/>
      </w:rPr>
    </w:lvl>
    <w:lvl w:ilvl="5" w:tplc="080C0005" w:tentative="1">
      <w:start w:val="1"/>
      <w:numFmt w:val="bullet"/>
      <w:lvlText w:val=""/>
      <w:lvlJc w:val="left"/>
      <w:pPr>
        <w:ind w:left="4167" w:hanging="360"/>
      </w:pPr>
      <w:rPr>
        <w:rFonts w:ascii="Wingdings" w:hAnsi="Wingdings" w:hint="default"/>
      </w:rPr>
    </w:lvl>
    <w:lvl w:ilvl="6" w:tplc="080C0001" w:tentative="1">
      <w:start w:val="1"/>
      <w:numFmt w:val="bullet"/>
      <w:lvlText w:val=""/>
      <w:lvlJc w:val="left"/>
      <w:pPr>
        <w:ind w:left="4887" w:hanging="360"/>
      </w:pPr>
      <w:rPr>
        <w:rFonts w:ascii="Symbol" w:hAnsi="Symbol" w:hint="default"/>
      </w:rPr>
    </w:lvl>
    <w:lvl w:ilvl="7" w:tplc="080C0003" w:tentative="1">
      <w:start w:val="1"/>
      <w:numFmt w:val="bullet"/>
      <w:lvlText w:val="o"/>
      <w:lvlJc w:val="left"/>
      <w:pPr>
        <w:ind w:left="5607" w:hanging="360"/>
      </w:pPr>
      <w:rPr>
        <w:rFonts w:ascii="Courier New" w:hAnsi="Courier New" w:cs="Courier New" w:hint="default"/>
      </w:rPr>
    </w:lvl>
    <w:lvl w:ilvl="8" w:tplc="080C0005" w:tentative="1">
      <w:start w:val="1"/>
      <w:numFmt w:val="bullet"/>
      <w:lvlText w:val=""/>
      <w:lvlJc w:val="left"/>
      <w:pPr>
        <w:ind w:left="6327" w:hanging="360"/>
      </w:pPr>
      <w:rPr>
        <w:rFonts w:ascii="Wingdings" w:hAnsi="Wingdings" w:hint="default"/>
      </w:rPr>
    </w:lvl>
  </w:abstractNum>
  <w:abstractNum w:abstractNumId="14" w15:restartNumberingAfterBreak="0">
    <w:nsid w:val="3C6F2261"/>
    <w:multiLevelType w:val="hybridMultilevel"/>
    <w:tmpl w:val="17DA8B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F6E13AF"/>
    <w:multiLevelType w:val="hybridMultilevel"/>
    <w:tmpl w:val="935247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955F89"/>
    <w:multiLevelType w:val="hybridMultilevel"/>
    <w:tmpl w:val="DBF8458A"/>
    <w:lvl w:ilvl="0" w:tplc="30B03230">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911FB5"/>
    <w:multiLevelType w:val="hybridMultilevel"/>
    <w:tmpl w:val="4094F166"/>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8" w15:restartNumberingAfterBreak="0">
    <w:nsid w:val="44E243EB"/>
    <w:multiLevelType w:val="hybridMultilevel"/>
    <w:tmpl w:val="3ADA360E"/>
    <w:lvl w:ilvl="0" w:tplc="0E481EF4">
      <w:start w:val="1"/>
      <w:numFmt w:val="bullet"/>
      <w:lvlText w:val=""/>
      <w:lvlJc w:val="left"/>
      <w:pPr>
        <w:ind w:left="720" w:hanging="360"/>
      </w:pPr>
      <w:rPr>
        <w:rFonts w:ascii="Symbol" w:hAnsi="Symbol" w:hint="default"/>
        <w:sz w:val="22"/>
        <w:szCs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5120841"/>
    <w:multiLevelType w:val="hybridMultilevel"/>
    <w:tmpl w:val="C5D29DD2"/>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1BF42B6"/>
    <w:multiLevelType w:val="hybridMultilevel"/>
    <w:tmpl w:val="24E4864E"/>
    <w:lvl w:ilvl="0" w:tplc="08090017">
      <w:start w:val="1"/>
      <w:numFmt w:val="lowerLetter"/>
      <w:lvlText w:val="%1)"/>
      <w:lvlJc w:val="left"/>
      <w:pPr>
        <w:ind w:left="1800" w:hanging="360"/>
      </w:p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1" w15:restartNumberingAfterBreak="0">
    <w:nsid w:val="535E732E"/>
    <w:multiLevelType w:val="hybridMultilevel"/>
    <w:tmpl w:val="FADC52C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15:restartNumberingAfterBreak="0">
    <w:nsid w:val="56ED09E2"/>
    <w:multiLevelType w:val="hybridMultilevel"/>
    <w:tmpl w:val="2A02EFB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9BA7265"/>
    <w:multiLevelType w:val="hybridMultilevel"/>
    <w:tmpl w:val="CD9443BC"/>
    <w:lvl w:ilvl="0" w:tplc="F6166D28">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5B161BA2"/>
    <w:multiLevelType w:val="hybridMultilevel"/>
    <w:tmpl w:val="BDBAFB6E"/>
    <w:lvl w:ilvl="0" w:tplc="F6166D28">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5E147FD8"/>
    <w:multiLevelType w:val="hybridMultilevel"/>
    <w:tmpl w:val="AD7A9B0E"/>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6" w15:restartNumberingAfterBreak="0">
    <w:nsid w:val="5EFA5529"/>
    <w:multiLevelType w:val="hybridMultilevel"/>
    <w:tmpl w:val="A22E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1D7321"/>
    <w:multiLevelType w:val="hybridMultilevel"/>
    <w:tmpl w:val="21507A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0921A45"/>
    <w:multiLevelType w:val="hybridMultilevel"/>
    <w:tmpl w:val="DFB27120"/>
    <w:lvl w:ilvl="0" w:tplc="F6166D28">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9" w15:restartNumberingAfterBreak="0">
    <w:nsid w:val="64126291"/>
    <w:multiLevelType w:val="hybridMultilevel"/>
    <w:tmpl w:val="20DAC910"/>
    <w:lvl w:ilvl="0" w:tplc="F6166D2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43C23C6"/>
    <w:multiLevelType w:val="hybridMultilevel"/>
    <w:tmpl w:val="183C12C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1" w15:restartNumberingAfterBreak="0">
    <w:nsid w:val="65326CF0"/>
    <w:multiLevelType w:val="hybridMultilevel"/>
    <w:tmpl w:val="6406A022"/>
    <w:lvl w:ilvl="0" w:tplc="F6166D28">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414B93"/>
    <w:multiLevelType w:val="hybridMultilevel"/>
    <w:tmpl w:val="21D2FB7C"/>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3" w15:restartNumberingAfterBreak="0">
    <w:nsid w:val="6D407E93"/>
    <w:multiLevelType w:val="hybridMultilevel"/>
    <w:tmpl w:val="25769CAE"/>
    <w:lvl w:ilvl="0" w:tplc="F6166D28">
      <w:start w:val="1"/>
      <w:numFmt w:val="bullet"/>
      <w:lvlText w:val=""/>
      <w:lvlJc w:val="left"/>
      <w:pPr>
        <w:ind w:left="502" w:hanging="360"/>
      </w:pPr>
      <w:rPr>
        <w:rFonts w:ascii="Symbol" w:hAnsi="Symbol" w:hint="default"/>
      </w:rPr>
    </w:lvl>
    <w:lvl w:ilvl="1" w:tplc="080C0003" w:tentative="1">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34" w15:restartNumberingAfterBreak="0">
    <w:nsid w:val="6E5757BD"/>
    <w:multiLevelType w:val="hybridMultilevel"/>
    <w:tmpl w:val="8C809D16"/>
    <w:lvl w:ilvl="0" w:tplc="F6166D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427F1"/>
    <w:multiLevelType w:val="hybridMultilevel"/>
    <w:tmpl w:val="625E18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72E05E84"/>
    <w:multiLevelType w:val="hybridMultilevel"/>
    <w:tmpl w:val="8EDE588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7" w15:restartNumberingAfterBreak="0">
    <w:nsid w:val="740E13A9"/>
    <w:multiLevelType w:val="hybridMultilevel"/>
    <w:tmpl w:val="C70EDF04"/>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8" w15:restartNumberingAfterBreak="0">
    <w:nsid w:val="79963D3E"/>
    <w:multiLevelType w:val="hybridMultilevel"/>
    <w:tmpl w:val="7F56AC6E"/>
    <w:lvl w:ilvl="0" w:tplc="F6166D28">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9DA0492"/>
    <w:multiLevelType w:val="hybridMultilevel"/>
    <w:tmpl w:val="69184040"/>
    <w:lvl w:ilvl="0" w:tplc="08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0" w15:restartNumberingAfterBreak="0">
    <w:nsid w:val="7CFD4C0A"/>
    <w:multiLevelType w:val="hybridMultilevel"/>
    <w:tmpl w:val="AA6687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B76BBA"/>
    <w:multiLevelType w:val="hybridMultilevel"/>
    <w:tmpl w:val="BC6038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FC75163"/>
    <w:multiLevelType w:val="hybridMultilevel"/>
    <w:tmpl w:val="F5B834C8"/>
    <w:lvl w:ilvl="0" w:tplc="F6166D28">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color w:val="auto"/>
          <w:sz w:val="22"/>
          <w:szCs w:val="22"/>
        </w:rPr>
      </w:lvl>
    </w:lvlOverride>
  </w:num>
  <w:num w:numId="2">
    <w:abstractNumId w:val="0"/>
    <w:lvlOverride w:ilvl="0">
      <w:lvl w:ilvl="0">
        <w:start w:val="1"/>
        <w:numFmt w:val="bullet"/>
        <w:lvlText w:val=""/>
        <w:lvlJc w:val="left"/>
        <w:pPr>
          <w:ind w:left="720" w:hanging="360"/>
        </w:pPr>
        <w:rPr>
          <w:rFonts w:ascii="Symbol" w:hAnsi="Symbol" w:hint="default"/>
          <w:color w:val="auto"/>
        </w:rPr>
      </w:lvl>
    </w:lvlOverride>
  </w:num>
  <w:num w:numId="3">
    <w:abstractNumId w:val="12"/>
  </w:num>
  <w:num w:numId="4">
    <w:abstractNumId w:val="13"/>
  </w:num>
  <w:num w:numId="5">
    <w:abstractNumId w:val="14"/>
  </w:num>
  <w:num w:numId="6">
    <w:abstractNumId w:val="35"/>
  </w:num>
  <w:num w:numId="7">
    <w:abstractNumId w:val="40"/>
  </w:num>
  <w:num w:numId="8">
    <w:abstractNumId w:val="9"/>
  </w:num>
  <w:num w:numId="9">
    <w:abstractNumId w:val="27"/>
  </w:num>
  <w:num w:numId="10">
    <w:abstractNumId w:val="22"/>
  </w:num>
  <w:num w:numId="11">
    <w:abstractNumId w:val="2"/>
  </w:num>
  <w:num w:numId="12">
    <w:abstractNumId w:val="39"/>
  </w:num>
  <w:num w:numId="13">
    <w:abstractNumId w:val="41"/>
  </w:num>
  <w:num w:numId="14">
    <w:abstractNumId w:val="20"/>
  </w:num>
  <w:num w:numId="15">
    <w:abstractNumId w:val="31"/>
  </w:num>
  <w:num w:numId="16">
    <w:abstractNumId w:val="26"/>
  </w:num>
  <w:num w:numId="17">
    <w:abstractNumId w:val="10"/>
  </w:num>
  <w:num w:numId="18">
    <w:abstractNumId w:val="33"/>
  </w:num>
  <w:num w:numId="19">
    <w:abstractNumId w:val="8"/>
  </w:num>
  <w:num w:numId="20">
    <w:abstractNumId w:val="29"/>
  </w:num>
  <w:num w:numId="21">
    <w:abstractNumId w:val="11"/>
  </w:num>
  <w:num w:numId="22">
    <w:abstractNumId w:val="32"/>
  </w:num>
  <w:num w:numId="23">
    <w:abstractNumId w:val="5"/>
  </w:num>
  <w:num w:numId="24">
    <w:abstractNumId w:val="24"/>
  </w:num>
  <w:num w:numId="25">
    <w:abstractNumId w:val="18"/>
  </w:num>
  <w:num w:numId="26">
    <w:abstractNumId w:val="34"/>
  </w:num>
  <w:num w:numId="27">
    <w:abstractNumId w:val="25"/>
  </w:num>
  <w:num w:numId="28">
    <w:abstractNumId w:val="7"/>
  </w:num>
  <w:num w:numId="29">
    <w:abstractNumId w:val="21"/>
  </w:num>
  <w:num w:numId="30">
    <w:abstractNumId w:val="38"/>
  </w:num>
  <w:num w:numId="31">
    <w:abstractNumId w:val="3"/>
  </w:num>
  <w:num w:numId="32">
    <w:abstractNumId w:val="16"/>
  </w:num>
  <w:num w:numId="33">
    <w:abstractNumId w:val="1"/>
  </w:num>
  <w:num w:numId="34">
    <w:abstractNumId w:val="17"/>
  </w:num>
  <w:num w:numId="35">
    <w:abstractNumId w:val="30"/>
  </w:num>
  <w:num w:numId="36">
    <w:abstractNumId w:val="19"/>
  </w:num>
  <w:num w:numId="37">
    <w:abstractNumId w:val="4"/>
  </w:num>
  <w:num w:numId="38">
    <w:abstractNumId w:val="36"/>
  </w:num>
  <w:num w:numId="39">
    <w:abstractNumId w:val="23"/>
  </w:num>
  <w:num w:numId="40">
    <w:abstractNumId w:val="28"/>
  </w:num>
  <w:num w:numId="41">
    <w:abstractNumId w:val="42"/>
  </w:num>
  <w:num w:numId="42">
    <w:abstractNumId w:val="37"/>
  </w:num>
  <w:num w:numId="43">
    <w:abstractNumId w:val="15"/>
  </w:num>
  <w:num w:numId="4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AU" w:vendorID="64" w:dllVersion="6" w:nlCheck="1" w:checkStyle="0"/>
  <w:activeWritingStyle w:appName="MSWord" w:lang="en-US" w:vendorID="64" w:dllVersion="6" w:nlCheck="1" w:checkStyle="1"/>
  <w:activeWritingStyle w:appName="MSWord" w:lang="pt-PT" w:vendorID="64" w:dllVersion="6" w:nlCheck="1" w:checkStyle="0"/>
  <w:activeWritingStyle w:appName="MSWord" w:lang="de-DE" w:vendorID="64" w:dllVersion="6" w:nlCheck="1" w:checkStyle="0"/>
  <w:activeWritingStyle w:appName="MSWord" w:lang="nl-BE" w:vendorID="64" w:dllVersion="6" w:nlCheck="1" w:checkStyle="0"/>
  <w:activeWritingStyle w:appName="MSWord" w:lang="it-IT"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fi-FI" w:vendorID="64" w:dllVersion="4096" w:nlCheck="1" w:checkStyle="0"/>
  <w:activeWritingStyle w:appName="MSWord" w:lang="de-AT" w:vendorID="64" w:dllVersion="4096" w:nlCheck="1" w:checkStyle="0"/>
  <w:activeWritingStyle w:appName="MSWord" w:lang="nl-BE" w:vendorID="64" w:dllVersion="4096" w:nlCheck="1" w:checkStyle="0"/>
  <w:activeWritingStyle w:appName="MSWord" w:lang="da-DK" w:vendorID="64" w:dllVersion="4096" w:nlCheck="1" w:checkStyle="0"/>
  <w:activeWritingStyle w:appName="MSWord" w:lang="en-IE" w:vendorID="64" w:dllVersion="4096" w:nlCheck="1" w:checkStyle="0"/>
  <w:activeWritingStyle w:appName="MSWord" w:lang="fr-LU" w:vendorID="64" w:dllVersion="4096" w:nlCheck="1" w:checkStyle="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C0"/>
    <w:rsid w:val="00002061"/>
    <w:rsid w:val="00002A4B"/>
    <w:rsid w:val="00011582"/>
    <w:rsid w:val="00011846"/>
    <w:rsid w:val="00012071"/>
    <w:rsid w:val="00013CEE"/>
    <w:rsid w:val="000142E0"/>
    <w:rsid w:val="00014C93"/>
    <w:rsid w:val="00015E18"/>
    <w:rsid w:val="00016015"/>
    <w:rsid w:val="00017B56"/>
    <w:rsid w:val="0002109C"/>
    <w:rsid w:val="000232FA"/>
    <w:rsid w:val="00023DE9"/>
    <w:rsid w:val="000243E7"/>
    <w:rsid w:val="0002450A"/>
    <w:rsid w:val="000247C5"/>
    <w:rsid w:val="00024D79"/>
    <w:rsid w:val="000257FE"/>
    <w:rsid w:val="00025CE3"/>
    <w:rsid w:val="0002700A"/>
    <w:rsid w:val="00027072"/>
    <w:rsid w:val="000273E5"/>
    <w:rsid w:val="00027441"/>
    <w:rsid w:val="00027B44"/>
    <w:rsid w:val="0003047E"/>
    <w:rsid w:val="00031589"/>
    <w:rsid w:val="00031F57"/>
    <w:rsid w:val="00032038"/>
    <w:rsid w:val="0003271A"/>
    <w:rsid w:val="00032BAA"/>
    <w:rsid w:val="00032C0F"/>
    <w:rsid w:val="00033456"/>
    <w:rsid w:val="00034E35"/>
    <w:rsid w:val="00035924"/>
    <w:rsid w:val="000359CB"/>
    <w:rsid w:val="00036505"/>
    <w:rsid w:val="00037A85"/>
    <w:rsid w:val="000402AE"/>
    <w:rsid w:val="00040FE1"/>
    <w:rsid w:val="00041C4A"/>
    <w:rsid w:val="0004205F"/>
    <w:rsid w:val="000421E0"/>
    <w:rsid w:val="00043287"/>
    <w:rsid w:val="00043A3F"/>
    <w:rsid w:val="00046E56"/>
    <w:rsid w:val="00047887"/>
    <w:rsid w:val="00050002"/>
    <w:rsid w:val="0005110E"/>
    <w:rsid w:val="0005170F"/>
    <w:rsid w:val="00052BF1"/>
    <w:rsid w:val="0005495B"/>
    <w:rsid w:val="00055A19"/>
    <w:rsid w:val="00055D63"/>
    <w:rsid w:val="00056079"/>
    <w:rsid w:val="00056B3E"/>
    <w:rsid w:val="00057592"/>
    <w:rsid w:val="00057A51"/>
    <w:rsid w:val="00060F9E"/>
    <w:rsid w:val="000636B3"/>
    <w:rsid w:val="00063DFF"/>
    <w:rsid w:val="00063F30"/>
    <w:rsid w:val="0006421B"/>
    <w:rsid w:val="00064442"/>
    <w:rsid w:val="00064EDE"/>
    <w:rsid w:val="00066DC7"/>
    <w:rsid w:val="000676C4"/>
    <w:rsid w:val="0007015C"/>
    <w:rsid w:val="00070AAE"/>
    <w:rsid w:val="00070FEE"/>
    <w:rsid w:val="0007146F"/>
    <w:rsid w:val="00071F4C"/>
    <w:rsid w:val="00072D9B"/>
    <w:rsid w:val="00073491"/>
    <w:rsid w:val="000736D0"/>
    <w:rsid w:val="000764E8"/>
    <w:rsid w:val="00076BA9"/>
    <w:rsid w:val="000830F4"/>
    <w:rsid w:val="00083845"/>
    <w:rsid w:val="000911BF"/>
    <w:rsid w:val="00092425"/>
    <w:rsid w:val="000951A1"/>
    <w:rsid w:val="000956DB"/>
    <w:rsid w:val="00096786"/>
    <w:rsid w:val="00096CDE"/>
    <w:rsid w:val="0009784F"/>
    <w:rsid w:val="000A007B"/>
    <w:rsid w:val="000A03BD"/>
    <w:rsid w:val="000A0B04"/>
    <w:rsid w:val="000A1218"/>
    <w:rsid w:val="000A1931"/>
    <w:rsid w:val="000A3603"/>
    <w:rsid w:val="000A558D"/>
    <w:rsid w:val="000A6EDF"/>
    <w:rsid w:val="000A74DC"/>
    <w:rsid w:val="000A7BA8"/>
    <w:rsid w:val="000B01F7"/>
    <w:rsid w:val="000B0B9A"/>
    <w:rsid w:val="000B19C4"/>
    <w:rsid w:val="000B1AE6"/>
    <w:rsid w:val="000B25D7"/>
    <w:rsid w:val="000B5831"/>
    <w:rsid w:val="000B652D"/>
    <w:rsid w:val="000B7D8A"/>
    <w:rsid w:val="000C06CE"/>
    <w:rsid w:val="000C0708"/>
    <w:rsid w:val="000C18CA"/>
    <w:rsid w:val="000C2F19"/>
    <w:rsid w:val="000C3942"/>
    <w:rsid w:val="000C3E7C"/>
    <w:rsid w:val="000C43E2"/>
    <w:rsid w:val="000C6D0B"/>
    <w:rsid w:val="000D0187"/>
    <w:rsid w:val="000D10ED"/>
    <w:rsid w:val="000D2F8F"/>
    <w:rsid w:val="000D40D0"/>
    <w:rsid w:val="000D65AC"/>
    <w:rsid w:val="000D7181"/>
    <w:rsid w:val="000D72F5"/>
    <w:rsid w:val="000D7878"/>
    <w:rsid w:val="000E1079"/>
    <w:rsid w:val="000E37FD"/>
    <w:rsid w:val="000E447F"/>
    <w:rsid w:val="000E5197"/>
    <w:rsid w:val="000E56EA"/>
    <w:rsid w:val="000E5FFD"/>
    <w:rsid w:val="000E6108"/>
    <w:rsid w:val="000E75F1"/>
    <w:rsid w:val="000F2BDB"/>
    <w:rsid w:val="000F53B7"/>
    <w:rsid w:val="000F679A"/>
    <w:rsid w:val="001000A8"/>
    <w:rsid w:val="001016BE"/>
    <w:rsid w:val="00101D87"/>
    <w:rsid w:val="00104B7A"/>
    <w:rsid w:val="0010535A"/>
    <w:rsid w:val="00105758"/>
    <w:rsid w:val="00105EF9"/>
    <w:rsid w:val="00106358"/>
    <w:rsid w:val="00110085"/>
    <w:rsid w:val="001106FB"/>
    <w:rsid w:val="00111187"/>
    <w:rsid w:val="00111BD8"/>
    <w:rsid w:val="00113B00"/>
    <w:rsid w:val="001140AE"/>
    <w:rsid w:val="00115FCA"/>
    <w:rsid w:val="001167A1"/>
    <w:rsid w:val="00116A1C"/>
    <w:rsid w:val="001179DB"/>
    <w:rsid w:val="00117AA8"/>
    <w:rsid w:val="00120215"/>
    <w:rsid w:val="00120BA5"/>
    <w:rsid w:val="00121BCE"/>
    <w:rsid w:val="00124D7C"/>
    <w:rsid w:val="00124D9E"/>
    <w:rsid w:val="0012548F"/>
    <w:rsid w:val="001264CB"/>
    <w:rsid w:val="00126D3E"/>
    <w:rsid w:val="001271C3"/>
    <w:rsid w:val="00132B56"/>
    <w:rsid w:val="001348CC"/>
    <w:rsid w:val="00135610"/>
    <w:rsid w:val="00135769"/>
    <w:rsid w:val="00137BCC"/>
    <w:rsid w:val="001400C7"/>
    <w:rsid w:val="001435E4"/>
    <w:rsid w:val="001445A7"/>
    <w:rsid w:val="001455A1"/>
    <w:rsid w:val="0014589C"/>
    <w:rsid w:val="00150AD8"/>
    <w:rsid w:val="001513FD"/>
    <w:rsid w:val="00153032"/>
    <w:rsid w:val="001543FE"/>
    <w:rsid w:val="00155B53"/>
    <w:rsid w:val="00163106"/>
    <w:rsid w:val="00164813"/>
    <w:rsid w:val="00172541"/>
    <w:rsid w:val="00173E94"/>
    <w:rsid w:val="001744F9"/>
    <w:rsid w:val="00174763"/>
    <w:rsid w:val="00175EC3"/>
    <w:rsid w:val="001760E9"/>
    <w:rsid w:val="00180F59"/>
    <w:rsid w:val="0018231C"/>
    <w:rsid w:val="00182F92"/>
    <w:rsid w:val="001861B4"/>
    <w:rsid w:val="001865D3"/>
    <w:rsid w:val="00187F8B"/>
    <w:rsid w:val="00191584"/>
    <w:rsid w:val="00191597"/>
    <w:rsid w:val="00192BCD"/>
    <w:rsid w:val="00193D92"/>
    <w:rsid w:val="00194870"/>
    <w:rsid w:val="001951FD"/>
    <w:rsid w:val="001965D5"/>
    <w:rsid w:val="0019674A"/>
    <w:rsid w:val="0019715D"/>
    <w:rsid w:val="001A0AD4"/>
    <w:rsid w:val="001A1CC5"/>
    <w:rsid w:val="001A2273"/>
    <w:rsid w:val="001A2632"/>
    <w:rsid w:val="001A7476"/>
    <w:rsid w:val="001A7D7F"/>
    <w:rsid w:val="001B10DA"/>
    <w:rsid w:val="001B146A"/>
    <w:rsid w:val="001B643B"/>
    <w:rsid w:val="001B6460"/>
    <w:rsid w:val="001B6684"/>
    <w:rsid w:val="001C1786"/>
    <w:rsid w:val="001C226F"/>
    <w:rsid w:val="001C3412"/>
    <w:rsid w:val="001C4219"/>
    <w:rsid w:val="001C4A5D"/>
    <w:rsid w:val="001C4EDC"/>
    <w:rsid w:val="001C5D5C"/>
    <w:rsid w:val="001C64EB"/>
    <w:rsid w:val="001C6DC3"/>
    <w:rsid w:val="001D1F54"/>
    <w:rsid w:val="001D2636"/>
    <w:rsid w:val="001D357A"/>
    <w:rsid w:val="001D6FFF"/>
    <w:rsid w:val="001D770D"/>
    <w:rsid w:val="001E0F0C"/>
    <w:rsid w:val="001E1489"/>
    <w:rsid w:val="001E1833"/>
    <w:rsid w:val="001E2286"/>
    <w:rsid w:val="001E6413"/>
    <w:rsid w:val="001E6F69"/>
    <w:rsid w:val="001E715B"/>
    <w:rsid w:val="001F0687"/>
    <w:rsid w:val="001F1433"/>
    <w:rsid w:val="001F1862"/>
    <w:rsid w:val="001F3E4F"/>
    <w:rsid w:val="001F56CE"/>
    <w:rsid w:val="001F6FD5"/>
    <w:rsid w:val="001F773D"/>
    <w:rsid w:val="00200222"/>
    <w:rsid w:val="0020062C"/>
    <w:rsid w:val="0020199E"/>
    <w:rsid w:val="002037FC"/>
    <w:rsid w:val="00203B0B"/>
    <w:rsid w:val="00203BF4"/>
    <w:rsid w:val="002043D7"/>
    <w:rsid w:val="002048F7"/>
    <w:rsid w:val="002049FA"/>
    <w:rsid w:val="00205D0D"/>
    <w:rsid w:val="00207B3C"/>
    <w:rsid w:val="00210F85"/>
    <w:rsid w:val="002119AD"/>
    <w:rsid w:val="00215520"/>
    <w:rsid w:val="0021590B"/>
    <w:rsid w:val="00215FAB"/>
    <w:rsid w:val="00221313"/>
    <w:rsid w:val="00224583"/>
    <w:rsid w:val="002247DC"/>
    <w:rsid w:val="00224E52"/>
    <w:rsid w:val="0022582C"/>
    <w:rsid w:val="00225BCA"/>
    <w:rsid w:val="00225C52"/>
    <w:rsid w:val="00226DC1"/>
    <w:rsid w:val="00227E12"/>
    <w:rsid w:val="00232374"/>
    <w:rsid w:val="002326F4"/>
    <w:rsid w:val="00232868"/>
    <w:rsid w:val="002328D2"/>
    <w:rsid w:val="0023415A"/>
    <w:rsid w:val="00237481"/>
    <w:rsid w:val="00240C09"/>
    <w:rsid w:val="00240D4D"/>
    <w:rsid w:val="00242666"/>
    <w:rsid w:val="00243BC0"/>
    <w:rsid w:val="00245A60"/>
    <w:rsid w:val="00245CD4"/>
    <w:rsid w:val="00247E02"/>
    <w:rsid w:val="00251418"/>
    <w:rsid w:val="002525C2"/>
    <w:rsid w:val="002527F0"/>
    <w:rsid w:val="00252D9C"/>
    <w:rsid w:val="00252DA5"/>
    <w:rsid w:val="00255669"/>
    <w:rsid w:val="00256BEC"/>
    <w:rsid w:val="00256F0A"/>
    <w:rsid w:val="00261903"/>
    <w:rsid w:val="00261FDB"/>
    <w:rsid w:val="002634CF"/>
    <w:rsid w:val="002635C7"/>
    <w:rsid w:val="00270828"/>
    <w:rsid w:val="002725D3"/>
    <w:rsid w:val="002737D4"/>
    <w:rsid w:val="00274160"/>
    <w:rsid w:val="00274DCF"/>
    <w:rsid w:val="00275718"/>
    <w:rsid w:val="00275A32"/>
    <w:rsid w:val="002761B2"/>
    <w:rsid w:val="0027698E"/>
    <w:rsid w:val="00276CC9"/>
    <w:rsid w:val="002776B9"/>
    <w:rsid w:val="00280603"/>
    <w:rsid w:val="002852F7"/>
    <w:rsid w:val="002859C4"/>
    <w:rsid w:val="00291154"/>
    <w:rsid w:val="0029132C"/>
    <w:rsid w:val="00292D44"/>
    <w:rsid w:val="00293765"/>
    <w:rsid w:val="00293E9C"/>
    <w:rsid w:val="00295B97"/>
    <w:rsid w:val="002962DA"/>
    <w:rsid w:val="0029725F"/>
    <w:rsid w:val="002A1827"/>
    <w:rsid w:val="002A2F38"/>
    <w:rsid w:val="002A3076"/>
    <w:rsid w:val="002A417C"/>
    <w:rsid w:val="002A417D"/>
    <w:rsid w:val="002A48B1"/>
    <w:rsid w:val="002A48BC"/>
    <w:rsid w:val="002A6192"/>
    <w:rsid w:val="002A696A"/>
    <w:rsid w:val="002B0317"/>
    <w:rsid w:val="002B09A7"/>
    <w:rsid w:val="002B15F3"/>
    <w:rsid w:val="002B1961"/>
    <w:rsid w:val="002B2BA3"/>
    <w:rsid w:val="002B4E93"/>
    <w:rsid w:val="002B5031"/>
    <w:rsid w:val="002B75A5"/>
    <w:rsid w:val="002B7981"/>
    <w:rsid w:val="002B7C5C"/>
    <w:rsid w:val="002C08B8"/>
    <w:rsid w:val="002C0E2F"/>
    <w:rsid w:val="002C2466"/>
    <w:rsid w:val="002C24B9"/>
    <w:rsid w:val="002C2B80"/>
    <w:rsid w:val="002C4B6E"/>
    <w:rsid w:val="002C5F52"/>
    <w:rsid w:val="002C704D"/>
    <w:rsid w:val="002D03B9"/>
    <w:rsid w:val="002D3FFF"/>
    <w:rsid w:val="002D4382"/>
    <w:rsid w:val="002D4C38"/>
    <w:rsid w:val="002D5A51"/>
    <w:rsid w:val="002E01B5"/>
    <w:rsid w:val="002E44D6"/>
    <w:rsid w:val="002E459D"/>
    <w:rsid w:val="002E5473"/>
    <w:rsid w:val="002E62B0"/>
    <w:rsid w:val="002F0F3E"/>
    <w:rsid w:val="002F32E6"/>
    <w:rsid w:val="002F57AC"/>
    <w:rsid w:val="002F5EE1"/>
    <w:rsid w:val="002F63EB"/>
    <w:rsid w:val="00300ABA"/>
    <w:rsid w:val="0030158A"/>
    <w:rsid w:val="00302E45"/>
    <w:rsid w:val="00305834"/>
    <w:rsid w:val="00311562"/>
    <w:rsid w:val="003123CB"/>
    <w:rsid w:val="003165A9"/>
    <w:rsid w:val="0032154F"/>
    <w:rsid w:val="0032266E"/>
    <w:rsid w:val="003227CC"/>
    <w:rsid w:val="0032340F"/>
    <w:rsid w:val="00323A05"/>
    <w:rsid w:val="003262D8"/>
    <w:rsid w:val="00326919"/>
    <w:rsid w:val="00326F5F"/>
    <w:rsid w:val="00327162"/>
    <w:rsid w:val="0033099B"/>
    <w:rsid w:val="00330A97"/>
    <w:rsid w:val="00331ACB"/>
    <w:rsid w:val="00331C12"/>
    <w:rsid w:val="00333F1A"/>
    <w:rsid w:val="00334052"/>
    <w:rsid w:val="00340F46"/>
    <w:rsid w:val="003429F9"/>
    <w:rsid w:val="00342F72"/>
    <w:rsid w:val="00343E1E"/>
    <w:rsid w:val="003447C3"/>
    <w:rsid w:val="00344D4D"/>
    <w:rsid w:val="00347F9A"/>
    <w:rsid w:val="003505DD"/>
    <w:rsid w:val="00350A12"/>
    <w:rsid w:val="00350F5C"/>
    <w:rsid w:val="003512EC"/>
    <w:rsid w:val="0035145B"/>
    <w:rsid w:val="003527B4"/>
    <w:rsid w:val="00353184"/>
    <w:rsid w:val="00353D37"/>
    <w:rsid w:val="00356BAD"/>
    <w:rsid w:val="00356CCD"/>
    <w:rsid w:val="003604AE"/>
    <w:rsid w:val="00360C81"/>
    <w:rsid w:val="00361E48"/>
    <w:rsid w:val="003641AD"/>
    <w:rsid w:val="0036641A"/>
    <w:rsid w:val="00370548"/>
    <w:rsid w:val="00370CCB"/>
    <w:rsid w:val="003748B6"/>
    <w:rsid w:val="003761C7"/>
    <w:rsid w:val="00376574"/>
    <w:rsid w:val="003770B5"/>
    <w:rsid w:val="0037718B"/>
    <w:rsid w:val="003819C7"/>
    <w:rsid w:val="00386954"/>
    <w:rsid w:val="003873CF"/>
    <w:rsid w:val="00391B98"/>
    <w:rsid w:val="0039201C"/>
    <w:rsid w:val="00394949"/>
    <w:rsid w:val="00395070"/>
    <w:rsid w:val="00395762"/>
    <w:rsid w:val="00396061"/>
    <w:rsid w:val="003965BB"/>
    <w:rsid w:val="00396CC5"/>
    <w:rsid w:val="003A0DB7"/>
    <w:rsid w:val="003A2251"/>
    <w:rsid w:val="003A37C0"/>
    <w:rsid w:val="003A7071"/>
    <w:rsid w:val="003B0516"/>
    <w:rsid w:val="003B2007"/>
    <w:rsid w:val="003B3C5F"/>
    <w:rsid w:val="003B3D68"/>
    <w:rsid w:val="003B6100"/>
    <w:rsid w:val="003B6760"/>
    <w:rsid w:val="003C07C5"/>
    <w:rsid w:val="003C0E5B"/>
    <w:rsid w:val="003C0FF2"/>
    <w:rsid w:val="003C179C"/>
    <w:rsid w:val="003C2647"/>
    <w:rsid w:val="003C3F66"/>
    <w:rsid w:val="003C4172"/>
    <w:rsid w:val="003C4D5B"/>
    <w:rsid w:val="003C5614"/>
    <w:rsid w:val="003C5C25"/>
    <w:rsid w:val="003C7843"/>
    <w:rsid w:val="003D33F7"/>
    <w:rsid w:val="003D4576"/>
    <w:rsid w:val="003D4F68"/>
    <w:rsid w:val="003D5339"/>
    <w:rsid w:val="003D5625"/>
    <w:rsid w:val="003D57BD"/>
    <w:rsid w:val="003D76E2"/>
    <w:rsid w:val="003D7B91"/>
    <w:rsid w:val="003E15E3"/>
    <w:rsid w:val="003E2757"/>
    <w:rsid w:val="003E5137"/>
    <w:rsid w:val="003E60EC"/>
    <w:rsid w:val="003E674F"/>
    <w:rsid w:val="003E692C"/>
    <w:rsid w:val="003F0013"/>
    <w:rsid w:val="003F0159"/>
    <w:rsid w:val="003F0594"/>
    <w:rsid w:val="003F17D6"/>
    <w:rsid w:val="003F240C"/>
    <w:rsid w:val="003F2D36"/>
    <w:rsid w:val="003F437F"/>
    <w:rsid w:val="003F510A"/>
    <w:rsid w:val="003F549A"/>
    <w:rsid w:val="003F6382"/>
    <w:rsid w:val="003F78A9"/>
    <w:rsid w:val="0040019C"/>
    <w:rsid w:val="00400A1F"/>
    <w:rsid w:val="00402A19"/>
    <w:rsid w:val="00403406"/>
    <w:rsid w:val="004047A6"/>
    <w:rsid w:val="004047B1"/>
    <w:rsid w:val="00405802"/>
    <w:rsid w:val="00405FD9"/>
    <w:rsid w:val="0040654F"/>
    <w:rsid w:val="004068A5"/>
    <w:rsid w:val="00406DDB"/>
    <w:rsid w:val="00407760"/>
    <w:rsid w:val="004109E7"/>
    <w:rsid w:val="00412C56"/>
    <w:rsid w:val="00413EA0"/>
    <w:rsid w:val="004146D0"/>
    <w:rsid w:val="0041498C"/>
    <w:rsid w:val="00415CFC"/>
    <w:rsid w:val="00420A3B"/>
    <w:rsid w:val="00426B8F"/>
    <w:rsid w:val="00426ECD"/>
    <w:rsid w:val="00427161"/>
    <w:rsid w:val="004305AF"/>
    <w:rsid w:val="004331B4"/>
    <w:rsid w:val="004412D5"/>
    <w:rsid w:val="004415E2"/>
    <w:rsid w:val="00441E45"/>
    <w:rsid w:val="004429E2"/>
    <w:rsid w:val="00444114"/>
    <w:rsid w:val="004442D3"/>
    <w:rsid w:val="00447339"/>
    <w:rsid w:val="00447EE5"/>
    <w:rsid w:val="00450E5A"/>
    <w:rsid w:val="004511AE"/>
    <w:rsid w:val="0045193E"/>
    <w:rsid w:val="00455312"/>
    <w:rsid w:val="00456E3C"/>
    <w:rsid w:val="00461AB2"/>
    <w:rsid w:val="00462B31"/>
    <w:rsid w:val="00462FB3"/>
    <w:rsid w:val="00463300"/>
    <w:rsid w:val="00463D55"/>
    <w:rsid w:val="004646AF"/>
    <w:rsid w:val="00464E60"/>
    <w:rsid w:val="00465427"/>
    <w:rsid w:val="004656EF"/>
    <w:rsid w:val="0046592D"/>
    <w:rsid w:val="0046631E"/>
    <w:rsid w:val="00467BE4"/>
    <w:rsid w:val="00470719"/>
    <w:rsid w:val="00472A79"/>
    <w:rsid w:val="00472ACA"/>
    <w:rsid w:val="00472E72"/>
    <w:rsid w:val="004734C7"/>
    <w:rsid w:val="004755C3"/>
    <w:rsid w:val="0047677D"/>
    <w:rsid w:val="00477361"/>
    <w:rsid w:val="00477E0A"/>
    <w:rsid w:val="00480DF5"/>
    <w:rsid w:val="00482F34"/>
    <w:rsid w:val="00485EA6"/>
    <w:rsid w:val="004904F9"/>
    <w:rsid w:val="00492ED3"/>
    <w:rsid w:val="0049347F"/>
    <w:rsid w:val="00495110"/>
    <w:rsid w:val="004955DA"/>
    <w:rsid w:val="004971E8"/>
    <w:rsid w:val="004A3CBD"/>
    <w:rsid w:val="004A46D9"/>
    <w:rsid w:val="004A5CD7"/>
    <w:rsid w:val="004A688A"/>
    <w:rsid w:val="004B2250"/>
    <w:rsid w:val="004B344F"/>
    <w:rsid w:val="004B4150"/>
    <w:rsid w:val="004B7248"/>
    <w:rsid w:val="004B72DD"/>
    <w:rsid w:val="004C0C1D"/>
    <w:rsid w:val="004C1E12"/>
    <w:rsid w:val="004C2872"/>
    <w:rsid w:val="004C3902"/>
    <w:rsid w:val="004C40E4"/>
    <w:rsid w:val="004C583B"/>
    <w:rsid w:val="004D09EB"/>
    <w:rsid w:val="004D2E64"/>
    <w:rsid w:val="004D3E27"/>
    <w:rsid w:val="004D65FF"/>
    <w:rsid w:val="004D7AC0"/>
    <w:rsid w:val="004E0C44"/>
    <w:rsid w:val="004E114D"/>
    <w:rsid w:val="004E1AA1"/>
    <w:rsid w:val="004E3304"/>
    <w:rsid w:val="004E5DC9"/>
    <w:rsid w:val="004F2430"/>
    <w:rsid w:val="004F271C"/>
    <w:rsid w:val="004F29AD"/>
    <w:rsid w:val="004F32CD"/>
    <w:rsid w:val="004F68A8"/>
    <w:rsid w:val="00500031"/>
    <w:rsid w:val="00501036"/>
    <w:rsid w:val="00502B04"/>
    <w:rsid w:val="00502C82"/>
    <w:rsid w:val="005030F7"/>
    <w:rsid w:val="00504D3B"/>
    <w:rsid w:val="0050513B"/>
    <w:rsid w:val="00505C07"/>
    <w:rsid w:val="00507FBD"/>
    <w:rsid w:val="00510903"/>
    <w:rsid w:val="0051658B"/>
    <w:rsid w:val="00516FB9"/>
    <w:rsid w:val="00520B85"/>
    <w:rsid w:val="005214D2"/>
    <w:rsid w:val="005224FE"/>
    <w:rsid w:val="005232B5"/>
    <w:rsid w:val="00530644"/>
    <w:rsid w:val="005318CD"/>
    <w:rsid w:val="00531E0B"/>
    <w:rsid w:val="00533AA9"/>
    <w:rsid w:val="00533BF2"/>
    <w:rsid w:val="0053502B"/>
    <w:rsid w:val="0054010D"/>
    <w:rsid w:val="005414B4"/>
    <w:rsid w:val="00542A74"/>
    <w:rsid w:val="00542C6F"/>
    <w:rsid w:val="005445DD"/>
    <w:rsid w:val="005463FF"/>
    <w:rsid w:val="00546842"/>
    <w:rsid w:val="00546B94"/>
    <w:rsid w:val="005475DA"/>
    <w:rsid w:val="00550800"/>
    <w:rsid w:val="0055106D"/>
    <w:rsid w:val="00552022"/>
    <w:rsid w:val="005522C8"/>
    <w:rsid w:val="00554499"/>
    <w:rsid w:val="00555A39"/>
    <w:rsid w:val="005563A9"/>
    <w:rsid w:val="00560174"/>
    <w:rsid w:val="00564924"/>
    <w:rsid w:val="00564B9E"/>
    <w:rsid w:val="0056552C"/>
    <w:rsid w:val="00565C6E"/>
    <w:rsid w:val="00566919"/>
    <w:rsid w:val="00570DDC"/>
    <w:rsid w:val="00571FEB"/>
    <w:rsid w:val="00575217"/>
    <w:rsid w:val="00577672"/>
    <w:rsid w:val="00582A42"/>
    <w:rsid w:val="00584D91"/>
    <w:rsid w:val="00585857"/>
    <w:rsid w:val="0058593B"/>
    <w:rsid w:val="0058593F"/>
    <w:rsid w:val="00586B4B"/>
    <w:rsid w:val="00590BDD"/>
    <w:rsid w:val="00593F1B"/>
    <w:rsid w:val="00594140"/>
    <w:rsid w:val="005941E3"/>
    <w:rsid w:val="0059647B"/>
    <w:rsid w:val="005A1FA3"/>
    <w:rsid w:val="005A297E"/>
    <w:rsid w:val="005A3DF8"/>
    <w:rsid w:val="005A3E6D"/>
    <w:rsid w:val="005A4ABB"/>
    <w:rsid w:val="005A67F3"/>
    <w:rsid w:val="005A6946"/>
    <w:rsid w:val="005A755F"/>
    <w:rsid w:val="005A7D66"/>
    <w:rsid w:val="005B0E27"/>
    <w:rsid w:val="005B3012"/>
    <w:rsid w:val="005B5038"/>
    <w:rsid w:val="005B6007"/>
    <w:rsid w:val="005C0363"/>
    <w:rsid w:val="005C0454"/>
    <w:rsid w:val="005C078D"/>
    <w:rsid w:val="005C6297"/>
    <w:rsid w:val="005C63F8"/>
    <w:rsid w:val="005C7C47"/>
    <w:rsid w:val="005D326D"/>
    <w:rsid w:val="005D55F5"/>
    <w:rsid w:val="005D621C"/>
    <w:rsid w:val="005D6E4D"/>
    <w:rsid w:val="005D76AC"/>
    <w:rsid w:val="005D7939"/>
    <w:rsid w:val="005E23CD"/>
    <w:rsid w:val="005E2C02"/>
    <w:rsid w:val="005E3426"/>
    <w:rsid w:val="005E547D"/>
    <w:rsid w:val="005E56F3"/>
    <w:rsid w:val="005E682E"/>
    <w:rsid w:val="005E764B"/>
    <w:rsid w:val="005E7FD6"/>
    <w:rsid w:val="005F1C0F"/>
    <w:rsid w:val="005F2E1D"/>
    <w:rsid w:val="005F4FFC"/>
    <w:rsid w:val="005F5847"/>
    <w:rsid w:val="005F6816"/>
    <w:rsid w:val="005F78D7"/>
    <w:rsid w:val="005F7E48"/>
    <w:rsid w:val="00600511"/>
    <w:rsid w:val="00600A25"/>
    <w:rsid w:val="00600C92"/>
    <w:rsid w:val="00601E6B"/>
    <w:rsid w:val="00602107"/>
    <w:rsid w:val="006025C9"/>
    <w:rsid w:val="00604D64"/>
    <w:rsid w:val="00607A25"/>
    <w:rsid w:val="00607F17"/>
    <w:rsid w:val="006119BD"/>
    <w:rsid w:val="00612458"/>
    <w:rsid w:val="006125A8"/>
    <w:rsid w:val="00613467"/>
    <w:rsid w:val="0061692F"/>
    <w:rsid w:val="0061753E"/>
    <w:rsid w:val="006178CC"/>
    <w:rsid w:val="0062050F"/>
    <w:rsid w:val="00621329"/>
    <w:rsid w:val="0062138E"/>
    <w:rsid w:val="00622822"/>
    <w:rsid w:val="00623469"/>
    <w:rsid w:val="00624785"/>
    <w:rsid w:val="006262F2"/>
    <w:rsid w:val="00627B8F"/>
    <w:rsid w:val="00627D71"/>
    <w:rsid w:val="00630047"/>
    <w:rsid w:val="0063079B"/>
    <w:rsid w:val="00630928"/>
    <w:rsid w:val="00631509"/>
    <w:rsid w:val="00632139"/>
    <w:rsid w:val="0063245C"/>
    <w:rsid w:val="006324DA"/>
    <w:rsid w:val="006334BE"/>
    <w:rsid w:val="00637F76"/>
    <w:rsid w:val="00640656"/>
    <w:rsid w:val="00640E92"/>
    <w:rsid w:val="00641262"/>
    <w:rsid w:val="006432CF"/>
    <w:rsid w:val="0064343F"/>
    <w:rsid w:val="00645723"/>
    <w:rsid w:val="00647FEA"/>
    <w:rsid w:val="00650972"/>
    <w:rsid w:val="00650DB1"/>
    <w:rsid w:val="0065109B"/>
    <w:rsid w:val="006549AE"/>
    <w:rsid w:val="006568C8"/>
    <w:rsid w:val="006604D8"/>
    <w:rsid w:val="00661542"/>
    <w:rsid w:val="00662436"/>
    <w:rsid w:val="00662475"/>
    <w:rsid w:val="00662D95"/>
    <w:rsid w:val="0066408C"/>
    <w:rsid w:val="006669FA"/>
    <w:rsid w:val="00666A72"/>
    <w:rsid w:val="00670347"/>
    <w:rsid w:val="0067337A"/>
    <w:rsid w:val="006749D4"/>
    <w:rsid w:val="00675177"/>
    <w:rsid w:val="00675C3E"/>
    <w:rsid w:val="00676CBB"/>
    <w:rsid w:val="00677979"/>
    <w:rsid w:val="00681B23"/>
    <w:rsid w:val="0068241A"/>
    <w:rsid w:val="00682BBF"/>
    <w:rsid w:val="0068439A"/>
    <w:rsid w:val="006849A6"/>
    <w:rsid w:val="00685937"/>
    <w:rsid w:val="00687C49"/>
    <w:rsid w:val="0069051C"/>
    <w:rsid w:val="00691253"/>
    <w:rsid w:val="00691356"/>
    <w:rsid w:val="0069379F"/>
    <w:rsid w:val="00693DE6"/>
    <w:rsid w:val="00695E6A"/>
    <w:rsid w:val="006967AE"/>
    <w:rsid w:val="00697BC4"/>
    <w:rsid w:val="006A08B9"/>
    <w:rsid w:val="006A1317"/>
    <w:rsid w:val="006A3A88"/>
    <w:rsid w:val="006A42C1"/>
    <w:rsid w:val="006A5764"/>
    <w:rsid w:val="006A5AA8"/>
    <w:rsid w:val="006A66F5"/>
    <w:rsid w:val="006A6FE4"/>
    <w:rsid w:val="006A7FB4"/>
    <w:rsid w:val="006B106B"/>
    <w:rsid w:val="006B265F"/>
    <w:rsid w:val="006B6D88"/>
    <w:rsid w:val="006C1160"/>
    <w:rsid w:val="006C2EB9"/>
    <w:rsid w:val="006C4311"/>
    <w:rsid w:val="006C4ED2"/>
    <w:rsid w:val="006D1EA4"/>
    <w:rsid w:val="006D32E3"/>
    <w:rsid w:val="006D3C90"/>
    <w:rsid w:val="006D4847"/>
    <w:rsid w:val="006D6086"/>
    <w:rsid w:val="006E0BCE"/>
    <w:rsid w:val="006E0E88"/>
    <w:rsid w:val="006E3078"/>
    <w:rsid w:val="006E3F60"/>
    <w:rsid w:val="006E4430"/>
    <w:rsid w:val="006E6434"/>
    <w:rsid w:val="006F04AD"/>
    <w:rsid w:val="006F1B2E"/>
    <w:rsid w:val="006F2BFD"/>
    <w:rsid w:val="006F31A0"/>
    <w:rsid w:val="006F3409"/>
    <w:rsid w:val="006F598E"/>
    <w:rsid w:val="006F62F8"/>
    <w:rsid w:val="00700030"/>
    <w:rsid w:val="00701076"/>
    <w:rsid w:val="00701CBA"/>
    <w:rsid w:val="007037CE"/>
    <w:rsid w:val="00704442"/>
    <w:rsid w:val="00704C1E"/>
    <w:rsid w:val="00705674"/>
    <w:rsid w:val="00705DFB"/>
    <w:rsid w:val="0070677E"/>
    <w:rsid w:val="007105B2"/>
    <w:rsid w:val="007150C5"/>
    <w:rsid w:val="00715A60"/>
    <w:rsid w:val="007179BC"/>
    <w:rsid w:val="00720D22"/>
    <w:rsid w:val="00721342"/>
    <w:rsid w:val="00721386"/>
    <w:rsid w:val="00721B7D"/>
    <w:rsid w:val="00724D6D"/>
    <w:rsid w:val="00727B0D"/>
    <w:rsid w:val="007327CD"/>
    <w:rsid w:val="00732CC4"/>
    <w:rsid w:val="00733A55"/>
    <w:rsid w:val="00734181"/>
    <w:rsid w:val="00735256"/>
    <w:rsid w:val="00737766"/>
    <w:rsid w:val="007425D2"/>
    <w:rsid w:val="0074379C"/>
    <w:rsid w:val="00745EAA"/>
    <w:rsid w:val="00746B35"/>
    <w:rsid w:val="007473E6"/>
    <w:rsid w:val="00750BF7"/>
    <w:rsid w:val="00751D4A"/>
    <w:rsid w:val="007521F2"/>
    <w:rsid w:val="0075250B"/>
    <w:rsid w:val="00753F2A"/>
    <w:rsid w:val="00754DC5"/>
    <w:rsid w:val="00754E93"/>
    <w:rsid w:val="0075541F"/>
    <w:rsid w:val="00756F3D"/>
    <w:rsid w:val="00760B02"/>
    <w:rsid w:val="00760C0A"/>
    <w:rsid w:val="0076429F"/>
    <w:rsid w:val="00765C4F"/>
    <w:rsid w:val="00766B65"/>
    <w:rsid w:val="0076753A"/>
    <w:rsid w:val="00771110"/>
    <w:rsid w:val="007717CB"/>
    <w:rsid w:val="00772F61"/>
    <w:rsid w:val="00775FDA"/>
    <w:rsid w:val="0077736D"/>
    <w:rsid w:val="0077792F"/>
    <w:rsid w:val="007818B3"/>
    <w:rsid w:val="00781B32"/>
    <w:rsid w:val="007830DD"/>
    <w:rsid w:val="007833BB"/>
    <w:rsid w:val="00785F4A"/>
    <w:rsid w:val="00791A8F"/>
    <w:rsid w:val="00794BA0"/>
    <w:rsid w:val="00796F98"/>
    <w:rsid w:val="00797232"/>
    <w:rsid w:val="00797F54"/>
    <w:rsid w:val="007A0970"/>
    <w:rsid w:val="007A1548"/>
    <w:rsid w:val="007A4F58"/>
    <w:rsid w:val="007B21C5"/>
    <w:rsid w:val="007B231B"/>
    <w:rsid w:val="007B4C34"/>
    <w:rsid w:val="007B4C38"/>
    <w:rsid w:val="007B4EBE"/>
    <w:rsid w:val="007B76EB"/>
    <w:rsid w:val="007B7C40"/>
    <w:rsid w:val="007C11A7"/>
    <w:rsid w:val="007C2536"/>
    <w:rsid w:val="007C58EF"/>
    <w:rsid w:val="007C72B5"/>
    <w:rsid w:val="007C76FF"/>
    <w:rsid w:val="007C7CE2"/>
    <w:rsid w:val="007D1564"/>
    <w:rsid w:val="007D2E29"/>
    <w:rsid w:val="007D42D1"/>
    <w:rsid w:val="007D5174"/>
    <w:rsid w:val="007D5F7F"/>
    <w:rsid w:val="007D7F66"/>
    <w:rsid w:val="007E0A57"/>
    <w:rsid w:val="007E0CE8"/>
    <w:rsid w:val="007E3FFA"/>
    <w:rsid w:val="007E421A"/>
    <w:rsid w:val="007E58E2"/>
    <w:rsid w:val="007E5A06"/>
    <w:rsid w:val="007E682E"/>
    <w:rsid w:val="007E70D2"/>
    <w:rsid w:val="007E7A4F"/>
    <w:rsid w:val="007E7DE3"/>
    <w:rsid w:val="007F0BB7"/>
    <w:rsid w:val="007F1BDF"/>
    <w:rsid w:val="007F1F20"/>
    <w:rsid w:val="007F2119"/>
    <w:rsid w:val="007F211C"/>
    <w:rsid w:val="007F292F"/>
    <w:rsid w:val="007F68CA"/>
    <w:rsid w:val="007F6922"/>
    <w:rsid w:val="007F7DBA"/>
    <w:rsid w:val="00802A53"/>
    <w:rsid w:val="00804736"/>
    <w:rsid w:val="0080501D"/>
    <w:rsid w:val="00806BBC"/>
    <w:rsid w:val="0080771B"/>
    <w:rsid w:val="00807FBF"/>
    <w:rsid w:val="008102E2"/>
    <w:rsid w:val="008103DE"/>
    <w:rsid w:val="00812594"/>
    <w:rsid w:val="00813A00"/>
    <w:rsid w:val="00813C58"/>
    <w:rsid w:val="00814E33"/>
    <w:rsid w:val="008159E1"/>
    <w:rsid w:val="00816A45"/>
    <w:rsid w:val="008172B0"/>
    <w:rsid w:val="00821220"/>
    <w:rsid w:val="00822289"/>
    <w:rsid w:val="00822ED8"/>
    <w:rsid w:val="0082354F"/>
    <w:rsid w:val="00824647"/>
    <w:rsid w:val="00824DCF"/>
    <w:rsid w:val="0082509A"/>
    <w:rsid w:val="00825787"/>
    <w:rsid w:val="00827B0E"/>
    <w:rsid w:val="008327B1"/>
    <w:rsid w:val="00832A5A"/>
    <w:rsid w:val="00833E27"/>
    <w:rsid w:val="00835925"/>
    <w:rsid w:val="00836740"/>
    <w:rsid w:val="00841374"/>
    <w:rsid w:val="0084226D"/>
    <w:rsid w:val="00842465"/>
    <w:rsid w:val="00842BDD"/>
    <w:rsid w:val="00842C71"/>
    <w:rsid w:val="00844B87"/>
    <w:rsid w:val="00845AE2"/>
    <w:rsid w:val="00847288"/>
    <w:rsid w:val="0084732A"/>
    <w:rsid w:val="00847B19"/>
    <w:rsid w:val="00850767"/>
    <w:rsid w:val="0085096C"/>
    <w:rsid w:val="00854D9C"/>
    <w:rsid w:val="00855196"/>
    <w:rsid w:val="00855772"/>
    <w:rsid w:val="00855F0B"/>
    <w:rsid w:val="0085737F"/>
    <w:rsid w:val="0086045C"/>
    <w:rsid w:val="008608BA"/>
    <w:rsid w:val="00861942"/>
    <w:rsid w:val="00862DC9"/>
    <w:rsid w:val="0086458A"/>
    <w:rsid w:val="00866533"/>
    <w:rsid w:val="00871481"/>
    <w:rsid w:val="008737C0"/>
    <w:rsid w:val="00873B93"/>
    <w:rsid w:val="008745F7"/>
    <w:rsid w:val="00875906"/>
    <w:rsid w:val="00877DC5"/>
    <w:rsid w:val="00881288"/>
    <w:rsid w:val="00881E9B"/>
    <w:rsid w:val="0088219D"/>
    <w:rsid w:val="00882D7E"/>
    <w:rsid w:val="00883682"/>
    <w:rsid w:val="0088465F"/>
    <w:rsid w:val="00884879"/>
    <w:rsid w:val="008854AE"/>
    <w:rsid w:val="00886448"/>
    <w:rsid w:val="008866A5"/>
    <w:rsid w:val="00891F6E"/>
    <w:rsid w:val="008927A3"/>
    <w:rsid w:val="00892C1A"/>
    <w:rsid w:val="0089333A"/>
    <w:rsid w:val="008944AD"/>
    <w:rsid w:val="008946BF"/>
    <w:rsid w:val="00895C48"/>
    <w:rsid w:val="008968EE"/>
    <w:rsid w:val="00896F71"/>
    <w:rsid w:val="008A0B15"/>
    <w:rsid w:val="008A0C54"/>
    <w:rsid w:val="008A0E09"/>
    <w:rsid w:val="008A4B7D"/>
    <w:rsid w:val="008A4C14"/>
    <w:rsid w:val="008A6537"/>
    <w:rsid w:val="008A7B98"/>
    <w:rsid w:val="008B2544"/>
    <w:rsid w:val="008B26C6"/>
    <w:rsid w:val="008B2708"/>
    <w:rsid w:val="008B4283"/>
    <w:rsid w:val="008B47C5"/>
    <w:rsid w:val="008B66DD"/>
    <w:rsid w:val="008B7198"/>
    <w:rsid w:val="008B72DD"/>
    <w:rsid w:val="008C18DE"/>
    <w:rsid w:val="008C3E09"/>
    <w:rsid w:val="008C4FD1"/>
    <w:rsid w:val="008C5DFD"/>
    <w:rsid w:val="008D2131"/>
    <w:rsid w:val="008D5168"/>
    <w:rsid w:val="008D5213"/>
    <w:rsid w:val="008D6032"/>
    <w:rsid w:val="008E0C2F"/>
    <w:rsid w:val="008E2A59"/>
    <w:rsid w:val="008E2CDD"/>
    <w:rsid w:val="008E4427"/>
    <w:rsid w:val="008E499D"/>
    <w:rsid w:val="008E5076"/>
    <w:rsid w:val="008E639A"/>
    <w:rsid w:val="008E679C"/>
    <w:rsid w:val="008E7C2A"/>
    <w:rsid w:val="008F1627"/>
    <w:rsid w:val="008F2744"/>
    <w:rsid w:val="008F54DF"/>
    <w:rsid w:val="008F6A2D"/>
    <w:rsid w:val="00900BFC"/>
    <w:rsid w:val="009011ED"/>
    <w:rsid w:val="00901C97"/>
    <w:rsid w:val="009042F3"/>
    <w:rsid w:val="009049FC"/>
    <w:rsid w:val="00906550"/>
    <w:rsid w:val="009103B0"/>
    <w:rsid w:val="009109F5"/>
    <w:rsid w:val="009113FB"/>
    <w:rsid w:val="00911804"/>
    <w:rsid w:val="00912E0E"/>
    <w:rsid w:val="00912F6B"/>
    <w:rsid w:val="009134F0"/>
    <w:rsid w:val="00914265"/>
    <w:rsid w:val="009150E9"/>
    <w:rsid w:val="009173E7"/>
    <w:rsid w:val="009177FF"/>
    <w:rsid w:val="00921C81"/>
    <w:rsid w:val="00923439"/>
    <w:rsid w:val="00931577"/>
    <w:rsid w:val="00931584"/>
    <w:rsid w:val="00934472"/>
    <w:rsid w:val="009357C2"/>
    <w:rsid w:val="00942238"/>
    <w:rsid w:val="00944A54"/>
    <w:rsid w:val="0094733C"/>
    <w:rsid w:val="009476EF"/>
    <w:rsid w:val="00947E08"/>
    <w:rsid w:val="0095386D"/>
    <w:rsid w:val="0095396D"/>
    <w:rsid w:val="00957B83"/>
    <w:rsid w:val="0096099A"/>
    <w:rsid w:val="00961956"/>
    <w:rsid w:val="00961F3C"/>
    <w:rsid w:val="00964DE8"/>
    <w:rsid w:val="0096721E"/>
    <w:rsid w:val="00967517"/>
    <w:rsid w:val="00970971"/>
    <w:rsid w:val="00971495"/>
    <w:rsid w:val="009744BD"/>
    <w:rsid w:val="00974EE4"/>
    <w:rsid w:val="0097659B"/>
    <w:rsid w:val="00986C7F"/>
    <w:rsid w:val="00987507"/>
    <w:rsid w:val="009954A1"/>
    <w:rsid w:val="009960A0"/>
    <w:rsid w:val="009A1B51"/>
    <w:rsid w:val="009A3E0E"/>
    <w:rsid w:val="009A6D65"/>
    <w:rsid w:val="009A7B62"/>
    <w:rsid w:val="009B0CDF"/>
    <w:rsid w:val="009B0E36"/>
    <w:rsid w:val="009B2ADD"/>
    <w:rsid w:val="009B2FE9"/>
    <w:rsid w:val="009B37E5"/>
    <w:rsid w:val="009B4A5B"/>
    <w:rsid w:val="009B5944"/>
    <w:rsid w:val="009B6043"/>
    <w:rsid w:val="009B6B5D"/>
    <w:rsid w:val="009B70E7"/>
    <w:rsid w:val="009B72AB"/>
    <w:rsid w:val="009C1329"/>
    <w:rsid w:val="009C4996"/>
    <w:rsid w:val="009C513E"/>
    <w:rsid w:val="009C574C"/>
    <w:rsid w:val="009C75E4"/>
    <w:rsid w:val="009D07F4"/>
    <w:rsid w:val="009D1CA2"/>
    <w:rsid w:val="009D2CD0"/>
    <w:rsid w:val="009D388E"/>
    <w:rsid w:val="009D5CC6"/>
    <w:rsid w:val="009D5F27"/>
    <w:rsid w:val="009D6A81"/>
    <w:rsid w:val="009E03F3"/>
    <w:rsid w:val="009E4E92"/>
    <w:rsid w:val="009E6BA2"/>
    <w:rsid w:val="009E70A3"/>
    <w:rsid w:val="009E7942"/>
    <w:rsid w:val="009E7E30"/>
    <w:rsid w:val="009F09BE"/>
    <w:rsid w:val="009F1CFA"/>
    <w:rsid w:val="009F300A"/>
    <w:rsid w:val="009F3768"/>
    <w:rsid w:val="009F39C6"/>
    <w:rsid w:val="009F3BC5"/>
    <w:rsid w:val="009F4EF7"/>
    <w:rsid w:val="009F5F78"/>
    <w:rsid w:val="009F6227"/>
    <w:rsid w:val="009F706B"/>
    <w:rsid w:val="009F7EDF"/>
    <w:rsid w:val="00A00F37"/>
    <w:rsid w:val="00A01DB8"/>
    <w:rsid w:val="00A0410F"/>
    <w:rsid w:val="00A048E9"/>
    <w:rsid w:val="00A049D5"/>
    <w:rsid w:val="00A06E9E"/>
    <w:rsid w:val="00A1036D"/>
    <w:rsid w:val="00A10A98"/>
    <w:rsid w:val="00A10C1C"/>
    <w:rsid w:val="00A11AB2"/>
    <w:rsid w:val="00A13493"/>
    <w:rsid w:val="00A13A09"/>
    <w:rsid w:val="00A2086E"/>
    <w:rsid w:val="00A20E9D"/>
    <w:rsid w:val="00A2120F"/>
    <w:rsid w:val="00A23F52"/>
    <w:rsid w:val="00A24264"/>
    <w:rsid w:val="00A26217"/>
    <w:rsid w:val="00A30792"/>
    <w:rsid w:val="00A30B84"/>
    <w:rsid w:val="00A31DC8"/>
    <w:rsid w:val="00A3344B"/>
    <w:rsid w:val="00A33664"/>
    <w:rsid w:val="00A35436"/>
    <w:rsid w:val="00A367AA"/>
    <w:rsid w:val="00A37880"/>
    <w:rsid w:val="00A400BF"/>
    <w:rsid w:val="00A43CE0"/>
    <w:rsid w:val="00A45B92"/>
    <w:rsid w:val="00A45EC3"/>
    <w:rsid w:val="00A46122"/>
    <w:rsid w:val="00A47CF5"/>
    <w:rsid w:val="00A5032A"/>
    <w:rsid w:val="00A51F03"/>
    <w:rsid w:val="00A51F67"/>
    <w:rsid w:val="00A522D4"/>
    <w:rsid w:val="00A5507B"/>
    <w:rsid w:val="00A61524"/>
    <w:rsid w:val="00A62F57"/>
    <w:rsid w:val="00A63413"/>
    <w:rsid w:val="00A6488B"/>
    <w:rsid w:val="00A6556C"/>
    <w:rsid w:val="00A659B5"/>
    <w:rsid w:val="00A65A66"/>
    <w:rsid w:val="00A661BB"/>
    <w:rsid w:val="00A70D6E"/>
    <w:rsid w:val="00A720CF"/>
    <w:rsid w:val="00A72B07"/>
    <w:rsid w:val="00A73D4A"/>
    <w:rsid w:val="00A743EB"/>
    <w:rsid w:val="00A74B4C"/>
    <w:rsid w:val="00A763E7"/>
    <w:rsid w:val="00A77796"/>
    <w:rsid w:val="00A8271E"/>
    <w:rsid w:val="00A827D2"/>
    <w:rsid w:val="00A847C3"/>
    <w:rsid w:val="00A86128"/>
    <w:rsid w:val="00A86E2C"/>
    <w:rsid w:val="00A93DC3"/>
    <w:rsid w:val="00A9462E"/>
    <w:rsid w:val="00A94E45"/>
    <w:rsid w:val="00A950A5"/>
    <w:rsid w:val="00AA05F8"/>
    <w:rsid w:val="00AA22BE"/>
    <w:rsid w:val="00AA5C1D"/>
    <w:rsid w:val="00AA5C61"/>
    <w:rsid w:val="00AA6795"/>
    <w:rsid w:val="00AA69BF"/>
    <w:rsid w:val="00AA7DA3"/>
    <w:rsid w:val="00AB0B18"/>
    <w:rsid w:val="00AB0B62"/>
    <w:rsid w:val="00AB192A"/>
    <w:rsid w:val="00AB20C0"/>
    <w:rsid w:val="00AB3045"/>
    <w:rsid w:val="00AB416F"/>
    <w:rsid w:val="00AB4300"/>
    <w:rsid w:val="00AB4D68"/>
    <w:rsid w:val="00AB4FD0"/>
    <w:rsid w:val="00AB5E6A"/>
    <w:rsid w:val="00AB72EB"/>
    <w:rsid w:val="00AC0EBD"/>
    <w:rsid w:val="00AC1E71"/>
    <w:rsid w:val="00AC567A"/>
    <w:rsid w:val="00AC6D50"/>
    <w:rsid w:val="00AC7690"/>
    <w:rsid w:val="00AC76CE"/>
    <w:rsid w:val="00AD1524"/>
    <w:rsid w:val="00AD37AD"/>
    <w:rsid w:val="00AD3DB1"/>
    <w:rsid w:val="00AD4AF8"/>
    <w:rsid w:val="00AD584C"/>
    <w:rsid w:val="00AD6708"/>
    <w:rsid w:val="00AD75EB"/>
    <w:rsid w:val="00AD762D"/>
    <w:rsid w:val="00AE0239"/>
    <w:rsid w:val="00AE0A52"/>
    <w:rsid w:val="00AE0E0E"/>
    <w:rsid w:val="00AE2E3C"/>
    <w:rsid w:val="00AE4F16"/>
    <w:rsid w:val="00AF07E3"/>
    <w:rsid w:val="00AF10D4"/>
    <w:rsid w:val="00AF1233"/>
    <w:rsid w:val="00AF1A9F"/>
    <w:rsid w:val="00AF27D5"/>
    <w:rsid w:val="00AF2C37"/>
    <w:rsid w:val="00AF45AD"/>
    <w:rsid w:val="00AF4F10"/>
    <w:rsid w:val="00AF5A72"/>
    <w:rsid w:val="00B00DCF"/>
    <w:rsid w:val="00B0229E"/>
    <w:rsid w:val="00B02467"/>
    <w:rsid w:val="00B06EFC"/>
    <w:rsid w:val="00B0753C"/>
    <w:rsid w:val="00B10582"/>
    <w:rsid w:val="00B10934"/>
    <w:rsid w:val="00B11496"/>
    <w:rsid w:val="00B11964"/>
    <w:rsid w:val="00B12489"/>
    <w:rsid w:val="00B13B9C"/>
    <w:rsid w:val="00B1403C"/>
    <w:rsid w:val="00B15AA5"/>
    <w:rsid w:val="00B16284"/>
    <w:rsid w:val="00B1647B"/>
    <w:rsid w:val="00B2309B"/>
    <w:rsid w:val="00B23BBB"/>
    <w:rsid w:val="00B24B60"/>
    <w:rsid w:val="00B24C28"/>
    <w:rsid w:val="00B253A1"/>
    <w:rsid w:val="00B2754C"/>
    <w:rsid w:val="00B27E17"/>
    <w:rsid w:val="00B30118"/>
    <w:rsid w:val="00B31461"/>
    <w:rsid w:val="00B31929"/>
    <w:rsid w:val="00B3199A"/>
    <w:rsid w:val="00B31B33"/>
    <w:rsid w:val="00B339AC"/>
    <w:rsid w:val="00B34E93"/>
    <w:rsid w:val="00B35908"/>
    <w:rsid w:val="00B371BD"/>
    <w:rsid w:val="00B40093"/>
    <w:rsid w:val="00B40158"/>
    <w:rsid w:val="00B41E79"/>
    <w:rsid w:val="00B42E2F"/>
    <w:rsid w:val="00B42F7B"/>
    <w:rsid w:val="00B4330A"/>
    <w:rsid w:val="00B44B44"/>
    <w:rsid w:val="00B44BB9"/>
    <w:rsid w:val="00B44E37"/>
    <w:rsid w:val="00B4522B"/>
    <w:rsid w:val="00B50FAE"/>
    <w:rsid w:val="00B51AF6"/>
    <w:rsid w:val="00B51B20"/>
    <w:rsid w:val="00B51EBC"/>
    <w:rsid w:val="00B5317E"/>
    <w:rsid w:val="00B53791"/>
    <w:rsid w:val="00B539C0"/>
    <w:rsid w:val="00B53E01"/>
    <w:rsid w:val="00B54D49"/>
    <w:rsid w:val="00B56041"/>
    <w:rsid w:val="00B5652D"/>
    <w:rsid w:val="00B61819"/>
    <w:rsid w:val="00B62D22"/>
    <w:rsid w:val="00B6406F"/>
    <w:rsid w:val="00B652A4"/>
    <w:rsid w:val="00B656FE"/>
    <w:rsid w:val="00B667ED"/>
    <w:rsid w:val="00B67C63"/>
    <w:rsid w:val="00B67EDA"/>
    <w:rsid w:val="00B722C4"/>
    <w:rsid w:val="00B7366B"/>
    <w:rsid w:val="00B73746"/>
    <w:rsid w:val="00B7530C"/>
    <w:rsid w:val="00B76922"/>
    <w:rsid w:val="00B772EE"/>
    <w:rsid w:val="00B77513"/>
    <w:rsid w:val="00B77F1B"/>
    <w:rsid w:val="00B807B4"/>
    <w:rsid w:val="00B81D0F"/>
    <w:rsid w:val="00B8331B"/>
    <w:rsid w:val="00B83A51"/>
    <w:rsid w:val="00B83E7B"/>
    <w:rsid w:val="00B83F1F"/>
    <w:rsid w:val="00B85573"/>
    <w:rsid w:val="00B876EC"/>
    <w:rsid w:val="00B90D85"/>
    <w:rsid w:val="00B92B86"/>
    <w:rsid w:val="00B95B34"/>
    <w:rsid w:val="00B9707A"/>
    <w:rsid w:val="00B9776A"/>
    <w:rsid w:val="00B97AA6"/>
    <w:rsid w:val="00BA051D"/>
    <w:rsid w:val="00BA123B"/>
    <w:rsid w:val="00BA3851"/>
    <w:rsid w:val="00BA494E"/>
    <w:rsid w:val="00BA51ED"/>
    <w:rsid w:val="00BA579D"/>
    <w:rsid w:val="00BA6CB2"/>
    <w:rsid w:val="00BB054C"/>
    <w:rsid w:val="00BB1EE2"/>
    <w:rsid w:val="00BB29D4"/>
    <w:rsid w:val="00BB37C1"/>
    <w:rsid w:val="00BB3A55"/>
    <w:rsid w:val="00BB3AF7"/>
    <w:rsid w:val="00BB5AEC"/>
    <w:rsid w:val="00BB739D"/>
    <w:rsid w:val="00BC156C"/>
    <w:rsid w:val="00BC1767"/>
    <w:rsid w:val="00BC29C8"/>
    <w:rsid w:val="00BC3670"/>
    <w:rsid w:val="00BC375B"/>
    <w:rsid w:val="00BC3EF9"/>
    <w:rsid w:val="00BC3FCE"/>
    <w:rsid w:val="00BC41D9"/>
    <w:rsid w:val="00BD00EB"/>
    <w:rsid w:val="00BD08BE"/>
    <w:rsid w:val="00BD1E0C"/>
    <w:rsid w:val="00BD436C"/>
    <w:rsid w:val="00BD43CF"/>
    <w:rsid w:val="00BD4DBF"/>
    <w:rsid w:val="00BD6A47"/>
    <w:rsid w:val="00BD6E79"/>
    <w:rsid w:val="00BD7550"/>
    <w:rsid w:val="00BD7A8C"/>
    <w:rsid w:val="00BE0D9C"/>
    <w:rsid w:val="00BE12B3"/>
    <w:rsid w:val="00BE40C9"/>
    <w:rsid w:val="00BE5754"/>
    <w:rsid w:val="00BE6D5A"/>
    <w:rsid w:val="00BE7759"/>
    <w:rsid w:val="00BF27C9"/>
    <w:rsid w:val="00BF2DA7"/>
    <w:rsid w:val="00BF30F8"/>
    <w:rsid w:val="00BF314D"/>
    <w:rsid w:val="00BF6653"/>
    <w:rsid w:val="00BF7440"/>
    <w:rsid w:val="00BF74A4"/>
    <w:rsid w:val="00C005B2"/>
    <w:rsid w:val="00C00B1F"/>
    <w:rsid w:val="00C0119D"/>
    <w:rsid w:val="00C10C77"/>
    <w:rsid w:val="00C129F3"/>
    <w:rsid w:val="00C14111"/>
    <w:rsid w:val="00C1585F"/>
    <w:rsid w:val="00C15B26"/>
    <w:rsid w:val="00C23683"/>
    <w:rsid w:val="00C237F1"/>
    <w:rsid w:val="00C259DF"/>
    <w:rsid w:val="00C25DB3"/>
    <w:rsid w:val="00C331A1"/>
    <w:rsid w:val="00C33312"/>
    <w:rsid w:val="00C34B35"/>
    <w:rsid w:val="00C37843"/>
    <w:rsid w:val="00C37AC2"/>
    <w:rsid w:val="00C403AD"/>
    <w:rsid w:val="00C437AB"/>
    <w:rsid w:val="00C43A44"/>
    <w:rsid w:val="00C445FE"/>
    <w:rsid w:val="00C44A5C"/>
    <w:rsid w:val="00C451B1"/>
    <w:rsid w:val="00C46E4F"/>
    <w:rsid w:val="00C46F31"/>
    <w:rsid w:val="00C508EF"/>
    <w:rsid w:val="00C50BAE"/>
    <w:rsid w:val="00C554BB"/>
    <w:rsid w:val="00C554EC"/>
    <w:rsid w:val="00C600B5"/>
    <w:rsid w:val="00C60A43"/>
    <w:rsid w:val="00C60AE2"/>
    <w:rsid w:val="00C61E75"/>
    <w:rsid w:val="00C624C7"/>
    <w:rsid w:val="00C64EEF"/>
    <w:rsid w:val="00C65A95"/>
    <w:rsid w:val="00C677AD"/>
    <w:rsid w:val="00C70E54"/>
    <w:rsid w:val="00C71AB7"/>
    <w:rsid w:val="00C73493"/>
    <w:rsid w:val="00C752C7"/>
    <w:rsid w:val="00C7574C"/>
    <w:rsid w:val="00C75B61"/>
    <w:rsid w:val="00C76C46"/>
    <w:rsid w:val="00C76D56"/>
    <w:rsid w:val="00C80321"/>
    <w:rsid w:val="00C82A3D"/>
    <w:rsid w:val="00C834A5"/>
    <w:rsid w:val="00C8431E"/>
    <w:rsid w:val="00C85FA4"/>
    <w:rsid w:val="00C86B5D"/>
    <w:rsid w:val="00C86F74"/>
    <w:rsid w:val="00C87097"/>
    <w:rsid w:val="00C92102"/>
    <w:rsid w:val="00C92A72"/>
    <w:rsid w:val="00C95751"/>
    <w:rsid w:val="00C9679B"/>
    <w:rsid w:val="00C96BF2"/>
    <w:rsid w:val="00C97966"/>
    <w:rsid w:val="00CA1127"/>
    <w:rsid w:val="00CA3848"/>
    <w:rsid w:val="00CA3913"/>
    <w:rsid w:val="00CA573A"/>
    <w:rsid w:val="00CA684E"/>
    <w:rsid w:val="00CA685D"/>
    <w:rsid w:val="00CA6928"/>
    <w:rsid w:val="00CA7D13"/>
    <w:rsid w:val="00CB0CBA"/>
    <w:rsid w:val="00CB0EEB"/>
    <w:rsid w:val="00CB1215"/>
    <w:rsid w:val="00CB1D03"/>
    <w:rsid w:val="00CB2A8A"/>
    <w:rsid w:val="00CB3305"/>
    <w:rsid w:val="00CB3335"/>
    <w:rsid w:val="00CB3574"/>
    <w:rsid w:val="00CB4448"/>
    <w:rsid w:val="00CB6509"/>
    <w:rsid w:val="00CB7F99"/>
    <w:rsid w:val="00CC1E5F"/>
    <w:rsid w:val="00CC25F9"/>
    <w:rsid w:val="00CC521C"/>
    <w:rsid w:val="00CD1982"/>
    <w:rsid w:val="00CD1F25"/>
    <w:rsid w:val="00CD56E9"/>
    <w:rsid w:val="00CD7C4D"/>
    <w:rsid w:val="00CD7E1B"/>
    <w:rsid w:val="00CD7F66"/>
    <w:rsid w:val="00CE0EA4"/>
    <w:rsid w:val="00CE23CC"/>
    <w:rsid w:val="00CE29D9"/>
    <w:rsid w:val="00CE2A4F"/>
    <w:rsid w:val="00CE3D0A"/>
    <w:rsid w:val="00CE423B"/>
    <w:rsid w:val="00CE48CB"/>
    <w:rsid w:val="00CE7111"/>
    <w:rsid w:val="00CF2F88"/>
    <w:rsid w:val="00CF309F"/>
    <w:rsid w:val="00CF3D01"/>
    <w:rsid w:val="00CF5AC7"/>
    <w:rsid w:val="00CF7381"/>
    <w:rsid w:val="00CF7F58"/>
    <w:rsid w:val="00D0023B"/>
    <w:rsid w:val="00D007F3"/>
    <w:rsid w:val="00D00BF8"/>
    <w:rsid w:val="00D014A8"/>
    <w:rsid w:val="00D01E10"/>
    <w:rsid w:val="00D0461E"/>
    <w:rsid w:val="00D04678"/>
    <w:rsid w:val="00D0477D"/>
    <w:rsid w:val="00D07ABE"/>
    <w:rsid w:val="00D115CF"/>
    <w:rsid w:val="00D11DE8"/>
    <w:rsid w:val="00D13F40"/>
    <w:rsid w:val="00D145C1"/>
    <w:rsid w:val="00D157B9"/>
    <w:rsid w:val="00D1580E"/>
    <w:rsid w:val="00D16F69"/>
    <w:rsid w:val="00D205F2"/>
    <w:rsid w:val="00D20C54"/>
    <w:rsid w:val="00D22BC5"/>
    <w:rsid w:val="00D243A3"/>
    <w:rsid w:val="00D24601"/>
    <w:rsid w:val="00D327F0"/>
    <w:rsid w:val="00D330E1"/>
    <w:rsid w:val="00D35512"/>
    <w:rsid w:val="00D35C97"/>
    <w:rsid w:val="00D41D3C"/>
    <w:rsid w:val="00D41F72"/>
    <w:rsid w:val="00D423EB"/>
    <w:rsid w:val="00D442EE"/>
    <w:rsid w:val="00D47085"/>
    <w:rsid w:val="00D50A85"/>
    <w:rsid w:val="00D51D0A"/>
    <w:rsid w:val="00D534BA"/>
    <w:rsid w:val="00D53537"/>
    <w:rsid w:val="00D55B4C"/>
    <w:rsid w:val="00D61100"/>
    <w:rsid w:val="00D61B08"/>
    <w:rsid w:val="00D623C0"/>
    <w:rsid w:val="00D630B8"/>
    <w:rsid w:val="00D63656"/>
    <w:rsid w:val="00D64E2D"/>
    <w:rsid w:val="00D67CAD"/>
    <w:rsid w:val="00D70F4B"/>
    <w:rsid w:val="00D725C2"/>
    <w:rsid w:val="00D761CD"/>
    <w:rsid w:val="00D76363"/>
    <w:rsid w:val="00D80558"/>
    <w:rsid w:val="00D80C88"/>
    <w:rsid w:val="00D8145F"/>
    <w:rsid w:val="00D82C3A"/>
    <w:rsid w:val="00D84FBD"/>
    <w:rsid w:val="00D85838"/>
    <w:rsid w:val="00D85D67"/>
    <w:rsid w:val="00D86432"/>
    <w:rsid w:val="00D91EA9"/>
    <w:rsid w:val="00D92EBC"/>
    <w:rsid w:val="00D93D43"/>
    <w:rsid w:val="00D944B2"/>
    <w:rsid w:val="00D9691F"/>
    <w:rsid w:val="00D979E8"/>
    <w:rsid w:val="00D97E9C"/>
    <w:rsid w:val="00DA2D88"/>
    <w:rsid w:val="00DA4A76"/>
    <w:rsid w:val="00DA5622"/>
    <w:rsid w:val="00DA608B"/>
    <w:rsid w:val="00DB2B61"/>
    <w:rsid w:val="00DB34D6"/>
    <w:rsid w:val="00DB4124"/>
    <w:rsid w:val="00DB5B6E"/>
    <w:rsid w:val="00DB678B"/>
    <w:rsid w:val="00DB6D98"/>
    <w:rsid w:val="00DC057E"/>
    <w:rsid w:val="00DC097D"/>
    <w:rsid w:val="00DC17CF"/>
    <w:rsid w:val="00DC2874"/>
    <w:rsid w:val="00DC28F0"/>
    <w:rsid w:val="00DC3563"/>
    <w:rsid w:val="00DC53E9"/>
    <w:rsid w:val="00DD1B77"/>
    <w:rsid w:val="00DD23A2"/>
    <w:rsid w:val="00DD2512"/>
    <w:rsid w:val="00DD289C"/>
    <w:rsid w:val="00DD2DEA"/>
    <w:rsid w:val="00DD3466"/>
    <w:rsid w:val="00DD511D"/>
    <w:rsid w:val="00DD53BA"/>
    <w:rsid w:val="00DD53BD"/>
    <w:rsid w:val="00DD578E"/>
    <w:rsid w:val="00DD66B2"/>
    <w:rsid w:val="00DE010C"/>
    <w:rsid w:val="00DE308B"/>
    <w:rsid w:val="00DE3CA7"/>
    <w:rsid w:val="00DE65D0"/>
    <w:rsid w:val="00DE69CB"/>
    <w:rsid w:val="00DE78E2"/>
    <w:rsid w:val="00DF25DF"/>
    <w:rsid w:val="00DF2640"/>
    <w:rsid w:val="00DF2B94"/>
    <w:rsid w:val="00DF349B"/>
    <w:rsid w:val="00DF3AB4"/>
    <w:rsid w:val="00DF3AB5"/>
    <w:rsid w:val="00DF3ABC"/>
    <w:rsid w:val="00DF3E74"/>
    <w:rsid w:val="00DF590D"/>
    <w:rsid w:val="00E00CD3"/>
    <w:rsid w:val="00E01EE3"/>
    <w:rsid w:val="00E02818"/>
    <w:rsid w:val="00E02E1A"/>
    <w:rsid w:val="00E060CF"/>
    <w:rsid w:val="00E0620E"/>
    <w:rsid w:val="00E06456"/>
    <w:rsid w:val="00E074E2"/>
    <w:rsid w:val="00E110D0"/>
    <w:rsid w:val="00E11669"/>
    <w:rsid w:val="00E11732"/>
    <w:rsid w:val="00E119DF"/>
    <w:rsid w:val="00E11C18"/>
    <w:rsid w:val="00E13E01"/>
    <w:rsid w:val="00E1409A"/>
    <w:rsid w:val="00E15330"/>
    <w:rsid w:val="00E15965"/>
    <w:rsid w:val="00E20579"/>
    <w:rsid w:val="00E207F0"/>
    <w:rsid w:val="00E20FC5"/>
    <w:rsid w:val="00E211D9"/>
    <w:rsid w:val="00E21482"/>
    <w:rsid w:val="00E227B2"/>
    <w:rsid w:val="00E22C3B"/>
    <w:rsid w:val="00E24CDF"/>
    <w:rsid w:val="00E26F29"/>
    <w:rsid w:val="00E302BC"/>
    <w:rsid w:val="00E31954"/>
    <w:rsid w:val="00E33923"/>
    <w:rsid w:val="00E33D03"/>
    <w:rsid w:val="00E34279"/>
    <w:rsid w:val="00E35F6C"/>
    <w:rsid w:val="00E36007"/>
    <w:rsid w:val="00E36EA1"/>
    <w:rsid w:val="00E37A8F"/>
    <w:rsid w:val="00E4196E"/>
    <w:rsid w:val="00E42E80"/>
    <w:rsid w:val="00E4355F"/>
    <w:rsid w:val="00E44E96"/>
    <w:rsid w:val="00E451AC"/>
    <w:rsid w:val="00E461E1"/>
    <w:rsid w:val="00E47B45"/>
    <w:rsid w:val="00E5373B"/>
    <w:rsid w:val="00E53870"/>
    <w:rsid w:val="00E54548"/>
    <w:rsid w:val="00E55AD5"/>
    <w:rsid w:val="00E568E1"/>
    <w:rsid w:val="00E61540"/>
    <w:rsid w:val="00E63571"/>
    <w:rsid w:val="00E642C0"/>
    <w:rsid w:val="00E64300"/>
    <w:rsid w:val="00E65D01"/>
    <w:rsid w:val="00E65DF1"/>
    <w:rsid w:val="00E66A9B"/>
    <w:rsid w:val="00E67282"/>
    <w:rsid w:val="00E70CCC"/>
    <w:rsid w:val="00E72E7D"/>
    <w:rsid w:val="00E7466E"/>
    <w:rsid w:val="00E7553B"/>
    <w:rsid w:val="00E775D4"/>
    <w:rsid w:val="00E81FDD"/>
    <w:rsid w:val="00E822C7"/>
    <w:rsid w:val="00E86232"/>
    <w:rsid w:val="00E87122"/>
    <w:rsid w:val="00E90E50"/>
    <w:rsid w:val="00E94F65"/>
    <w:rsid w:val="00E96E30"/>
    <w:rsid w:val="00E9788D"/>
    <w:rsid w:val="00E9792C"/>
    <w:rsid w:val="00EA1181"/>
    <w:rsid w:val="00EA2799"/>
    <w:rsid w:val="00EA2EC0"/>
    <w:rsid w:val="00EA403A"/>
    <w:rsid w:val="00EA72E8"/>
    <w:rsid w:val="00EA74E6"/>
    <w:rsid w:val="00EA76FF"/>
    <w:rsid w:val="00EB051C"/>
    <w:rsid w:val="00EB0645"/>
    <w:rsid w:val="00EB0A27"/>
    <w:rsid w:val="00EB46E1"/>
    <w:rsid w:val="00EB49CC"/>
    <w:rsid w:val="00EB7883"/>
    <w:rsid w:val="00EC13BB"/>
    <w:rsid w:val="00EC533C"/>
    <w:rsid w:val="00EC6B43"/>
    <w:rsid w:val="00EC7156"/>
    <w:rsid w:val="00EC77F1"/>
    <w:rsid w:val="00EC78C3"/>
    <w:rsid w:val="00EC79EC"/>
    <w:rsid w:val="00ED1C41"/>
    <w:rsid w:val="00ED20B6"/>
    <w:rsid w:val="00ED29C6"/>
    <w:rsid w:val="00ED2A6A"/>
    <w:rsid w:val="00ED377B"/>
    <w:rsid w:val="00ED441B"/>
    <w:rsid w:val="00ED7BC2"/>
    <w:rsid w:val="00EE0235"/>
    <w:rsid w:val="00EE1E04"/>
    <w:rsid w:val="00EE24CA"/>
    <w:rsid w:val="00EE27EF"/>
    <w:rsid w:val="00EE7CEB"/>
    <w:rsid w:val="00EE7E4C"/>
    <w:rsid w:val="00EE7F61"/>
    <w:rsid w:val="00EF0853"/>
    <w:rsid w:val="00EF3946"/>
    <w:rsid w:val="00EF4117"/>
    <w:rsid w:val="00EF6631"/>
    <w:rsid w:val="00EF688F"/>
    <w:rsid w:val="00EF6D80"/>
    <w:rsid w:val="00EF76EA"/>
    <w:rsid w:val="00F00603"/>
    <w:rsid w:val="00F0060E"/>
    <w:rsid w:val="00F01119"/>
    <w:rsid w:val="00F0175A"/>
    <w:rsid w:val="00F01CF2"/>
    <w:rsid w:val="00F01E91"/>
    <w:rsid w:val="00F0250C"/>
    <w:rsid w:val="00F03155"/>
    <w:rsid w:val="00F03950"/>
    <w:rsid w:val="00F049D6"/>
    <w:rsid w:val="00F057DB"/>
    <w:rsid w:val="00F12428"/>
    <w:rsid w:val="00F12491"/>
    <w:rsid w:val="00F13607"/>
    <w:rsid w:val="00F161F9"/>
    <w:rsid w:val="00F173C9"/>
    <w:rsid w:val="00F2127E"/>
    <w:rsid w:val="00F25B83"/>
    <w:rsid w:val="00F25F17"/>
    <w:rsid w:val="00F3200A"/>
    <w:rsid w:val="00F324AC"/>
    <w:rsid w:val="00F32577"/>
    <w:rsid w:val="00F33DD2"/>
    <w:rsid w:val="00F34DAF"/>
    <w:rsid w:val="00F355B5"/>
    <w:rsid w:val="00F359DE"/>
    <w:rsid w:val="00F37E4A"/>
    <w:rsid w:val="00F41E00"/>
    <w:rsid w:val="00F423CE"/>
    <w:rsid w:val="00F443A0"/>
    <w:rsid w:val="00F4549F"/>
    <w:rsid w:val="00F471FB"/>
    <w:rsid w:val="00F47818"/>
    <w:rsid w:val="00F508B3"/>
    <w:rsid w:val="00F512BB"/>
    <w:rsid w:val="00F51327"/>
    <w:rsid w:val="00F51426"/>
    <w:rsid w:val="00F54023"/>
    <w:rsid w:val="00F54247"/>
    <w:rsid w:val="00F545CF"/>
    <w:rsid w:val="00F5682F"/>
    <w:rsid w:val="00F6157E"/>
    <w:rsid w:val="00F63F2A"/>
    <w:rsid w:val="00F646EF"/>
    <w:rsid w:val="00F64B0A"/>
    <w:rsid w:val="00F66741"/>
    <w:rsid w:val="00F71666"/>
    <w:rsid w:val="00F71BFF"/>
    <w:rsid w:val="00F72D85"/>
    <w:rsid w:val="00F73CF6"/>
    <w:rsid w:val="00F74001"/>
    <w:rsid w:val="00F804C6"/>
    <w:rsid w:val="00F80F3B"/>
    <w:rsid w:val="00F82691"/>
    <w:rsid w:val="00F841DB"/>
    <w:rsid w:val="00F84BD4"/>
    <w:rsid w:val="00F856AC"/>
    <w:rsid w:val="00F86531"/>
    <w:rsid w:val="00F86EB5"/>
    <w:rsid w:val="00F86F23"/>
    <w:rsid w:val="00F9075B"/>
    <w:rsid w:val="00F90DB0"/>
    <w:rsid w:val="00F916E1"/>
    <w:rsid w:val="00F91B9A"/>
    <w:rsid w:val="00F929FB"/>
    <w:rsid w:val="00F941D5"/>
    <w:rsid w:val="00F946E1"/>
    <w:rsid w:val="00F94A84"/>
    <w:rsid w:val="00F9553E"/>
    <w:rsid w:val="00F95D18"/>
    <w:rsid w:val="00FA0183"/>
    <w:rsid w:val="00FA0704"/>
    <w:rsid w:val="00FA0D13"/>
    <w:rsid w:val="00FA5643"/>
    <w:rsid w:val="00FB044B"/>
    <w:rsid w:val="00FB0F92"/>
    <w:rsid w:val="00FB19D4"/>
    <w:rsid w:val="00FB1C7A"/>
    <w:rsid w:val="00FB24BA"/>
    <w:rsid w:val="00FB55E3"/>
    <w:rsid w:val="00FB65AC"/>
    <w:rsid w:val="00FC2BE8"/>
    <w:rsid w:val="00FC39BA"/>
    <w:rsid w:val="00FC6799"/>
    <w:rsid w:val="00FC6EDF"/>
    <w:rsid w:val="00FC7765"/>
    <w:rsid w:val="00FD2AB0"/>
    <w:rsid w:val="00FD3685"/>
    <w:rsid w:val="00FD3A69"/>
    <w:rsid w:val="00FD3D66"/>
    <w:rsid w:val="00FD3EB9"/>
    <w:rsid w:val="00FD4CB4"/>
    <w:rsid w:val="00FD4EF0"/>
    <w:rsid w:val="00FD5455"/>
    <w:rsid w:val="00FD6E31"/>
    <w:rsid w:val="00FE044C"/>
    <w:rsid w:val="00FE234C"/>
    <w:rsid w:val="00FE4DD4"/>
    <w:rsid w:val="00FE6288"/>
    <w:rsid w:val="00FE67BB"/>
    <w:rsid w:val="00FE68B2"/>
    <w:rsid w:val="00FE6ADF"/>
    <w:rsid w:val="00FE7250"/>
    <w:rsid w:val="00FE7D7E"/>
    <w:rsid w:val="00FF0AB7"/>
    <w:rsid w:val="00FF16D1"/>
    <w:rsid w:val="00FF24B5"/>
    <w:rsid w:val="00FF2BA0"/>
    <w:rsid w:val="00FF693C"/>
    <w:rsid w:val="1EBA9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C22DD5"/>
  <w15:chartTrackingRefBased/>
  <w15:docId w15:val="{2780E67D-1E37-4497-8D85-9F512E74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B0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4D7AC0"/>
    <w:pPr>
      <w:outlineLvl w:val="0"/>
    </w:pPr>
    <w:rPr>
      <w:kern w:val="28"/>
    </w:rPr>
  </w:style>
  <w:style w:type="paragraph" w:styleId="Heading2">
    <w:name w:val="heading 2"/>
    <w:basedOn w:val="Normal"/>
    <w:next w:val="Normal"/>
    <w:link w:val="Heading2Char"/>
    <w:qFormat/>
    <w:rsid w:val="004D7AC0"/>
    <w:pPr>
      <w:outlineLvl w:val="1"/>
    </w:pPr>
  </w:style>
  <w:style w:type="paragraph" w:styleId="Heading3">
    <w:name w:val="heading 3"/>
    <w:basedOn w:val="Normal"/>
    <w:next w:val="Normal"/>
    <w:link w:val="Heading3Char"/>
    <w:qFormat/>
    <w:rsid w:val="004D7AC0"/>
    <w:pPr>
      <w:outlineLvl w:val="2"/>
    </w:pPr>
  </w:style>
  <w:style w:type="paragraph" w:styleId="Heading4">
    <w:name w:val="heading 4"/>
    <w:basedOn w:val="Normal"/>
    <w:next w:val="Normal"/>
    <w:link w:val="Heading4Char"/>
    <w:qFormat/>
    <w:rsid w:val="004D7AC0"/>
    <w:pPr>
      <w:outlineLvl w:val="3"/>
    </w:pPr>
  </w:style>
  <w:style w:type="paragraph" w:styleId="Heading5">
    <w:name w:val="heading 5"/>
    <w:basedOn w:val="Normal"/>
    <w:next w:val="Normal"/>
    <w:link w:val="Heading5Char"/>
    <w:qFormat/>
    <w:rsid w:val="004D7AC0"/>
    <w:pPr>
      <w:outlineLvl w:val="4"/>
    </w:pPr>
  </w:style>
  <w:style w:type="paragraph" w:styleId="Heading6">
    <w:name w:val="heading 6"/>
    <w:basedOn w:val="Normal"/>
    <w:next w:val="Normal"/>
    <w:link w:val="Heading6Char"/>
    <w:qFormat/>
    <w:rsid w:val="004D7AC0"/>
    <w:pPr>
      <w:outlineLvl w:val="5"/>
    </w:pPr>
  </w:style>
  <w:style w:type="paragraph" w:styleId="Heading7">
    <w:name w:val="heading 7"/>
    <w:basedOn w:val="Normal"/>
    <w:next w:val="Normal"/>
    <w:link w:val="Heading7Char"/>
    <w:qFormat/>
    <w:rsid w:val="004D7AC0"/>
    <w:pPr>
      <w:outlineLvl w:val="6"/>
    </w:pPr>
  </w:style>
  <w:style w:type="paragraph" w:styleId="Heading8">
    <w:name w:val="heading 8"/>
    <w:basedOn w:val="Normal"/>
    <w:next w:val="Normal"/>
    <w:link w:val="Heading8Char"/>
    <w:qFormat/>
    <w:rsid w:val="004D7AC0"/>
    <w:pPr>
      <w:outlineLvl w:val="7"/>
    </w:pPr>
  </w:style>
  <w:style w:type="paragraph" w:styleId="Heading9">
    <w:name w:val="heading 9"/>
    <w:basedOn w:val="Normal"/>
    <w:next w:val="Normal"/>
    <w:link w:val="Heading9Char"/>
    <w:qFormat/>
    <w:rsid w:val="004D7AC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AC0"/>
    <w:rPr>
      <w:rFonts w:ascii="Times New Roman" w:eastAsia="Times New Roman" w:hAnsi="Times New Roman" w:cs="Times New Roman"/>
      <w:kern w:val="28"/>
    </w:rPr>
  </w:style>
  <w:style w:type="character" w:customStyle="1" w:styleId="Heading2Char">
    <w:name w:val="Heading 2 Char"/>
    <w:basedOn w:val="DefaultParagraphFont"/>
    <w:link w:val="Heading2"/>
    <w:rsid w:val="004D7AC0"/>
    <w:rPr>
      <w:rFonts w:ascii="Times New Roman" w:eastAsia="Times New Roman" w:hAnsi="Times New Roman" w:cs="Times New Roman"/>
    </w:rPr>
  </w:style>
  <w:style w:type="character" w:customStyle="1" w:styleId="Heading3Char">
    <w:name w:val="Heading 3 Char"/>
    <w:basedOn w:val="DefaultParagraphFont"/>
    <w:link w:val="Heading3"/>
    <w:rsid w:val="004D7AC0"/>
    <w:rPr>
      <w:rFonts w:ascii="Times New Roman" w:eastAsia="Times New Roman" w:hAnsi="Times New Roman" w:cs="Times New Roman"/>
    </w:rPr>
  </w:style>
  <w:style w:type="character" w:customStyle="1" w:styleId="Heading4Char">
    <w:name w:val="Heading 4 Char"/>
    <w:basedOn w:val="DefaultParagraphFont"/>
    <w:link w:val="Heading4"/>
    <w:rsid w:val="004D7AC0"/>
    <w:rPr>
      <w:rFonts w:ascii="Times New Roman" w:eastAsia="Times New Roman" w:hAnsi="Times New Roman" w:cs="Times New Roman"/>
    </w:rPr>
  </w:style>
  <w:style w:type="character" w:customStyle="1" w:styleId="Heading5Char">
    <w:name w:val="Heading 5 Char"/>
    <w:basedOn w:val="DefaultParagraphFont"/>
    <w:link w:val="Heading5"/>
    <w:rsid w:val="004D7AC0"/>
    <w:rPr>
      <w:rFonts w:ascii="Times New Roman" w:eastAsia="Times New Roman" w:hAnsi="Times New Roman" w:cs="Times New Roman"/>
    </w:rPr>
  </w:style>
  <w:style w:type="character" w:customStyle="1" w:styleId="Heading6Char">
    <w:name w:val="Heading 6 Char"/>
    <w:basedOn w:val="DefaultParagraphFont"/>
    <w:link w:val="Heading6"/>
    <w:rsid w:val="004D7AC0"/>
    <w:rPr>
      <w:rFonts w:ascii="Times New Roman" w:eastAsia="Times New Roman" w:hAnsi="Times New Roman" w:cs="Times New Roman"/>
    </w:rPr>
  </w:style>
  <w:style w:type="character" w:customStyle="1" w:styleId="Heading7Char">
    <w:name w:val="Heading 7 Char"/>
    <w:basedOn w:val="DefaultParagraphFont"/>
    <w:link w:val="Heading7"/>
    <w:rsid w:val="004D7AC0"/>
    <w:rPr>
      <w:rFonts w:ascii="Times New Roman" w:eastAsia="Times New Roman" w:hAnsi="Times New Roman" w:cs="Times New Roman"/>
    </w:rPr>
  </w:style>
  <w:style w:type="character" w:customStyle="1" w:styleId="Heading8Char">
    <w:name w:val="Heading 8 Char"/>
    <w:basedOn w:val="DefaultParagraphFont"/>
    <w:link w:val="Heading8"/>
    <w:rsid w:val="004D7AC0"/>
    <w:rPr>
      <w:rFonts w:ascii="Times New Roman" w:eastAsia="Times New Roman" w:hAnsi="Times New Roman" w:cs="Times New Roman"/>
    </w:rPr>
  </w:style>
  <w:style w:type="character" w:customStyle="1" w:styleId="Heading9Char">
    <w:name w:val="Heading 9 Char"/>
    <w:basedOn w:val="DefaultParagraphFont"/>
    <w:link w:val="Heading9"/>
    <w:rsid w:val="004D7AC0"/>
    <w:rPr>
      <w:rFonts w:ascii="Times New Roman" w:eastAsia="Times New Roman" w:hAnsi="Times New Roman" w:cs="Times New Roman"/>
    </w:rPr>
  </w:style>
  <w:style w:type="paragraph" w:styleId="Footer">
    <w:name w:val="footer"/>
    <w:basedOn w:val="Normal"/>
    <w:link w:val="FooterChar"/>
    <w:qFormat/>
    <w:rsid w:val="004D7AC0"/>
  </w:style>
  <w:style w:type="character" w:customStyle="1" w:styleId="FooterChar">
    <w:name w:val="Footer Char"/>
    <w:basedOn w:val="DefaultParagraphFont"/>
    <w:link w:val="Footer"/>
    <w:rsid w:val="004D7AC0"/>
    <w:rPr>
      <w:rFonts w:ascii="Times New Roman" w:eastAsia="Times New Roman" w:hAnsi="Times New Roman" w:cs="Times New Roman"/>
    </w:rPr>
  </w:style>
  <w:style w:type="paragraph" w:styleId="FootnoteText">
    <w:name w:val="footnote text"/>
    <w:aliases w:val="Footnote text,Fussnote,stile 1,Fußnote,Podrozdział,Footnote Text Char Char,Footnote Text Char1 Char Char,Footnote Text Char Char Char Char,Footnote Text Char Char1,Char Char,Sprotna opomba - besedilo Znak1,Tekst przypis,o,ALTS FOOTNOTE,fn"/>
    <w:basedOn w:val="Normal"/>
    <w:link w:val="FootnoteTextChar"/>
    <w:qFormat/>
    <w:rsid w:val="004D7AC0"/>
    <w:pPr>
      <w:keepLines/>
      <w:spacing w:after="60" w:line="240" w:lineRule="auto"/>
      <w:ind w:left="567" w:hanging="567"/>
    </w:pPr>
    <w:rPr>
      <w:sz w:val="16"/>
    </w:rPr>
  </w:style>
  <w:style w:type="character" w:customStyle="1" w:styleId="FootnoteTextChar">
    <w:name w:val="Footnote Text Char"/>
    <w:aliases w:val="Footnote text Char,Fussnote Char,stile 1 Char,Fußnote Char,Podrozdział Char,Footnote Text Char Char Char,Footnote Text Char1 Char Char Char,Footnote Text Char Char Char Char Char,Footnote Text Char Char1 Char,Char Char Char,o Char"/>
    <w:basedOn w:val="DefaultParagraphFont"/>
    <w:link w:val="FootnoteText"/>
    <w:qFormat/>
    <w:rsid w:val="004D7AC0"/>
    <w:rPr>
      <w:rFonts w:ascii="Times New Roman" w:eastAsia="Times New Roman" w:hAnsi="Times New Roman" w:cs="Times New Roman"/>
      <w:sz w:val="16"/>
    </w:rPr>
  </w:style>
  <w:style w:type="paragraph" w:styleId="Header">
    <w:name w:val="header"/>
    <w:basedOn w:val="Normal"/>
    <w:link w:val="HeaderChar"/>
    <w:qFormat/>
    <w:rsid w:val="004D7AC0"/>
  </w:style>
  <w:style w:type="character" w:customStyle="1" w:styleId="HeaderChar">
    <w:name w:val="Header Char"/>
    <w:basedOn w:val="DefaultParagraphFont"/>
    <w:link w:val="Header"/>
    <w:rsid w:val="004D7AC0"/>
    <w:rPr>
      <w:rFonts w:ascii="Times New Roman" w:eastAsia="Times New Roman" w:hAnsi="Times New Roman" w:cs="Times New Roman"/>
    </w:rPr>
  </w:style>
  <w:style w:type="paragraph" w:customStyle="1" w:styleId="quotes">
    <w:name w:val="quotes"/>
    <w:basedOn w:val="Normal"/>
    <w:next w:val="Normal"/>
    <w:rsid w:val="004D7AC0"/>
    <w:pPr>
      <w:ind w:left="720"/>
    </w:pPr>
    <w:rPr>
      <w:i/>
    </w:rPr>
  </w:style>
  <w:style w:type="character" w:styleId="FootnoteReference">
    <w:name w:val="footnote reference"/>
    <w:aliases w:val="SUPERS,(NECG) Footnote Reference,fr,EN Footnote Text,EN Footnote Reference,Footnote symbol,number,Footnote Reference Superscript,stylish,BVI fnr,-E Fußnotenzeichen,Source Reference,Footnote reference number,note TESI,Times 10 Point"/>
    <w:basedOn w:val="DefaultParagraphFont"/>
    <w:unhideWhenUsed/>
    <w:qFormat/>
    <w:rsid w:val="004D7AC0"/>
    <w:rPr>
      <w:sz w:val="24"/>
      <w:vertAlign w:val="superscript"/>
    </w:rPr>
  </w:style>
  <w:style w:type="character" w:styleId="Hyperlink">
    <w:name w:val="Hyperlink"/>
    <w:basedOn w:val="DefaultParagraphFont"/>
    <w:uiPriority w:val="99"/>
    <w:rsid w:val="004D7AC0"/>
    <w:rPr>
      <w:rFonts w:ascii="Times New Roman" w:hAnsi="Times New Roman"/>
      <w:color w:val="0000FF"/>
      <w:u w:val="single"/>
    </w:rPr>
  </w:style>
  <w:style w:type="paragraph" w:styleId="ListParagraph">
    <w:name w:val="List Paragraph"/>
    <w:aliases w:val="Resume Title,Listes,Citation List,Ha,List Paragraph1,Body,List Paragraph_Table bullets,Bullet List Paragraph,1st level - Bullet List Paragraph,Lettre d'introduction,Paragrafo elenco,Medium Grid 1 - Accent 21,AFW Body,Normal bullet 2,Nad"/>
    <w:basedOn w:val="Normal"/>
    <w:link w:val="ListParagraphChar"/>
    <w:uiPriority w:val="34"/>
    <w:qFormat/>
    <w:rsid w:val="004D7AC0"/>
    <w:pPr>
      <w:ind w:left="720"/>
      <w:contextualSpacing/>
    </w:pPr>
  </w:style>
  <w:style w:type="table" w:styleId="TableGrid">
    <w:name w:val="Table Grid"/>
    <w:basedOn w:val="TableNormal"/>
    <w:rsid w:val="004D7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D7AC0"/>
    <w:pPr>
      <w:keepNext/>
      <w:keepLines/>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TOC1">
    <w:name w:val="toc 1"/>
    <w:basedOn w:val="Normal"/>
    <w:next w:val="Normal"/>
    <w:autoRedefine/>
    <w:uiPriority w:val="39"/>
    <w:unhideWhenUsed/>
    <w:rsid w:val="00825787"/>
    <w:pPr>
      <w:tabs>
        <w:tab w:val="left" w:pos="440"/>
        <w:tab w:val="right" w:leader="dot" w:pos="9063"/>
      </w:tabs>
      <w:spacing w:before="240"/>
      <w:ind w:right="-284"/>
      <w:outlineLvl w:val="0"/>
    </w:pPr>
    <w:rPr>
      <w:b/>
      <w:noProof/>
      <w:sz w:val="20"/>
      <w:szCs w:val="20"/>
    </w:rPr>
  </w:style>
  <w:style w:type="paragraph" w:styleId="BalloonText">
    <w:name w:val="Balloon Text"/>
    <w:basedOn w:val="Normal"/>
    <w:link w:val="BalloonTextChar"/>
    <w:uiPriority w:val="99"/>
    <w:semiHidden/>
    <w:unhideWhenUsed/>
    <w:rsid w:val="0011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A1"/>
    <w:rPr>
      <w:rFonts w:ascii="Tahoma" w:eastAsia="Times New Roman" w:hAnsi="Tahoma" w:cs="Tahoma"/>
      <w:sz w:val="16"/>
      <w:szCs w:val="16"/>
      <w:lang w:val="pt-PT"/>
    </w:rPr>
  </w:style>
  <w:style w:type="character" w:styleId="CommentReference">
    <w:name w:val="annotation reference"/>
    <w:unhideWhenUsed/>
    <w:rsid w:val="001167A1"/>
    <w:rPr>
      <w:sz w:val="16"/>
      <w:szCs w:val="16"/>
    </w:rPr>
  </w:style>
  <w:style w:type="paragraph" w:styleId="CommentText">
    <w:name w:val="annotation text"/>
    <w:basedOn w:val="Normal"/>
    <w:link w:val="CommentTextChar"/>
    <w:unhideWhenUsed/>
    <w:rsid w:val="00B5317E"/>
    <w:pPr>
      <w:spacing w:line="240" w:lineRule="auto"/>
    </w:pPr>
    <w:rPr>
      <w:sz w:val="20"/>
      <w:szCs w:val="20"/>
    </w:rPr>
  </w:style>
  <w:style w:type="character" w:customStyle="1" w:styleId="CommentTextChar">
    <w:name w:val="Comment Text Char"/>
    <w:basedOn w:val="DefaultParagraphFont"/>
    <w:link w:val="CommentText"/>
    <w:rsid w:val="00B531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317E"/>
    <w:rPr>
      <w:b/>
      <w:bCs/>
    </w:rPr>
  </w:style>
  <w:style w:type="character" w:customStyle="1" w:styleId="CommentSubjectChar">
    <w:name w:val="Comment Subject Char"/>
    <w:basedOn w:val="CommentTextChar"/>
    <w:link w:val="CommentSubject"/>
    <w:uiPriority w:val="99"/>
    <w:semiHidden/>
    <w:rsid w:val="00B5317E"/>
    <w:rPr>
      <w:rFonts w:ascii="Times New Roman" w:eastAsia="Times New Roman" w:hAnsi="Times New Roman" w:cs="Times New Roman"/>
      <w:b/>
      <w:bCs/>
      <w:sz w:val="20"/>
      <w:szCs w:val="20"/>
    </w:rPr>
  </w:style>
  <w:style w:type="paragraph" w:styleId="Revision">
    <w:name w:val="Revision"/>
    <w:hidden/>
    <w:uiPriority w:val="99"/>
    <w:semiHidden/>
    <w:rsid w:val="00B5317E"/>
    <w:pPr>
      <w:spacing w:after="0" w:line="240" w:lineRule="auto"/>
    </w:pPr>
    <w:rPr>
      <w:rFonts w:ascii="Times New Roman" w:eastAsia="Times New Roman" w:hAnsi="Times New Roman" w:cs="Times New Roman"/>
    </w:rPr>
  </w:style>
  <w:style w:type="paragraph" w:styleId="TOC2">
    <w:name w:val="toc 2"/>
    <w:basedOn w:val="Normal"/>
    <w:next w:val="Normal"/>
    <w:autoRedefine/>
    <w:uiPriority w:val="39"/>
    <w:unhideWhenUsed/>
    <w:rsid w:val="002E01B5"/>
    <w:pPr>
      <w:spacing w:after="100" w:line="259" w:lineRule="auto"/>
      <w:ind w:left="220"/>
      <w:jc w:val="left"/>
    </w:pPr>
    <w:rPr>
      <w:rFonts w:asciiTheme="minorHAnsi" w:eastAsiaTheme="minorEastAsia" w:hAnsiTheme="minorHAnsi"/>
    </w:rPr>
  </w:style>
  <w:style w:type="paragraph" w:styleId="TOC3">
    <w:name w:val="toc 3"/>
    <w:basedOn w:val="Normal"/>
    <w:next w:val="Normal"/>
    <w:autoRedefine/>
    <w:uiPriority w:val="39"/>
    <w:unhideWhenUsed/>
    <w:rsid w:val="002E01B5"/>
    <w:pPr>
      <w:spacing w:after="100" w:line="259" w:lineRule="auto"/>
      <w:ind w:left="440"/>
      <w:jc w:val="left"/>
    </w:pPr>
    <w:rPr>
      <w:rFonts w:asciiTheme="minorHAnsi" w:eastAsiaTheme="minorEastAsia" w:hAnsiTheme="minorHAnsi"/>
    </w:rPr>
  </w:style>
  <w:style w:type="paragraph" w:styleId="TOC6">
    <w:name w:val="toc 6"/>
    <w:basedOn w:val="Normal"/>
    <w:next w:val="Normal"/>
    <w:autoRedefine/>
    <w:uiPriority w:val="39"/>
    <w:semiHidden/>
    <w:unhideWhenUsed/>
    <w:rsid w:val="00912F6B"/>
    <w:pPr>
      <w:spacing w:after="100"/>
      <w:ind w:left="1100"/>
    </w:pPr>
  </w:style>
  <w:style w:type="table" w:customStyle="1" w:styleId="TableGrid1">
    <w:name w:val="Table Grid1"/>
    <w:basedOn w:val="TableNormal"/>
    <w:next w:val="TableGrid"/>
    <w:uiPriority w:val="39"/>
    <w:rsid w:val="006C4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0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5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781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71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E1B"/>
    <w:rPr>
      <w:color w:val="954F72" w:themeColor="followedHyperlink"/>
      <w:u w:val="single"/>
    </w:rPr>
  </w:style>
  <w:style w:type="table" w:customStyle="1" w:styleId="TableGrid21">
    <w:name w:val="Table Grid2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6E3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1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F32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Listes Char,Citation List Char,Ha Char,List Paragraph1 Char,Body Char,List Paragraph_Table bullets Char,Bullet List Paragraph Char,1st level - Bullet List Paragraph Char,Lettre d'introduction Char,AFW Body Char"/>
    <w:link w:val="ListParagraph"/>
    <w:uiPriority w:val="34"/>
    <w:qFormat/>
    <w:locked/>
    <w:rsid w:val="00225C52"/>
    <w:rPr>
      <w:rFonts w:ascii="Times New Roman" w:eastAsia="Times New Roman" w:hAnsi="Times New Roman" w:cs="Times New Roman"/>
    </w:rPr>
  </w:style>
  <w:style w:type="table" w:customStyle="1" w:styleId="TableGrid6">
    <w:name w:val="Table Grid6"/>
    <w:basedOn w:val="TableNormal"/>
    <w:next w:val="TableGrid"/>
    <w:uiPriority w:val="39"/>
    <w:rsid w:val="006E3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64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32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A3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63F30"/>
    <w:rPr>
      <w:color w:val="605E5C"/>
      <w:shd w:val="clear" w:color="auto" w:fill="E1DFDD"/>
    </w:rPr>
  </w:style>
  <w:style w:type="table" w:customStyle="1" w:styleId="TableGrid10">
    <w:name w:val="Table Grid10"/>
    <w:basedOn w:val="TableNormal"/>
    <w:next w:val="TableGrid"/>
    <w:uiPriority w:val="39"/>
    <w:rsid w:val="00F03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2D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FA0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FD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3AB4"/>
    <w:rPr>
      <w:color w:val="605E5C"/>
      <w:shd w:val="clear" w:color="auto" w:fill="E1DFDD"/>
    </w:rPr>
  </w:style>
  <w:style w:type="character" w:customStyle="1" w:styleId="UnresolvedMention3">
    <w:name w:val="Unresolved Mention3"/>
    <w:basedOn w:val="DefaultParagraphFont"/>
    <w:uiPriority w:val="99"/>
    <w:semiHidden/>
    <w:unhideWhenUsed/>
    <w:rsid w:val="002859C4"/>
    <w:rPr>
      <w:color w:val="605E5C"/>
      <w:shd w:val="clear" w:color="auto" w:fill="E1DFDD"/>
    </w:rPr>
  </w:style>
  <w:style w:type="table" w:customStyle="1" w:styleId="TableGrid17">
    <w:name w:val="Table Grid17"/>
    <w:basedOn w:val="TableNormal"/>
    <w:next w:val="TableGrid"/>
    <w:uiPriority w:val="39"/>
    <w:rsid w:val="00C8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42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807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4E1A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4E1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141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8E2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8E2A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04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E110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240D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5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9113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B66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DC28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9042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6E4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921C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9D6A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8E44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A26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767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55A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344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A13A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330A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46E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806B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697B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B371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ListParagraph"/>
    <w:qFormat/>
    <w:rsid w:val="002634CF"/>
    <w:pPr>
      <w:numPr>
        <w:numId w:val="19"/>
      </w:numPr>
      <w:overflowPunct w:val="0"/>
      <w:autoSpaceDE w:val="0"/>
      <w:autoSpaceDN w:val="0"/>
      <w:adjustRightInd w:val="0"/>
      <w:spacing w:after="200" w:line="240" w:lineRule="auto"/>
      <w:ind w:left="426" w:hanging="426"/>
      <w:textAlignment w:val="baseline"/>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6361">
      <w:bodyDiv w:val="1"/>
      <w:marLeft w:val="0"/>
      <w:marRight w:val="0"/>
      <w:marTop w:val="0"/>
      <w:marBottom w:val="0"/>
      <w:divBdr>
        <w:top w:val="none" w:sz="0" w:space="0" w:color="auto"/>
        <w:left w:val="none" w:sz="0" w:space="0" w:color="auto"/>
        <w:bottom w:val="none" w:sz="0" w:space="0" w:color="auto"/>
        <w:right w:val="none" w:sz="0" w:space="0" w:color="auto"/>
      </w:divBdr>
      <w:divsChild>
        <w:div w:id="398020250">
          <w:marLeft w:val="0"/>
          <w:marRight w:val="0"/>
          <w:marTop w:val="100"/>
          <w:marBottom w:val="300"/>
          <w:divBdr>
            <w:top w:val="none" w:sz="0" w:space="0" w:color="auto"/>
            <w:left w:val="none" w:sz="0" w:space="0" w:color="auto"/>
            <w:bottom w:val="none" w:sz="0" w:space="0" w:color="auto"/>
            <w:right w:val="none" w:sz="0" w:space="0" w:color="auto"/>
          </w:divBdr>
          <w:divsChild>
            <w:div w:id="245918878">
              <w:marLeft w:val="0"/>
              <w:marRight w:val="0"/>
              <w:marTop w:val="0"/>
              <w:marBottom w:val="0"/>
              <w:divBdr>
                <w:top w:val="none" w:sz="0" w:space="0" w:color="auto"/>
                <w:left w:val="none" w:sz="0" w:space="0" w:color="auto"/>
                <w:bottom w:val="none" w:sz="0" w:space="0" w:color="auto"/>
                <w:right w:val="none" w:sz="0" w:space="0" w:color="auto"/>
              </w:divBdr>
              <w:divsChild>
                <w:div w:id="1110248796">
                  <w:marLeft w:val="0"/>
                  <w:marRight w:val="0"/>
                  <w:marTop w:val="0"/>
                  <w:marBottom w:val="30"/>
                  <w:divBdr>
                    <w:top w:val="none" w:sz="0" w:space="0" w:color="auto"/>
                    <w:left w:val="none" w:sz="0" w:space="0" w:color="auto"/>
                    <w:bottom w:val="none" w:sz="0" w:space="0" w:color="auto"/>
                    <w:right w:val="none" w:sz="0" w:space="0" w:color="auto"/>
                  </w:divBdr>
                </w:div>
                <w:div w:id="1481271744">
                  <w:marLeft w:val="0"/>
                  <w:marRight w:val="0"/>
                  <w:marTop w:val="0"/>
                  <w:marBottom w:val="0"/>
                  <w:divBdr>
                    <w:top w:val="single" w:sz="6" w:space="0" w:color="C6C6C6"/>
                    <w:left w:val="single" w:sz="6" w:space="0" w:color="C6C6C6"/>
                    <w:bottom w:val="single" w:sz="6" w:space="0" w:color="C6C6C6"/>
                    <w:right w:val="single" w:sz="6" w:space="0" w:color="C6C6C6"/>
                  </w:divBdr>
                  <w:divsChild>
                    <w:div w:id="426850931">
                      <w:marLeft w:val="0"/>
                      <w:marRight w:val="0"/>
                      <w:marTop w:val="0"/>
                      <w:marBottom w:val="0"/>
                      <w:divBdr>
                        <w:top w:val="none" w:sz="0" w:space="0" w:color="auto"/>
                        <w:left w:val="none" w:sz="0" w:space="0" w:color="auto"/>
                        <w:bottom w:val="none" w:sz="0" w:space="0" w:color="auto"/>
                        <w:right w:val="none" w:sz="0" w:space="0" w:color="auto"/>
                      </w:divBdr>
                      <w:divsChild>
                        <w:div w:id="849754206">
                          <w:marLeft w:val="0"/>
                          <w:marRight w:val="0"/>
                          <w:marTop w:val="0"/>
                          <w:marBottom w:val="0"/>
                          <w:divBdr>
                            <w:top w:val="none" w:sz="0" w:space="0" w:color="auto"/>
                            <w:left w:val="none" w:sz="0" w:space="0" w:color="auto"/>
                            <w:bottom w:val="none" w:sz="0" w:space="0" w:color="auto"/>
                            <w:right w:val="none" w:sz="0" w:space="0" w:color="auto"/>
                          </w:divBdr>
                          <w:divsChild>
                            <w:div w:id="97529270">
                              <w:marLeft w:val="0"/>
                              <w:marRight w:val="0"/>
                              <w:marTop w:val="0"/>
                              <w:marBottom w:val="0"/>
                              <w:divBdr>
                                <w:top w:val="none" w:sz="0" w:space="0" w:color="auto"/>
                                <w:left w:val="none" w:sz="0" w:space="0" w:color="auto"/>
                                <w:bottom w:val="none" w:sz="0" w:space="0" w:color="auto"/>
                                <w:right w:val="none" w:sz="0" w:space="0" w:color="auto"/>
                              </w:divBdr>
                              <w:divsChild>
                                <w:div w:id="1754623645">
                                  <w:marLeft w:val="0"/>
                                  <w:marRight w:val="0"/>
                                  <w:marTop w:val="0"/>
                                  <w:marBottom w:val="0"/>
                                  <w:divBdr>
                                    <w:top w:val="none" w:sz="0" w:space="0" w:color="auto"/>
                                    <w:left w:val="none" w:sz="0" w:space="0" w:color="auto"/>
                                    <w:bottom w:val="none" w:sz="0" w:space="0" w:color="auto"/>
                                    <w:right w:val="none" w:sz="0" w:space="0" w:color="auto"/>
                                  </w:divBdr>
                                  <w:divsChild>
                                    <w:div w:id="1000037589">
                                      <w:marLeft w:val="0"/>
                                      <w:marRight w:val="0"/>
                                      <w:marTop w:val="0"/>
                                      <w:marBottom w:val="0"/>
                                      <w:divBdr>
                                        <w:top w:val="none" w:sz="0" w:space="0" w:color="auto"/>
                                        <w:left w:val="none" w:sz="0" w:space="0" w:color="auto"/>
                                        <w:bottom w:val="none" w:sz="0" w:space="0" w:color="auto"/>
                                        <w:right w:val="none" w:sz="0" w:space="0" w:color="auto"/>
                                      </w:divBdr>
                                    </w:div>
                                  </w:divsChild>
                                </w:div>
                                <w:div w:id="110979431">
                                  <w:marLeft w:val="0"/>
                                  <w:marRight w:val="0"/>
                                  <w:marTop w:val="0"/>
                                  <w:marBottom w:val="0"/>
                                  <w:divBdr>
                                    <w:top w:val="none" w:sz="0" w:space="0" w:color="auto"/>
                                    <w:left w:val="none" w:sz="0" w:space="0" w:color="auto"/>
                                    <w:bottom w:val="none" w:sz="0" w:space="0" w:color="auto"/>
                                    <w:right w:val="none" w:sz="0" w:space="0" w:color="auto"/>
                                  </w:divBdr>
                                  <w:divsChild>
                                    <w:div w:id="872578047">
                                      <w:marLeft w:val="0"/>
                                      <w:marRight w:val="0"/>
                                      <w:marTop w:val="0"/>
                                      <w:marBottom w:val="0"/>
                                      <w:divBdr>
                                        <w:top w:val="none" w:sz="0" w:space="0" w:color="auto"/>
                                        <w:left w:val="none" w:sz="0" w:space="0" w:color="auto"/>
                                        <w:bottom w:val="none" w:sz="0" w:space="0" w:color="auto"/>
                                        <w:right w:val="none" w:sz="0" w:space="0" w:color="auto"/>
                                      </w:divBdr>
                                    </w:div>
                                  </w:divsChild>
                                </w:div>
                                <w:div w:id="1294365384">
                                  <w:marLeft w:val="0"/>
                                  <w:marRight w:val="0"/>
                                  <w:marTop w:val="0"/>
                                  <w:marBottom w:val="0"/>
                                  <w:divBdr>
                                    <w:top w:val="none" w:sz="0" w:space="0" w:color="auto"/>
                                    <w:left w:val="none" w:sz="0" w:space="0" w:color="auto"/>
                                    <w:bottom w:val="none" w:sz="0" w:space="0" w:color="auto"/>
                                    <w:right w:val="none" w:sz="0" w:space="0" w:color="auto"/>
                                  </w:divBdr>
                                  <w:divsChild>
                                    <w:div w:id="12883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74249">
          <w:marLeft w:val="0"/>
          <w:marRight w:val="0"/>
          <w:marTop w:val="100"/>
          <w:marBottom w:val="300"/>
          <w:divBdr>
            <w:top w:val="none" w:sz="0" w:space="0" w:color="auto"/>
            <w:left w:val="none" w:sz="0" w:space="0" w:color="auto"/>
            <w:bottom w:val="none" w:sz="0" w:space="0" w:color="auto"/>
            <w:right w:val="none" w:sz="0" w:space="0" w:color="auto"/>
          </w:divBdr>
          <w:divsChild>
            <w:div w:id="849638979">
              <w:marLeft w:val="0"/>
              <w:marRight w:val="0"/>
              <w:marTop w:val="0"/>
              <w:marBottom w:val="0"/>
              <w:divBdr>
                <w:top w:val="none" w:sz="0" w:space="0" w:color="auto"/>
                <w:left w:val="none" w:sz="0" w:space="0" w:color="auto"/>
                <w:bottom w:val="none" w:sz="0" w:space="0" w:color="auto"/>
                <w:right w:val="none" w:sz="0" w:space="0" w:color="auto"/>
              </w:divBdr>
              <w:divsChild>
                <w:div w:id="255869606">
                  <w:marLeft w:val="0"/>
                  <w:marRight w:val="0"/>
                  <w:marTop w:val="0"/>
                  <w:marBottom w:val="30"/>
                  <w:divBdr>
                    <w:top w:val="none" w:sz="0" w:space="0" w:color="auto"/>
                    <w:left w:val="none" w:sz="0" w:space="0" w:color="auto"/>
                    <w:bottom w:val="none" w:sz="0" w:space="0" w:color="auto"/>
                    <w:right w:val="none" w:sz="0" w:space="0" w:color="auto"/>
                  </w:divBdr>
                </w:div>
                <w:div w:id="110562796">
                  <w:marLeft w:val="0"/>
                  <w:marRight w:val="0"/>
                  <w:marTop w:val="0"/>
                  <w:marBottom w:val="0"/>
                  <w:divBdr>
                    <w:top w:val="single" w:sz="6" w:space="0" w:color="C6C6C6"/>
                    <w:left w:val="single" w:sz="6" w:space="0" w:color="C6C6C6"/>
                    <w:bottom w:val="single" w:sz="6" w:space="0" w:color="C6C6C6"/>
                    <w:right w:val="single" w:sz="6" w:space="0" w:color="C6C6C6"/>
                  </w:divBdr>
                  <w:divsChild>
                    <w:div w:id="2031295210">
                      <w:marLeft w:val="0"/>
                      <w:marRight w:val="0"/>
                      <w:marTop w:val="0"/>
                      <w:marBottom w:val="0"/>
                      <w:divBdr>
                        <w:top w:val="none" w:sz="0" w:space="0" w:color="auto"/>
                        <w:left w:val="none" w:sz="0" w:space="0" w:color="auto"/>
                        <w:bottom w:val="none" w:sz="0" w:space="0" w:color="auto"/>
                        <w:right w:val="none" w:sz="0" w:space="0" w:color="auto"/>
                      </w:divBdr>
                      <w:divsChild>
                        <w:div w:id="1561601300">
                          <w:marLeft w:val="0"/>
                          <w:marRight w:val="0"/>
                          <w:marTop w:val="0"/>
                          <w:marBottom w:val="0"/>
                          <w:divBdr>
                            <w:top w:val="none" w:sz="0" w:space="0" w:color="auto"/>
                            <w:left w:val="none" w:sz="0" w:space="0" w:color="auto"/>
                            <w:bottom w:val="none" w:sz="0" w:space="0" w:color="auto"/>
                            <w:right w:val="none" w:sz="0" w:space="0" w:color="auto"/>
                          </w:divBdr>
                          <w:divsChild>
                            <w:div w:id="2041934091">
                              <w:marLeft w:val="0"/>
                              <w:marRight w:val="0"/>
                              <w:marTop w:val="0"/>
                              <w:marBottom w:val="0"/>
                              <w:divBdr>
                                <w:top w:val="none" w:sz="0" w:space="0" w:color="auto"/>
                                <w:left w:val="none" w:sz="0" w:space="0" w:color="auto"/>
                                <w:bottom w:val="none" w:sz="0" w:space="0" w:color="auto"/>
                                <w:right w:val="none" w:sz="0" w:space="0" w:color="auto"/>
                              </w:divBdr>
                              <w:divsChild>
                                <w:div w:id="20845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86948">
      <w:bodyDiv w:val="1"/>
      <w:marLeft w:val="0"/>
      <w:marRight w:val="0"/>
      <w:marTop w:val="0"/>
      <w:marBottom w:val="0"/>
      <w:divBdr>
        <w:top w:val="none" w:sz="0" w:space="0" w:color="auto"/>
        <w:left w:val="none" w:sz="0" w:space="0" w:color="auto"/>
        <w:bottom w:val="none" w:sz="0" w:space="0" w:color="auto"/>
        <w:right w:val="none" w:sz="0" w:space="0" w:color="auto"/>
      </w:divBdr>
    </w:div>
    <w:div w:id="200830218">
      <w:bodyDiv w:val="1"/>
      <w:marLeft w:val="0"/>
      <w:marRight w:val="0"/>
      <w:marTop w:val="0"/>
      <w:marBottom w:val="0"/>
      <w:divBdr>
        <w:top w:val="none" w:sz="0" w:space="0" w:color="auto"/>
        <w:left w:val="none" w:sz="0" w:space="0" w:color="auto"/>
        <w:bottom w:val="none" w:sz="0" w:space="0" w:color="auto"/>
        <w:right w:val="none" w:sz="0" w:space="0" w:color="auto"/>
      </w:divBdr>
    </w:div>
    <w:div w:id="348336505">
      <w:bodyDiv w:val="1"/>
      <w:marLeft w:val="0"/>
      <w:marRight w:val="0"/>
      <w:marTop w:val="0"/>
      <w:marBottom w:val="0"/>
      <w:divBdr>
        <w:top w:val="none" w:sz="0" w:space="0" w:color="auto"/>
        <w:left w:val="none" w:sz="0" w:space="0" w:color="auto"/>
        <w:bottom w:val="none" w:sz="0" w:space="0" w:color="auto"/>
        <w:right w:val="none" w:sz="0" w:space="0" w:color="auto"/>
      </w:divBdr>
    </w:div>
    <w:div w:id="557983214">
      <w:bodyDiv w:val="1"/>
      <w:marLeft w:val="0"/>
      <w:marRight w:val="0"/>
      <w:marTop w:val="0"/>
      <w:marBottom w:val="0"/>
      <w:divBdr>
        <w:top w:val="none" w:sz="0" w:space="0" w:color="auto"/>
        <w:left w:val="none" w:sz="0" w:space="0" w:color="auto"/>
        <w:bottom w:val="none" w:sz="0" w:space="0" w:color="auto"/>
        <w:right w:val="none" w:sz="0" w:space="0" w:color="auto"/>
      </w:divBdr>
    </w:div>
    <w:div w:id="1272208071">
      <w:bodyDiv w:val="1"/>
      <w:marLeft w:val="0"/>
      <w:marRight w:val="0"/>
      <w:marTop w:val="0"/>
      <w:marBottom w:val="0"/>
      <w:divBdr>
        <w:top w:val="none" w:sz="0" w:space="0" w:color="auto"/>
        <w:left w:val="none" w:sz="0" w:space="0" w:color="auto"/>
        <w:bottom w:val="none" w:sz="0" w:space="0" w:color="auto"/>
        <w:right w:val="none" w:sz="0" w:space="0" w:color="auto"/>
      </w:divBdr>
    </w:div>
    <w:div w:id="1442455948">
      <w:bodyDiv w:val="1"/>
      <w:marLeft w:val="0"/>
      <w:marRight w:val="0"/>
      <w:marTop w:val="0"/>
      <w:marBottom w:val="0"/>
      <w:divBdr>
        <w:top w:val="none" w:sz="0" w:space="0" w:color="auto"/>
        <w:left w:val="none" w:sz="0" w:space="0" w:color="auto"/>
        <w:bottom w:val="none" w:sz="0" w:space="0" w:color="auto"/>
        <w:right w:val="none" w:sz="0" w:space="0" w:color="auto"/>
      </w:divBdr>
    </w:div>
    <w:div w:id="1528565785">
      <w:bodyDiv w:val="1"/>
      <w:marLeft w:val="0"/>
      <w:marRight w:val="0"/>
      <w:marTop w:val="0"/>
      <w:marBottom w:val="0"/>
      <w:divBdr>
        <w:top w:val="none" w:sz="0" w:space="0" w:color="auto"/>
        <w:left w:val="none" w:sz="0" w:space="0" w:color="auto"/>
        <w:bottom w:val="none" w:sz="0" w:space="0" w:color="auto"/>
        <w:right w:val="none" w:sz="0" w:space="0" w:color="auto"/>
      </w:divBdr>
    </w:div>
    <w:div w:id="203642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esc.europa.eu/pt/our-work/opinions-information-reports/opinions/second-set-new-own-resources" TargetMode="External"/><Relationship Id="rId21" Type="http://schemas.openxmlformats.org/officeDocument/2006/relationships/hyperlink" Target="https://www.eesc.europa.eu/pt/our-work/opinions-information-reports/opinions/implementation-eu-macro-regional-strategies" TargetMode="External"/><Relationship Id="rId42" Type="http://schemas.openxmlformats.org/officeDocument/2006/relationships/hyperlink" Target="https://www.eesc.europa.eu/pt/our-work/opinions-information-reports/opinions/right-repair" TargetMode="External"/><Relationship Id="rId47" Type="http://schemas.openxmlformats.org/officeDocument/2006/relationships/hyperlink" Target="mailto:Martine.Delanoy@eesc.europa.eu" TargetMode="External"/><Relationship Id="rId63" Type="http://schemas.openxmlformats.org/officeDocument/2006/relationships/hyperlink" Target="https://www.eesc.europa.eu/pt/our-work/opinions-information-reports/opinions/eu-hydrogen-bank" TargetMode="External"/><Relationship Id="rId68" Type="http://schemas.openxmlformats.org/officeDocument/2006/relationships/header" Target="header5.xml"/><Relationship Id="rId16" Type="http://schemas.openxmlformats.org/officeDocument/2006/relationships/header" Target="header2.xml"/><Relationship Id="rId29" Type="http://schemas.openxmlformats.org/officeDocument/2006/relationships/hyperlink" Target="https://www.eesc.europa.eu/pt/our-work/opinions-information-reports/opinions/social-progress-protocol" TargetMode="External"/><Relationship Id="rId11" Type="http://schemas.openxmlformats.org/officeDocument/2006/relationships/endnotes" Target="endnotes.xml"/><Relationship Id="rId24" Type="http://schemas.openxmlformats.org/officeDocument/2006/relationships/hyperlink" Target="https://ec.europa.eu/regional_policy/information-sources/publications/communications/2023/harnessing-talent-in-europe-s-regions_en" TargetMode="External"/><Relationship Id="rId32" Type="http://schemas.openxmlformats.org/officeDocument/2006/relationships/hyperlink" Target="https://www.eesc.europa.eu/pt/our-work/opinions-information-reports/opinions/green-collective-bargaining" TargetMode="External"/><Relationship Id="rId37" Type="http://schemas.openxmlformats.org/officeDocument/2006/relationships/hyperlink" Target="mailto:Alice.Tetu@eesc.europa.eu" TargetMode="External"/><Relationship Id="rId40" Type="http://schemas.openxmlformats.org/officeDocument/2006/relationships/hyperlink" Target="https://www.eesc.europa.eu/pt/our-work/opinions-information-reports/opinions/company-law-use-digital-tools-and-processes" TargetMode="External"/><Relationship Id="rId45" Type="http://schemas.openxmlformats.org/officeDocument/2006/relationships/hyperlink" Target="mailto:Martine.Delanoy@eesc.europa.eu" TargetMode="External"/><Relationship Id="rId53" Type="http://schemas.openxmlformats.org/officeDocument/2006/relationships/hyperlink" Target="mailto:Francesco.Napolitano@eesc.europa.eu" TargetMode="External"/><Relationship Id="rId58" Type="http://schemas.openxmlformats.org/officeDocument/2006/relationships/hyperlink" Target="https://www.eesc.europa.eu/our-work/opinions-information-reports/opinions/eu-wholesale-energy-market" TargetMode="External"/><Relationship Id="rId66" Type="http://schemas.openxmlformats.org/officeDocument/2006/relationships/hyperlink" Target="mailto:Marie-laurence.Drillon@eesc.europa.eu" TargetMode="External"/><Relationship Id="rId74" Type="http://schemas.openxmlformats.org/officeDocument/2006/relationships/theme" Target="theme/theme1.xml"/><Relationship Id="rId61" Type="http://schemas.openxmlformats.org/officeDocument/2006/relationships/hyperlink" Target="http://memberspage.eesc.europa.eu/Search/Details/Person/2014084?onlyActiveMandate=True&amp;isMinimal=False" TargetMode="External"/><Relationship Id="rId19" Type="http://schemas.openxmlformats.org/officeDocument/2006/relationships/header" Target="header3.xml"/><Relationship Id="rId14" Type="http://schemas.openxmlformats.org/officeDocument/2006/relationships/hyperlink" Target="https://dmsearch.eesc.europa.eu/search/opinion" TargetMode="External"/><Relationship Id="rId22" Type="http://schemas.openxmlformats.org/officeDocument/2006/relationships/hyperlink" Target="mailto:Georgios.Meleas@eesc.europa.eu" TargetMode="External"/><Relationship Id="rId27" Type="http://schemas.openxmlformats.org/officeDocument/2006/relationships/hyperlink" Target="mailto:Gerald.Klec@eesc.europa.eu" TargetMode="External"/><Relationship Id="rId30" Type="http://schemas.openxmlformats.org/officeDocument/2006/relationships/hyperlink" Target="mailto:June.Bedaton@eesc.europa.eu" TargetMode="External"/><Relationship Id="rId35" Type="http://schemas.openxmlformats.org/officeDocument/2006/relationships/hyperlink" Target="mailto:Margherita.Logrillo@eesc.europa.eu" TargetMode="External"/><Relationship Id="rId43" Type="http://schemas.openxmlformats.org/officeDocument/2006/relationships/hyperlink" Target="mailto:Dalila.Bernard@eesc.europa.eu" TargetMode="External"/><Relationship Id="rId48" Type="http://schemas.openxmlformats.org/officeDocument/2006/relationships/hyperlink" Target="https://www.eesc.europa.eu/pt/our-work/opinions-information-reports/information-reports/ex-post-evaluation-european-unions-civil-protection-mechanism-including-resceu" TargetMode="External"/><Relationship Id="rId56" Type="http://schemas.openxmlformats.org/officeDocument/2006/relationships/hyperlink" Target="https://www.eesc.europa.eu/pt/our-work/opinions-information-reports/opinions/driving-licences-and-driving-disqualifications" TargetMode="External"/><Relationship Id="rId64" Type="http://schemas.openxmlformats.org/officeDocument/2006/relationships/hyperlink" Target="mailto:GiorgiaAndrea.Bordignon@eesc.europa.eu" TargetMode="External"/><Relationship Id="rId69" Type="http://schemas.openxmlformats.org/officeDocument/2006/relationships/footer" Target="footer4.xml"/><Relationship Id="rId77" Type="http://schemas.openxmlformats.org/officeDocument/2006/relationships/customXml" Target="../customXml/item3.xml"/><Relationship Id="rId8" Type="http://schemas.openxmlformats.org/officeDocument/2006/relationships/settings" Target="settings.xml"/><Relationship Id="rId51" Type="http://schemas.openxmlformats.org/officeDocument/2006/relationships/hyperlink" Target="mailto:Arturo.Iniguez@eesc.europa.eu" TargetMode="External"/><Relationship Id="rId72" Type="http://schemas.openxmlformats.org/officeDocument/2006/relationships/footer" Target="footer6.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mailto:Georgios.Meleas@eesc.europa.eu" TargetMode="External"/><Relationship Id="rId33" Type="http://schemas.openxmlformats.org/officeDocument/2006/relationships/hyperlink" Target="mailto:Triin.AasmaaGomes@eesc.europa.eu" TargetMode="External"/><Relationship Id="rId38" Type="http://schemas.openxmlformats.org/officeDocument/2006/relationships/hyperlink" Target="https://www.eesc.europa.eu/pt/our-work/opinions-information-reports/opinions/green-claims" TargetMode="External"/><Relationship Id="rId46" Type="http://schemas.openxmlformats.org/officeDocument/2006/relationships/hyperlink" Target="https://www.eesc.europa.eu/pt/our-work/opinions-information-reports/opinions/towards-european-food-policy-council-new-governance-model-future-eu-framework-sustainable-food-systems" TargetMode="External"/><Relationship Id="rId59" Type="http://schemas.openxmlformats.org/officeDocument/2006/relationships/hyperlink" Target="mailto:Agota.Bazsik@eesc.europa.eu" TargetMode="External"/><Relationship Id="rId67" Type="http://schemas.openxmlformats.org/officeDocument/2006/relationships/header" Target="header4.xml"/><Relationship Id="rId20" Type="http://schemas.openxmlformats.org/officeDocument/2006/relationships/footer" Target="footer3.xml"/><Relationship Id="rId41" Type="http://schemas.openxmlformats.org/officeDocument/2006/relationships/hyperlink" Target="mailto:Marco.Manfroni@eesc.europa.eu" TargetMode="External"/><Relationship Id="rId54" Type="http://schemas.openxmlformats.org/officeDocument/2006/relationships/hyperlink" Target="https://www.eesc.europa.eu/pt/our-work/opinions-information-reports/opinions/impact-energy-crisis-european-economy" TargetMode="External"/><Relationship Id="rId62" Type="http://schemas.openxmlformats.org/officeDocument/2006/relationships/hyperlink" Target="mailto:Agota.Bazsik@eesc.europa.eu" TargetMode="External"/><Relationship Id="rId70" Type="http://schemas.openxmlformats.org/officeDocument/2006/relationships/footer" Target="footer5.xml"/><Relationship Id="rId75"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eesc.europa.eu/pt/our-work/opinions-information-reports/opinions/harnessing-talents-eu-regions" TargetMode="External"/><Relationship Id="rId28" Type="http://schemas.openxmlformats.org/officeDocument/2006/relationships/hyperlink" Target="https://www.eesc.europa.eu/pt/our-work/opinions-information-reports/information-reports/equal-treatment-young-people-labour-market" TargetMode="External"/><Relationship Id="rId36" Type="http://schemas.openxmlformats.org/officeDocument/2006/relationships/hyperlink" Target="mailto:Alice.Tetu@eesc.europa.eu" TargetMode="External"/><Relationship Id="rId49" Type="http://schemas.openxmlformats.org/officeDocument/2006/relationships/hyperlink" Target="mailto:Arturo.Iniguez@eesc.europa.eu" TargetMode="External"/><Relationship Id="rId57" Type="http://schemas.openxmlformats.org/officeDocument/2006/relationships/hyperlink" Target="mailto:Aleksandra.SarmanGrilc@eesc.europa.eu" TargetMode="External"/><Relationship Id="rId10" Type="http://schemas.openxmlformats.org/officeDocument/2006/relationships/footnotes" Target="footnotes.xml"/><Relationship Id="rId31" Type="http://schemas.openxmlformats.org/officeDocument/2006/relationships/hyperlink" Target="https://www.eesc.europa.eu/pt/our-work/opinions-information-reports/opinions/cooperation-youth" TargetMode="External"/><Relationship Id="rId44" Type="http://schemas.openxmlformats.org/officeDocument/2006/relationships/hyperlink" Target="https://www.eesc.europa.eu/pt/our-work/opinions-information-reports/opinions/digital-labelling-eu-fertilising-products" TargetMode="External"/><Relationship Id="rId52" Type="http://schemas.openxmlformats.org/officeDocument/2006/relationships/hyperlink" Target="https://www.eesc.europa.eu/pt/our-work/opinions-information-reports/opinions/monitoring-eus-extraordinary-measures-and-resilience-field-energy" TargetMode="External"/><Relationship Id="rId60" Type="http://schemas.openxmlformats.org/officeDocument/2006/relationships/hyperlink" Target="https://www.eesc.europa.eu/pt/our-work/opinions-information-reports/opinions/electricity-market-reform" TargetMode="External"/><Relationship Id="rId65" Type="http://schemas.openxmlformats.org/officeDocument/2006/relationships/hyperlink" Target="https://www.eesc.europa.eu/pt/our-work/opinions-information-reports/opinions/proposal-eu-cyber-defence-policy" TargetMode="External"/><Relationship Id="rId73" Type="http://schemas.openxmlformats.org/officeDocument/2006/relationships/fontTable" Target="fontTable.xml"/><Relationship Id="rId78"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esc.europa.eu/hu/our-work/opinions-information-reports/plenary-session-summaries" TargetMode="External"/><Relationship Id="rId18" Type="http://schemas.openxmlformats.org/officeDocument/2006/relationships/footer" Target="footer2.xml"/><Relationship Id="rId39" Type="http://schemas.openxmlformats.org/officeDocument/2006/relationships/hyperlink" Target="mailto:Silvia.Staffa@eesc.europa.eu" TargetMode="External"/><Relationship Id="rId34" Type="http://schemas.openxmlformats.org/officeDocument/2006/relationships/hyperlink" Target="https://www.eesc.europa.eu/pt/our-work/opinions-information-reports/opinions/measures-fight-stigma-against-hiv" TargetMode="External"/><Relationship Id="rId50" Type="http://schemas.openxmlformats.org/officeDocument/2006/relationships/hyperlink" Target="https://www.eesc.europa.eu/pt/our-work/opinions-information-reports/opinions/fisheries-nafo" TargetMode="External"/><Relationship Id="rId55" Type="http://schemas.openxmlformats.org/officeDocument/2006/relationships/hyperlink" Target="mailto:Aleksandra.SarmanGrilc@eesc.europa.eu" TargetMode="External"/><Relationship Id="rId76" Type="http://schemas.openxmlformats.org/officeDocument/2006/relationships/customXml" Target="../customXml/item2.xml"/><Relationship Id="rId7" Type="http://schemas.openxmlformats.org/officeDocument/2006/relationships/styles" Target="styles.xml"/><Relationship Id="rId71"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PT/TXT/?uri=CELEX%3A52022AE1131&amp;qid=1685032241380" TargetMode="External"/><Relationship Id="rId2" Type="http://schemas.openxmlformats.org/officeDocument/2006/relationships/hyperlink" Target="http://eur-lex.europa.eu/LexUriServ/LexUriServ.do?uri=OJ:C:2020:429:SOM:PT:HTML" TargetMode="External"/><Relationship Id="rId1" Type="http://schemas.openxmlformats.org/officeDocument/2006/relationships/hyperlink" Target="https://eur-lex.europa.eu/LexUriServ/LexUriServ.do?uri=OJ:L:2019:159:SOM:P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6202344E2A73294A96CB0CA75BC1E892" ma:contentTypeVersion="4" ma:contentTypeDescription="Defines the documents for Document Manager V2" ma:contentTypeScope="" ma:versionID="ecb11ea02f4bb4de1d51dea53ea9abb1">
  <xsd:schema xmlns:xsd="http://www.w3.org/2001/XMLSchema" xmlns:xs="http://www.w3.org/2001/XMLSchema" xmlns:p="http://schemas.microsoft.com/office/2006/metadata/properties" xmlns:ns2="56a5413d-c261-4a00-870c-a20d3379ae6d" xmlns:ns3="http://schemas.microsoft.com/sharepoint/v3/fields" xmlns:ns4="0257f74b-9830-4f7d-85e6-515b2ff0b009" targetNamespace="http://schemas.microsoft.com/office/2006/metadata/properties" ma:root="true" ma:fieldsID="82152abbcefe8ad6a9ccf6e9d8d725f6" ns2:_="" ns3:_="" ns4:_="">
    <xsd:import namespace="56a5413d-c261-4a00-870c-a20d3379ae6d"/>
    <xsd:import namespace="http://schemas.microsoft.com/sharepoint/v3/fields"/>
    <xsd:import namespace="0257f74b-9830-4f7d-85e6-515b2ff0b00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57f74b-9830-4f7d-85e6-515b2ff0b009"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XMKEDVFMMJCW-1593724795-4739</_dlc_DocId>
    <_dlc_DocIdUrl xmlns="56a5413d-c261-4a00-870c-a20d3379ae6d">
      <Url>http://dm2016/eesc/2023/_layouts/15/DocIdRedir.aspx?ID=XMKEDVFMMJCW-1593724795-4739</Url>
      <Description>XMKEDVFMMJCW-1593724795-4739</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2023-07-04T12:00:00+00:00</ProductionDate>
    <DocumentNumber xmlns="0257f74b-9830-4f7d-85e6-515b2ff0b009">2218</DocumentNumber>
    <FicheYear xmlns="56a5413d-c261-4a00-870c-a20d3379ae6d" xsi:nil="true"/>
    <DocumentVersion xmlns="56a5413d-c261-4a00-870c-a20d3379ae6d">1</DocumentVersion>
    <DossierNumber xmlns="56a5413d-c261-4a00-870c-a20d3379ae6d"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56a5413d-c261-4a00-870c-a20d3379ae6d">2023-07-12T12:00:00+00:00</MeetingDate>
    <TaxCatchAll xmlns="56a5413d-c261-4a00-870c-a20d3379ae6d">
      <Value>59</Value>
      <Value>46</Value>
      <Value>45</Value>
      <Value>44</Value>
      <Value>43</Value>
      <Value>42</Value>
      <Value>41</Value>
      <Value>40</Value>
      <Value>39</Value>
      <Value>38</Value>
      <Value>37</Value>
      <Value>35</Value>
      <Value>34</Value>
      <Value>33</Value>
      <Value>32</Value>
      <Value>31</Value>
      <Value>30</Value>
      <Value>25</Value>
      <Value>24</Value>
      <Value>21</Value>
      <Value>16</Value>
      <Value>10</Value>
      <Value>9</Value>
      <Value>8</Value>
      <Value>7</Value>
      <Value>5</Value>
      <Value>3</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8087</FicheNumber>
    <OriginalSender xmlns="56a5413d-c261-4a00-870c-a20d3379ae6d">
      <UserInfo>
        <DisplayName>Rodrigues Dias Aline</DisplayName>
        <AccountId>1668</AccountId>
        <AccountType/>
      </UserInfo>
    </OriginalSender>
    <DocumentPart xmlns="56a5413d-c261-4a00-870c-a20d3379ae6d">0</DocumentPart>
    <AdoptionDate xmlns="56a5413d-c261-4a00-870c-a20d3379ae6d" xsi:nil="true"/>
    <RequestingService xmlns="56a5413d-c261-4a00-870c-a20d3379ae6d">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0257f74b-9830-4f7d-85e6-515b2ff0b009">580</MeetingNumber>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03AD4E6D-BDAC-48DA-89A3-EB0B55BC0808}"/>
</file>

<file path=customXml/itemProps2.xml><?xml version="1.0" encoding="utf-8"?>
<ds:datastoreItem xmlns:ds="http://schemas.openxmlformats.org/officeDocument/2006/customXml" ds:itemID="{42D3117B-BEC8-49E2-B4D2-3AA71BC31FAD}"/>
</file>

<file path=customXml/itemProps3.xml><?xml version="1.0" encoding="utf-8"?>
<ds:datastoreItem xmlns:ds="http://schemas.openxmlformats.org/officeDocument/2006/customXml" ds:itemID="{B90A3F8B-4A8A-45C7-ACB2-E7D9CBE1663A}"/>
</file>

<file path=customXml/itemProps4.xml><?xml version="1.0" encoding="utf-8"?>
<ds:datastoreItem xmlns:ds="http://schemas.openxmlformats.org/officeDocument/2006/customXml" ds:itemID="{D366FE8C-9053-48E4-A0BB-B3EBF1F448DD}"/>
</file>

<file path=docProps/app.xml><?xml version="1.0" encoding="utf-8"?>
<Properties xmlns="http://schemas.openxmlformats.org/officeDocument/2006/extended-properties" xmlns:vt="http://schemas.openxmlformats.org/officeDocument/2006/docPropsVTypes">
  <Template>Normal.dotm</Template>
  <TotalTime>0</TotalTime>
  <Pages>27</Pages>
  <Words>8456</Words>
  <Characters>48200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Summary of opinions - 578th plenary session April 2023</vt:lpstr>
    </vt:vector>
  </TitlesOfParts>
  <Company>CESE-CdR</Company>
  <LinksUpToDate>false</LinksUpToDate>
  <CharactersWithSpaces>56543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dos Pareceres - 579.ª reunião plenária - junho de 2023</dc:title>
  <dc:subject>TCD</dc:subject>
  <dc:creator>Nieddu Emma</dc:creator>
  <cp:keywords>EESC-2023-02218-00-01-TCD-TRA-EN</cp:keywords>
  <dc:description>Rapporteur:  - Original language: EN - Date of document: 04/07/2023 - Date of meeting: 30/12/2023 14:30 - External documents:  - Administrator: MME TAMASAUSKIENE Julija</dc:description>
  <cp:lastModifiedBy>Rodrigues Dias Aline</cp:lastModifiedBy>
  <cp:revision>22</cp:revision>
  <cp:lastPrinted>2023-06-15T08:00:00Z</cp:lastPrinted>
  <dcterms:created xsi:type="dcterms:W3CDTF">2023-06-30T12:33:00Z</dcterms:created>
  <dcterms:modified xsi:type="dcterms:W3CDTF">2023-07-04T11:12:00Z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30/06/2023, 23/06/2023, 26/05/2023, 07/03/2023, 11/01/2023, 10/01/2023, 29/03/2022, 04/03/2022, 15/12/2021, 13/09/2021, 03/09/2021, 28/06/2021</vt:lpwstr>
  </property>
  <property fmtid="{D5CDD505-2E9C-101B-9397-08002B2CF9AE}" pid="4" name="Pref_Time">
    <vt:lpwstr>14:00:08, 12:39:02, 15:12:50, 10:27:54, 10:12:15, 11:41:25, 14:21:50, 16:54:06, 17:56:36, 14:13:00, 10:08:10, 08:41:48</vt:lpwstr>
  </property>
  <property fmtid="{D5CDD505-2E9C-101B-9397-08002B2CF9AE}" pid="5" name="Pref_User">
    <vt:lpwstr>pacup, jhvi, pacup, enied, pacup, enied, jhvi, enied, hnic, amett, enied, enied</vt:lpwstr>
  </property>
  <property fmtid="{D5CDD505-2E9C-101B-9397-08002B2CF9AE}" pid="6" name="Pref_FileName">
    <vt:lpwstr>EESC-2023-02218-00-01-TCD-TRA.docx, EESC-2023-02218-00-00-TCD-ORI.docx, EESC-2023-01891-00-00-TCD-TRA.docx, EESC-2023-00570-00-00-TCD-ORI.docx, EESC-2022-05401-00-01-TCD-TRA.docx, EESC-2022-05401-00-00-TCD-ORI.docx, EESC-2022-01223-00-00-TCD-ORI.docx, EES</vt:lpwstr>
  </property>
  <property fmtid="{D5CDD505-2E9C-101B-9397-08002B2CF9AE}" pid="7" name="ContentTypeId">
    <vt:lpwstr>0x010100EA97B91038054C99906057A708A1480A006202344E2A73294A96CB0CA75BC1E892</vt:lpwstr>
  </property>
  <property fmtid="{D5CDD505-2E9C-101B-9397-08002B2CF9AE}" pid="8" name="_dlc_DocIdItemGuid">
    <vt:lpwstr>99081780-66b0-4224-82f2-75dbee36ad21</vt:lpwstr>
  </property>
  <property fmtid="{D5CDD505-2E9C-101B-9397-08002B2CF9AE}" pid="9" name="AvailableTranslations">
    <vt:lpwstr>43;#DA|5d49c027-8956-412b-aa16-e85a0f96ad0e;#41;#HU|6b229040-c589-4408-b4c1-4285663d20a8;#10;#FR|d2afafd3-4c81-4f60-8f52-ee33f2f54ff3;#40;#RO|feb747a2-64cd-4299-af12-4833ddc30497;#45;#ET|ff6c3f4c-b02c-4c3c-ab07-2c37995a7a0a;#39;#LT|a7ff5ce7-6123-4f68-865a-a57c31810414;#35;#SL|98a412ae-eb01-49e9-ae3d-585a81724cfc;#46;#HR|2f555653-ed1a-4fe6-8362-9082d95989e5;#32;#PT|50ccc04a-eadd-42ae-a0cb-acaf45f812ba;#42;#FI|87606a43-d45f-42d6-b8c9-e1a3457db5b7;#33;#LV|46f7e311-5d9f-4663-b433-18aeccb7ace7;#5;#EN|f2175f21-25d7-44a3-96da-d6a61b075e1b;#16;#DE|f6b31e5a-26fa-4935-b661-318e46daf27e;#21;#SV|c2ed69e7-a339-43d7-8f22-d93680a92aa0;#34;#SK|46d9fce0-ef79-4f71-b89b-cd6aa82426b8;#24;#PL|1e03da61-4678-4e07-b136-b5024ca9197b;#25;#ES|e7a6b05b-ae16-40c8-add9-68b64b03aeba;#30;#IT|0774613c-01ed-4e5d-a25d-11d2388de825;#38;#EL|6d4f4d51-af9b-4650-94b4-4276bee85c91;#44;#BG|1a1b3951-7821-4e6a-85f5-5673fc08bd2c;#31;#NL|55c6556c-b4f4-441d-9acf-c498d4f838bd;#37;#CS|72f9705b-0217-4fd3-bea2-cbc7ed80e26e</vt:lpwstr>
  </property>
  <property fmtid="{D5CDD505-2E9C-101B-9397-08002B2CF9AE}" pid="10" name="DocumentType_0">
    <vt:lpwstr>TCD|cd9d6eb6-3f4f-424a-b2d1-57c9d450eaaf</vt:lpwstr>
  </property>
  <property fmtid="{D5CDD505-2E9C-101B-9397-08002B2CF9AE}" pid="11" name="MeetingNumber">
    <vt:i4>580</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2218</vt:i4>
  </property>
  <property fmtid="{D5CDD505-2E9C-101B-9397-08002B2CF9AE}" pid="15" name="DocumentVersion">
    <vt:i4>1</vt:i4>
  </property>
  <property fmtid="{D5CDD505-2E9C-101B-9397-08002B2CF9AE}" pid="16" name="DocumentStatus">
    <vt:lpwstr>3;#TRA|150d2a88-1431-44e6-a8ca-0bb753ab8672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8;#TCD|cd9d6eb6-3f4f-424a-b2d1-57c9d450eaaf</vt:lpwstr>
  </property>
  <property fmtid="{D5CDD505-2E9C-101B-9397-08002B2CF9AE}" pid="22" name="RequestingService">
    <vt:lpwstr>Greffe</vt:lpwstr>
  </property>
  <property fmtid="{D5CDD505-2E9C-101B-9397-08002B2CF9AE}" pid="23" name="Confidentiality">
    <vt:lpwstr>9;#Unrestricted|826e22d7-d029-4ec0-a450-0c28ff673572</vt:lpwstr>
  </property>
  <property fmtid="{D5CDD505-2E9C-101B-9397-08002B2CF9AE}" pid="24" name="MeetingName_0">
    <vt:lpwstr>SPL-CES|32d8cb1f-c9ec-4365-95c7-8385a18618ac</vt:lpwstr>
  </property>
  <property fmtid="{D5CDD505-2E9C-101B-9397-08002B2CF9AE}" pid="25" name="Confidentiality_0">
    <vt:lpwstr>Unrestricted|826e22d7-d029-4ec0-a450-0c28ff673572</vt:lpwstr>
  </property>
  <property fmtid="{D5CDD505-2E9C-101B-9397-08002B2CF9AE}" pid="26" name="OriginalLanguage">
    <vt:lpwstr>5;#EN|f2175f21-25d7-44a3-96da-d6a61b075e1b</vt:lpwstr>
  </property>
  <property fmtid="{D5CDD505-2E9C-101B-9397-08002B2CF9AE}" pid="27" name="MeetingName">
    <vt:lpwstr>59;#SPL-CES|32d8cb1f-c9ec-4365-95c7-8385a18618ac</vt:lpwstr>
  </property>
  <property fmtid="{D5CDD505-2E9C-101B-9397-08002B2CF9AE}" pid="28" name="MeetingDate">
    <vt:filetime>2023-07-12T12:00:00Z</vt:filetime>
  </property>
  <property fmtid="{D5CDD505-2E9C-101B-9397-08002B2CF9AE}" pid="29" name="AvailableTranslations_0">
    <vt:lpwstr>DA|5d49c027-8956-412b-aa16-e85a0f96ad0e;HU|6b229040-c589-4408-b4c1-4285663d20a8;LT|a7ff5ce7-6123-4f68-865a-a57c31810414;SL|98a412ae-eb01-49e9-ae3d-585a81724cfc;HR|2f555653-ed1a-4fe6-8362-9082d95989e5;FI|87606a43-d45f-42d6-b8c9-e1a3457db5b7;LV|46f7e311-5d9f-4663-b433-18aeccb7ace7;EN|f2175f21-25d7-44a3-96da-d6a61b075e1b;DE|f6b31e5a-26fa-4935-b661-318e46daf27e;ES|e7a6b05b-ae16-40c8-add9-68b64b03aeba;IT|0774613c-01ed-4e5d-a25d-11d2388de825;EL|6d4f4d51-af9b-4650-94b4-4276bee85c91;NL|55c6556c-b4f4-441d-9acf-c498d4f838bd;CS|72f9705b-0217-4fd3-bea2-cbc7ed80e26e</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42;#FI|87606a43-d45f-42d6-b8c9-e1a3457db5b7;#35;#SL|98a412ae-eb01-49e9-ae3d-585a81724cfc;#33;#LV|46f7e311-5d9f-4663-b433-18aeccb7ace7;#31;#NL|55c6556c-b4f4-441d-9acf-c498d4f838bd;#30;#IT|0774613c-01ed-4e5d-a25d-11d2388de825;#25;#ES|e7a6b05b-ae16-40c8-add9-68b64b03aeba;#38;#EL|6d4f4d51-af9b-4650-94b4-4276bee85c91;#59;#SPL-CES|32d8cb1f-c9ec-4365-95c7-8385a18618ac;#16;#DE|f6b31e5a-26fa-4935-b661-318e46daf27e;#46;#HR|2f555653-ed1a-4fe6-8362-9082d95989e5;#9;#Unrestricted|826e22d7-d029-4ec0-a450-0c28ff673572;#8;#TCD|cd9d6eb6-3f4f-424a-b2d1-57c9d450eaaf;#7;#Final|ea5e6674-7b27-4bac-b091-73adbb394efe;#43;#DA|5d49c027-8956-412b-aa16-e85a0f96ad0e;#5;#EN|f2175f21-25d7-44a3-96da-d6a61b075e1b;#41;#HU|6b229040-c589-4408-b4c1-4285663d20a8;#3;#TRA|150d2a88-1431-44e6-a8ca-0bb753ab8672;#39;#LT|a7ff5ce7-6123-4f68-865a-a57c31810414;#1;#EESC|422833ec-8d7e-4e65-8e4e-8bed07ffb729;#37;#CS|72f9705b-0217-4fd3-bea2-cbc7ed80e26e</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8087</vt:i4>
  </property>
  <property fmtid="{D5CDD505-2E9C-101B-9397-08002B2CF9AE}" pid="37" name="DocumentLanguage">
    <vt:lpwstr>32;#PT|50ccc04a-eadd-42ae-a0cb-acaf45f812ba</vt:lpwstr>
  </property>
</Properties>
</file>