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457C0A" w:rsidR="001122B8" w:rsidP="00701553" w:rsidRDefault="00405F28" w14:paraId="5264F1D9" w14:textId="21DDC82B">
      <w:pPr>
        <w:spacing w:before="100" w:beforeAutospacing="1" w:after="360"/>
        <w:jc w:val="center"/>
        <w:rPr>
          <w:rFonts w:asciiTheme="minorHAnsi" w:hAnsiTheme="minorHAnsi"/>
        </w:rPr>
      </w:pPr>
      <w:r>
        <w:rPr>
          <w:rFonts w:asciiTheme="minorHAnsi" w:hAnsiTheme="minorHAnsi"/>
          <w:noProof/>
        </w:rPr>
        <w:drawing>
          <wp:inline distT="0" distB="0" distL="0" distR="0" wp14:anchorId="34138CD0" wp14:editId="5F7B8D04">
            <wp:extent cx="1790700" cy="1238250"/>
            <wp:effectExtent l="0" t="0" r="0" b="0"/>
            <wp:docPr id="2" name="Picture 2" title="EESCLogo_LT"/>
            <wp:cNvGraphicFramePr/>
            <a:graphic xmlns:a="http://schemas.openxmlformats.org/drawingml/2006/main">
              <a:graphicData uri="http://schemas.openxmlformats.org/drawingml/2006/picture">
                <pic:pic xmlns:pic="http://schemas.openxmlformats.org/drawingml/2006/picture">
                  <pic:nvPicPr>
                    <pic:cNvPr id="2" name="Picture 2" title="EESCLogo_L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1238250"/>
                    </a:xfrm>
                    <a:prstGeom prst="rect">
                      <a:avLst/>
                    </a:prstGeom>
                  </pic:spPr>
                </pic:pic>
              </a:graphicData>
            </a:graphic>
          </wp:inline>
        </w:drawing>
      </w:r>
      <w:r w:rsidR="007C3668">
        <w:rPr>
          <w:rFonts w:asciiTheme="minorHAnsi" w:hAnsiTheme="minorHAnsi"/>
          <w:noProof/>
          <w:sz w:val="20"/>
        </w:rPr>
        <mc:AlternateContent>
          <mc:Choice Requires="wps">
            <w:drawing>
              <wp:anchor distT="0" distB="0" distL="114300" distR="114300" simplePos="0" relativeHeight="251660288" behindDoc="1" locked="0" layoutInCell="0" allowOverlap="1" wp14:editId="5454DACF" wp14:anchorId="445C020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882946" w:rsidRDefault="00882946" w14:paraId="6AC2724C" w14:textId="77777777">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5C020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882946" w:rsidRDefault="00882946" w14:paraId="6AC2724C" w14:textId="77777777">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Pr="00457C0A" w:rsidR="00457C0A" w:rsidP="00701553" w:rsidRDefault="00422800" w14:paraId="2F368A44" w14:textId="58CD1EFC">
      <w:pPr>
        <w:spacing w:before="100" w:beforeAutospacing="1" w:after="600"/>
        <w:jc w:val="center"/>
        <w:rPr>
          <w:rFonts w:asciiTheme="minorHAnsi" w:hAnsiTheme="minorHAnsi"/>
          <w:b/>
          <w:bCs/>
        </w:rPr>
      </w:pPr>
      <w:proofErr w:type="spellStart"/>
      <w:r>
        <w:rPr>
          <w:rFonts w:asciiTheme="minorHAnsi" w:hAnsiTheme="minorHAnsi"/>
          <w:b/>
        </w:rPr>
        <w:t>Aurel</w:t>
      </w:r>
      <w:proofErr w:type="spellEnd"/>
      <w:r>
        <w:rPr>
          <w:rFonts w:asciiTheme="minorHAnsi" w:hAnsiTheme="minorHAnsi"/>
          <w:b/>
        </w:rPr>
        <w:t xml:space="preserve"> </w:t>
      </w:r>
      <w:proofErr w:type="spellStart"/>
      <w:r>
        <w:rPr>
          <w:rFonts w:asciiTheme="minorHAnsi" w:hAnsiTheme="minorHAnsi"/>
          <w:b/>
        </w:rPr>
        <w:t>Laurenţiu</w:t>
      </w:r>
      <w:proofErr w:type="spellEnd"/>
      <w:r>
        <w:rPr>
          <w:rFonts w:asciiTheme="minorHAnsi" w:hAnsiTheme="minorHAnsi"/>
          <w:b/>
        </w:rPr>
        <w:t xml:space="preserve"> </w:t>
      </w:r>
      <w:proofErr w:type="spellStart"/>
      <w:r>
        <w:rPr>
          <w:rFonts w:asciiTheme="minorHAnsi" w:hAnsiTheme="minorHAnsi"/>
          <w:b/>
        </w:rPr>
        <w:t>Plosceanu</w:t>
      </w:r>
      <w:proofErr w:type="spellEnd"/>
      <w:r>
        <w:rPr>
          <w:rFonts w:asciiTheme="minorHAnsi" w:hAnsiTheme="minorHAnsi"/>
          <w:b/>
        </w:rPr>
        <w:t> – už komunikaciją atsakingas EESRK pirmininko pavaduotojas</w:t>
      </w:r>
    </w:p>
    <w:p w:rsidRPr="00B50D80" w:rsidR="00701553" w:rsidP="00882946" w:rsidRDefault="00701553" w14:paraId="6C988BD3" w14:textId="5C1351D3">
      <w:pPr>
        <w:spacing w:before="100" w:beforeAutospacing="1" w:after="100" w:afterAutospacing="1"/>
        <w:jc w:val="both"/>
        <w:rPr>
          <w:rFonts w:cs="Arial" w:asciiTheme="minorHAnsi" w:hAnsiTheme="minorHAnsi"/>
        </w:rPr>
      </w:pPr>
      <w:r>
        <w:rPr>
          <w:rFonts w:asciiTheme="minorHAnsi" w:hAnsiTheme="minorHAnsi"/>
          <w:noProof/>
        </w:rPr>
        <w:drawing>
          <wp:anchor distT="0" distB="0" distL="114300" distR="114300" simplePos="0" relativeHeight="251658240" behindDoc="0" locked="0" layoutInCell="1" allowOverlap="1" wp14:editId="2ACBD353" wp14:anchorId="24895A25">
            <wp:simplePos x="0" y="0"/>
            <wp:positionH relativeFrom="margin">
              <wp:posOffset>133350</wp:posOffset>
            </wp:positionH>
            <wp:positionV relativeFrom="margin">
              <wp:posOffset>2359660</wp:posOffset>
            </wp:positionV>
            <wp:extent cx="2806065" cy="18707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065" cy="1870710"/>
                    </a:xfrm>
                    <a:prstGeom prst="rect">
                      <a:avLst/>
                    </a:prstGeom>
                  </pic:spPr>
                </pic:pic>
              </a:graphicData>
            </a:graphic>
          </wp:anchor>
        </w:drawing>
      </w:r>
      <w:proofErr w:type="spellStart"/>
      <w:r>
        <w:rPr>
          <w:rFonts w:asciiTheme="minorHAnsi" w:hAnsiTheme="minorHAnsi"/>
          <w:b/>
          <w:bCs/>
        </w:rPr>
        <w:t>Aurel</w:t>
      </w:r>
      <w:proofErr w:type="spellEnd"/>
      <w:r>
        <w:rPr>
          <w:rFonts w:asciiTheme="minorHAnsi" w:hAnsiTheme="minorHAnsi"/>
          <w:b/>
          <w:bCs/>
        </w:rPr>
        <w:t xml:space="preserve"> </w:t>
      </w:r>
      <w:proofErr w:type="spellStart"/>
      <w:r>
        <w:rPr>
          <w:rFonts w:asciiTheme="minorHAnsi" w:hAnsiTheme="minorHAnsi"/>
          <w:b/>
          <w:bCs/>
        </w:rPr>
        <w:t>Laurenţiu</w:t>
      </w:r>
      <w:proofErr w:type="spellEnd"/>
      <w:r>
        <w:rPr>
          <w:rFonts w:asciiTheme="minorHAnsi" w:hAnsiTheme="minorHAnsi"/>
          <w:b/>
          <w:bCs/>
        </w:rPr>
        <w:t xml:space="preserve"> </w:t>
      </w:r>
      <w:proofErr w:type="spellStart"/>
      <w:r>
        <w:rPr>
          <w:rFonts w:asciiTheme="minorHAnsi" w:hAnsiTheme="minorHAnsi"/>
          <w:b/>
          <w:bCs/>
        </w:rPr>
        <w:t>Plosceanu</w:t>
      </w:r>
      <w:proofErr w:type="spellEnd"/>
      <w:r>
        <w:rPr>
          <w:rFonts w:asciiTheme="minorHAnsi" w:hAnsiTheme="minorHAnsi"/>
        </w:rPr>
        <w:t xml:space="preserve"> yra Europos ekonomikos ir socialinių reikalų komiteto (EESRK) ir jo Darbdavių grupės narys nuo 2007 m. A. L. </w:t>
      </w:r>
      <w:proofErr w:type="spellStart"/>
      <w:r>
        <w:rPr>
          <w:rFonts w:asciiTheme="minorHAnsi" w:hAnsiTheme="minorHAnsi"/>
        </w:rPr>
        <w:t>Plosceanu</w:t>
      </w:r>
      <w:proofErr w:type="spellEnd"/>
      <w:r>
        <w:rPr>
          <w:rFonts w:asciiTheme="minorHAnsi" w:hAnsiTheme="minorHAnsi"/>
        </w:rPr>
        <w:t xml:space="preserve"> dalyvavo visų EESRK skyrių veikloje. Prieš jį paskiriant už komunikaciją atsakingu pirmininko pavaduotoju, jis ėjo EESRK Užimtumo, socialinių reikalų ir pilietybės skyriaus (SOC) pirmininko, ES ir Serbijos jungtinio konsultacinio komiteto pirmininko (2020–2023m.) ir Audito komiteto pirmininko (2015–2017 m.) pareigas.</w:t>
      </w:r>
    </w:p>
    <w:p w:rsidRPr="00B50D80" w:rsidR="00701553" w:rsidP="00701553" w:rsidRDefault="00701553" w14:paraId="33391FBB" w14:textId="77777777">
      <w:pPr>
        <w:spacing w:before="100" w:beforeAutospacing="1" w:after="100" w:afterAutospacing="1"/>
        <w:jc w:val="both"/>
        <w:rPr>
          <w:rFonts w:cs="Arial" w:asciiTheme="minorHAnsi" w:hAnsiTheme="minorHAnsi"/>
        </w:rPr>
      </w:pPr>
      <w:r>
        <w:rPr>
          <w:rFonts w:asciiTheme="minorHAnsi" w:hAnsiTheme="minorHAnsi"/>
        </w:rPr>
        <w:t xml:space="preserve">Gimtojoje Rumunijoje A. L. </w:t>
      </w:r>
      <w:proofErr w:type="spellStart"/>
      <w:r>
        <w:rPr>
          <w:rFonts w:asciiTheme="minorHAnsi" w:hAnsiTheme="minorHAnsi"/>
        </w:rPr>
        <w:t>Plosceanu</w:t>
      </w:r>
      <w:proofErr w:type="spellEnd"/>
      <w:r>
        <w:rPr>
          <w:rFonts w:asciiTheme="minorHAnsi" w:hAnsiTheme="minorHAnsi"/>
        </w:rPr>
        <w:t xml:space="preserve"> nuo 2016 m. eina Rumunijos generalinės pramonininkų sąjungos (UGIR) pirmininko pavaduotojo, o nuo 2007 m. – Rumunijos statybos rangovų asociacijos (ARACO), kuri yra Europos statybos pramonės federacijos (FIEC) narė, pirmininko pareigas.</w:t>
      </w:r>
    </w:p>
    <w:p w:rsidRPr="00B50D80" w:rsidR="00701553" w:rsidP="00701553" w:rsidRDefault="00701553" w14:paraId="3183148A" w14:textId="77777777">
      <w:pPr>
        <w:spacing w:before="100" w:beforeAutospacing="1" w:after="100" w:afterAutospacing="1"/>
        <w:jc w:val="both"/>
        <w:rPr>
          <w:rFonts w:cs="Arial" w:asciiTheme="minorHAnsi" w:hAnsiTheme="minorHAnsi"/>
        </w:rPr>
      </w:pPr>
      <w:r>
        <w:rPr>
          <w:rFonts w:asciiTheme="minorHAnsi" w:hAnsiTheme="minorHAnsi"/>
        </w:rPr>
        <w:t>Kita ankstesnė jo profesinė patirtis: 2000–2007 m. ABC „</w:t>
      </w:r>
      <w:proofErr w:type="spellStart"/>
      <w:r>
        <w:rPr>
          <w:rFonts w:asciiTheme="minorHAnsi" w:hAnsiTheme="minorHAnsi"/>
        </w:rPr>
        <w:t>Asigurari</w:t>
      </w:r>
      <w:proofErr w:type="spellEnd"/>
      <w:r>
        <w:rPr>
          <w:rFonts w:asciiTheme="minorHAnsi" w:hAnsiTheme="minorHAnsi"/>
        </w:rPr>
        <w:t xml:space="preserve"> </w:t>
      </w:r>
      <w:proofErr w:type="spellStart"/>
      <w:r>
        <w:rPr>
          <w:rFonts w:asciiTheme="minorHAnsi" w:hAnsiTheme="minorHAnsi"/>
        </w:rPr>
        <w:t>Reasigurari</w:t>
      </w:r>
      <w:proofErr w:type="spellEnd"/>
      <w:r>
        <w:rPr>
          <w:rFonts w:asciiTheme="minorHAnsi" w:hAnsiTheme="minorHAnsi"/>
        </w:rPr>
        <w:t xml:space="preserve"> SA“ generalinis direktorius, 1999–2016 m. – statybos darbuotojų socialinių rūmų pirmininkas, Bukarešto technikos universiteto civilinės inžinerijos valdybos narys ir Rumunijos ekonomikos ir socialinių reikalų tarybos narys (2007–2011 m.), Rumunijos draudimo MVĮ asociacijos pirmininkas (2005–2007 m.) ir Rumunijos darbdavių konfederacijų aljanso </w:t>
      </w:r>
      <w:proofErr w:type="spellStart"/>
      <w:r>
        <w:rPr>
          <w:rFonts w:asciiTheme="minorHAnsi" w:hAnsiTheme="minorHAnsi"/>
        </w:rPr>
        <w:t>bendrapirmininkis</w:t>
      </w:r>
      <w:proofErr w:type="spellEnd"/>
      <w:r>
        <w:rPr>
          <w:rFonts w:asciiTheme="minorHAnsi" w:hAnsiTheme="minorHAnsi"/>
        </w:rPr>
        <w:t xml:space="preserve"> (2007–2013 m.). </w:t>
      </w:r>
    </w:p>
    <w:p w:rsidRPr="00701553" w:rsidR="00701553" w:rsidP="00701553" w:rsidRDefault="00701553" w14:paraId="01A9DD39" w14:textId="6C30AB88">
      <w:pPr>
        <w:spacing w:before="100" w:beforeAutospacing="1" w:after="100" w:afterAutospacing="1"/>
        <w:jc w:val="both"/>
        <w:rPr>
          <w:rFonts w:cs="Arial" w:asciiTheme="minorHAnsi" w:hAnsiTheme="minorHAnsi"/>
        </w:rPr>
      </w:pPr>
      <w:r>
        <w:rPr>
          <w:rFonts w:asciiTheme="minorHAnsi" w:hAnsiTheme="minorHAnsi"/>
        </w:rPr>
        <w:t xml:space="preserve">A. L. </w:t>
      </w:r>
      <w:proofErr w:type="spellStart"/>
      <w:r>
        <w:rPr>
          <w:rFonts w:asciiTheme="minorHAnsi" w:hAnsiTheme="minorHAnsi"/>
        </w:rPr>
        <w:t>Plosceanu</w:t>
      </w:r>
      <w:proofErr w:type="spellEnd"/>
      <w:r>
        <w:rPr>
          <w:rFonts w:asciiTheme="minorHAnsi" w:hAnsiTheme="minorHAnsi"/>
        </w:rPr>
        <w:t xml:space="preserve"> studijavo Bukarešto statybos institute ir įgijo verslo vadybos magistro laipsnį Nacionalinio ekonominės plėtros institute. Be to, jis studijavo Bukarešto </w:t>
      </w:r>
      <w:proofErr w:type="spellStart"/>
      <w:r>
        <w:rPr>
          <w:rFonts w:asciiTheme="minorHAnsi" w:hAnsiTheme="minorHAnsi"/>
        </w:rPr>
        <w:t>Nicolae</w:t>
      </w:r>
      <w:proofErr w:type="spellEnd"/>
      <w:r>
        <w:rPr>
          <w:rFonts w:asciiTheme="minorHAnsi" w:hAnsiTheme="minorHAnsi"/>
        </w:rPr>
        <w:t xml:space="preserve"> </w:t>
      </w:r>
      <w:proofErr w:type="spellStart"/>
      <w:r>
        <w:rPr>
          <w:rFonts w:asciiTheme="minorHAnsi" w:hAnsiTheme="minorHAnsi"/>
        </w:rPr>
        <w:t>Titulescu</w:t>
      </w:r>
      <w:proofErr w:type="spellEnd"/>
      <w:r>
        <w:rPr>
          <w:rFonts w:asciiTheme="minorHAnsi" w:hAnsiTheme="minorHAnsi"/>
        </w:rPr>
        <w:t xml:space="preserve"> universiteto Teisės fakultete ir baigė pouniversitetines studijas Nacionaliniame gynybos koledže.</w:t>
      </w:r>
    </w:p>
    <w:p w:rsidRPr="00457C0A" w:rsidR="00701553" w:rsidRDefault="00422800" w14:paraId="22316C3B" w14:textId="6A12CBAB">
      <w:pPr>
        <w:spacing w:before="100" w:beforeAutospacing="1" w:after="100" w:afterAutospacing="1"/>
        <w:jc w:val="center"/>
        <w:rPr>
          <w:rFonts w:asciiTheme="minorHAnsi" w:hAnsiTheme="minorHAnsi"/>
        </w:rPr>
      </w:pPr>
      <w:r>
        <w:rPr>
          <w:rFonts w:asciiTheme="minorHAnsi" w:hAnsiTheme="minorHAnsi"/>
        </w:rPr>
        <w:t>____________</w:t>
      </w:r>
    </w:p>
    <w:sectPr w:rsidRPr="00457C0A" w:rsidR="00701553" w:rsidSect="0088294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DB38" w14:textId="77777777" w:rsidR="00457C0A" w:rsidRDefault="00457C0A" w:rsidP="00457C0A">
      <w:r>
        <w:separator/>
      </w:r>
    </w:p>
  </w:endnote>
  <w:endnote w:type="continuationSeparator" w:id="0">
    <w:p w14:paraId="4559F72D" w14:textId="77777777" w:rsidR="00457C0A" w:rsidRDefault="00457C0A" w:rsidP="0045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B5F2" w14:textId="77777777" w:rsidR="00882946" w:rsidRPr="00882946" w:rsidRDefault="00882946" w:rsidP="0088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331A" w14:textId="2A2169E4" w:rsidR="00882946" w:rsidRPr="00882946" w:rsidRDefault="00882946" w:rsidP="00882946">
    <w:pPr>
      <w:pStyle w:val="Footer"/>
    </w:pPr>
    <w:r>
      <w:t xml:space="preserve">EESC-2023-02053-00-00-WEB-TRA (EN) </w:t>
    </w:r>
    <w:r>
      <w:fldChar w:fldCharType="begin"/>
    </w:r>
    <w:r>
      <w:instrText xml:space="preserve"> PAGE  \* Arabic  \* MERGEFORMAT </w:instrText>
    </w:r>
    <w:r>
      <w:fldChar w:fldCharType="separate"/>
    </w:r>
    <w:r>
      <w:t>1</w:t>
    </w:r>
    <w:r>
      <w:fldChar w:fldCharType="end"/>
    </w:r>
    <w:r>
      <w:t>/</w:t>
    </w:r>
    <w:fldSimple w:instr=" NUMPAGES ">
      <w: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A09C" w14:textId="77777777" w:rsidR="00882946" w:rsidRPr="00882946" w:rsidRDefault="00882946" w:rsidP="0088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74FC" w14:textId="77777777" w:rsidR="00457C0A" w:rsidRDefault="00457C0A" w:rsidP="00457C0A">
      <w:r>
        <w:separator/>
      </w:r>
    </w:p>
  </w:footnote>
  <w:footnote w:type="continuationSeparator" w:id="0">
    <w:p w14:paraId="3A42C09E" w14:textId="77777777" w:rsidR="00457C0A" w:rsidRDefault="00457C0A" w:rsidP="0045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F0AD" w14:textId="77777777" w:rsidR="00882946" w:rsidRPr="00882946" w:rsidRDefault="00882946" w:rsidP="00882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44E7" w14:textId="3860064C" w:rsidR="00457C0A" w:rsidRPr="00882946" w:rsidRDefault="00457C0A" w:rsidP="00882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788" w14:textId="77777777" w:rsidR="00882946" w:rsidRPr="00882946" w:rsidRDefault="00882946" w:rsidP="00882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E3"/>
    <w:rsid w:val="00026D19"/>
    <w:rsid w:val="00033F65"/>
    <w:rsid w:val="00053B11"/>
    <w:rsid w:val="001122B8"/>
    <w:rsid w:val="00121B26"/>
    <w:rsid w:val="001424C6"/>
    <w:rsid w:val="00197460"/>
    <w:rsid w:val="001976C4"/>
    <w:rsid w:val="001C74F4"/>
    <w:rsid w:val="0022082A"/>
    <w:rsid w:val="00253A1A"/>
    <w:rsid w:val="003174B9"/>
    <w:rsid w:val="00374EAA"/>
    <w:rsid w:val="003B19AD"/>
    <w:rsid w:val="003B22D2"/>
    <w:rsid w:val="003C7623"/>
    <w:rsid w:val="00405F28"/>
    <w:rsid w:val="00422800"/>
    <w:rsid w:val="004570DE"/>
    <w:rsid w:val="00457C0A"/>
    <w:rsid w:val="00476D73"/>
    <w:rsid w:val="00481474"/>
    <w:rsid w:val="00484C23"/>
    <w:rsid w:val="00490E7B"/>
    <w:rsid w:val="004E165D"/>
    <w:rsid w:val="00536B7F"/>
    <w:rsid w:val="0060798D"/>
    <w:rsid w:val="006B7042"/>
    <w:rsid w:val="006C04F7"/>
    <w:rsid w:val="006D662B"/>
    <w:rsid w:val="00701553"/>
    <w:rsid w:val="00717427"/>
    <w:rsid w:val="0077610E"/>
    <w:rsid w:val="007916B6"/>
    <w:rsid w:val="007C3668"/>
    <w:rsid w:val="00802C50"/>
    <w:rsid w:val="0081702F"/>
    <w:rsid w:val="008427F5"/>
    <w:rsid w:val="00877917"/>
    <w:rsid w:val="00882946"/>
    <w:rsid w:val="0089295C"/>
    <w:rsid w:val="008B385A"/>
    <w:rsid w:val="008D21C7"/>
    <w:rsid w:val="008D3414"/>
    <w:rsid w:val="008E07E7"/>
    <w:rsid w:val="008E37D7"/>
    <w:rsid w:val="008F7FA9"/>
    <w:rsid w:val="00986832"/>
    <w:rsid w:val="009A3C4E"/>
    <w:rsid w:val="009B2D8F"/>
    <w:rsid w:val="009F65E3"/>
    <w:rsid w:val="00A452BA"/>
    <w:rsid w:val="00A45695"/>
    <w:rsid w:val="00A64251"/>
    <w:rsid w:val="00A862B9"/>
    <w:rsid w:val="00AF5207"/>
    <w:rsid w:val="00B22324"/>
    <w:rsid w:val="00B923AA"/>
    <w:rsid w:val="00BE0F82"/>
    <w:rsid w:val="00BE72E9"/>
    <w:rsid w:val="00C71EA0"/>
    <w:rsid w:val="00C9023C"/>
    <w:rsid w:val="00D318F1"/>
    <w:rsid w:val="00DF1707"/>
    <w:rsid w:val="00E0704F"/>
    <w:rsid w:val="00E10AE0"/>
    <w:rsid w:val="00E30B83"/>
    <w:rsid w:val="00E43CF7"/>
    <w:rsid w:val="00E44D42"/>
    <w:rsid w:val="00E5277E"/>
    <w:rsid w:val="00E70B61"/>
    <w:rsid w:val="00E75C88"/>
    <w:rsid w:val="00E80B2D"/>
    <w:rsid w:val="00E84001"/>
    <w:rsid w:val="00EA2FF6"/>
    <w:rsid w:val="00ED0B61"/>
    <w:rsid w:val="00F3023E"/>
    <w:rsid w:val="00F8511D"/>
    <w:rsid w:val="00F8597B"/>
  </w:rsids>
  <m:mathPr>
    <m:mathFont m:val="Cambria Math"/>
    <m:brkBin m:val="before"/>
    <m:brkBinSub m:val="--"/>
    <m:smallFrac m:val="0"/>
    <m:dispDef/>
    <m:lMargin m:val="0"/>
    <m:rMargin m:val="0"/>
    <m:defJc m:val="centerGroup"/>
    <m:wrapIndent m:val="1440"/>
    <m:intLim m:val="subSup"/>
    <m:naryLim m:val="undOvr"/>
  </m:mathPr>
  <w:themeFontLang w:val="en-GB" w:bidi="hi-x-bh-SD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4CC7D1A"/>
  <w15:chartTrackingRefBased/>
  <w15:docId w15:val="{1E754634-C881-41CB-B471-9AB1D284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Arial Unicode MS"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
    <w:name w:val="Titol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character" w:styleId="CommentReference">
    <w:name w:val="annotation reference"/>
    <w:basedOn w:val="DefaultParagraphFont"/>
    <w:uiPriority w:val="99"/>
    <w:semiHidden/>
    <w:unhideWhenUsed/>
    <w:rsid w:val="008F7FA9"/>
    <w:rPr>
      <w:sz w:val="16"/>
      <w:szCs w:val="16"/>
    </w:rPr>
  </w:style>
  <w:style w:type="paragraph" w:styleId="CommentText">
    <w:name w:val="annotation text"/>
    <w:basedOn w:val="Normal"/>
    <w:link w:val="CommentTextChar"/>
    <w:uiPriority w:val="99"/>
    <w:semiHidden/>
    <w:unhideWhenUsed/>
    <w:rsid w:val="008F7FA9"/>
    <w:rPr>
      <w:rFonts w:cs="Mangal"/>
      <w:sz w:val="20"/>
      <w:szCs w:val="18"/>
    </w:rPr>
  </w:style>
  <w:style w:type="character" w:customStyle="1" w:styleId="CommentTextChar">
    <w:name w:val="Comment Text Char"/>
    <w:basedOn w:val="DefaultParagraphFont"/>
    <w:link w:val="CommentText"/>
    <w:uiPriority w:val="99"/>
    <w:semiHidden/>
    <w:rsid w:val="008F7FA9"/>
    <w:rPr>
      <w:rFonts w:ascii="Liberation Serif" w:eastAsia="Arial Unicode MS" w:hAnsi="Liberation Serif" w:cs="Mangal"/>
      <w:kern w:val="2"/>
      <w:szCs w:val="18"/>
      <w:lang w:val="lt-LT" w:eastAsia="zh-CN" w:bidi="hi-IN"/>
    </w:rPr>
  </w:style>
  <w:style w:type="paragraph" w:styleId="CommentSubject">
    <w:name w:val="annotation subject"/>
    <w:basedOn w:val="CommentText"/>
    <w:next w:val="CommentText"/>
    <w:link w:val="CommentSubjectChar"/>
    <w:uiPriority w:val="99"/>
    <w:semiHidden/>
    <w:unhideWhenUsed/>
    <w:rsid w:val="008F7FA9"/>
    <w:rPr>
      <w:b/>
      <w:bCs/>
    </w:rPr>
  </w:style>
  <w:style w:type="character" w:customStyle="1" w:styleId="CommentSubjectChar">
    <w:name w:val="Comment Subject Char"/>
    <w:basedOn w:val="CommentTextChar"/>
    <w:link w:val="CommentSubject"/>
    <w:uiPriority w:val="99"/>
    <w:semiHidden/>
    <w:rsid w:val="008F7FA9"/>
    <w:rPr>
      <w:rFonts w:ascii="Liberation Serif" w:eastAsia="Arial Unicode MS" w:hAnsi="Liberation Serif" w:cs="Mangal"/>
      <w:b/>
      <w:bCs/>
      <w:kern w:val="2"/>
      <w:szCs w:val="18"/>
      <w:lang w:val="lt-LT" w:eastAsia="zh-CN" w:bidi="hi-IN"/>
    </w:rPr>
  </w:style>
  <w:style w:type="paragraph" w:styleId="BalloonText">
    <w:name w:val="Balloon Text"/>
    <w:basedOn w:val="Normal"/>
    <w:link w:val="BalloonTextChar"/>
    <w:uiPriority w:val="99"/>
    <w:semiHidden/>
    <w:unhideWhenUsed/>
    <w:rsid w:val="008F7FA9"/>
    <w:rPr>
      <w:rFonts w:ascii="Segoe UI" w:hAnsi="Segoe UI" w:cs="Mangal"/>
      <w:sz w:val="18"/>
      <w:szCs w:val="16"/>
    </w:rPr>
  </w:style>
  <w:style w:type="character" w:customStyle="1" w:styleId="BalloonTextChar">
    <w:name w:val="Balloon Text Char"/>
    <w:basedOn w:val="DefaultParagraphFont"/>
    <w:link w:val="BalloonText"/>
    <w:uiPriority w:val="99"/>
    <w:semiHidden/>
    <w:rsid w:val="008F7FA9"/>
    <w:rPr>
      <w:rFonts w:ascii="Segoe UI" w:eastAsia="Arial Unicode MS" w:hAnsi="Segoe UI" w:cs="Mangal"/>
      <w:kern w:val="2"/>
      <w:sz w:val="18"/>
      <w:szCs w:val="16"/>
      <w:lang w:val="lt-LT" w:eastAsia="zh-CN" w:bidi="hi-IN"/>
    </w:rPr>
  </w:style>
  <w:style w:type="paragraph" w:styleId="Header">
    <w:name w:val="header"/>
    <w:basedOn w:val="Normal"/>
    <w:link w:val="HeaderChar"/>
    <w:uiPriority w:val="99"/>
    <w:unhideWhenUsed/>
    <w:rsid w:val="00457C0A"/>
    <w:pPr>
      <w:spacing w:line="288" w:lineRule="auto"/>
      <w:jc w:val="both"/>
    </w:pPr>
    <w:rPr>
      <w:rFonts w:ascii="Times New Roman" w:hAnsi="Times New Roman" w:cs="Times New Roman"/>
      <w:sz w:val="22"/>
      <w:szCs w:val="21"/>
    </w:rPr>
  </w:style>
  <w:style w:type="character" w:customStyle="1" w:styleId="HeaderChar">
    <w:name w:val="Header Char"/>
    <w:basedOn w:val="DefaultParagraphFont"/>
    <w:link w:val="Header"/>
    <w:uiPriority w:val="99"/>
    <w:rsid w:val="00457C0A"/>
    <w:rPr>
      <w:rFonts w:eastAsia="Arial Unicode MS"/>
      <w:kern w:val="2"/>
      <w:sz w:val="22"/>
      <w:szCs w:val="21"/>
      <w:lang w:val="lt-LT" w:eastAsia="zh-CN" w:bidi="hi-IN"/>
    </w:rPr>
  </w:style>
  <w:style w:type="paragraph" w:styleId="Footer">
    <w:name w:val="footer"/>
    <w:basedOn w:val="Normal"/>
    <w:link w:val="FooterChar"/>
    <w:uiPriority w:val="99"/>
    <w:unhideWhenUsed/>
    <w:rsid w:val="00457C0A"/>
    <w:pPr>
      <w:spacing w:line="288" w:lineRule="auto"/>
      <w:jc w:val="both"/>
    </w:pPr>
    <w:rPr>
      <w:rFonts w:ascii="Times New Roman" w:hAnsi="Times New Roman" w:cs="Times New Roman"/>
      <w:sz w:val="22"/>
      <w:szCs w:val="21"/>
    </w:rPr>
  </w:style>
  <w:style w:type="character" w:customStyle="1" w:styleId="FooterChar">
    <w:name w:val="Footer Char"/>
    <w:basedOn w:val="DefaultParagraphFont"/>
    <w:link w:val="Footer"/>
    <w:uiPriority w:val="99"/>
    <w:rsid w:val="00457C0A"/>
    <w:rPr>
      <w:rFonts w:eastAsia="Arial Unicode MS"/>
      <w:kern w:val="2"/>
      <w:sz w:val="22"/>
      <w:szCs w:val="21"/>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XMKEDVFMMJCW-1593724795-269</_dlc_DocId>
    <_dlc_DocIdUrl xmlns="56a5413d-c261-4a00-870c-a20d3379ae6d">
      <Url>http://dm2016/eesc/2023/_layouts/15/DocIdRedir.aspx?ID=XMKEDVFMMJCW-1593724795-269</Url>
      <Description>XMKEDVFMMJCW-1593724795-269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2053</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5042</FicheNumber>
    <OriginalSender xmlns="56a5413d-c261-4a00-870c-a20d3379ae6d">
      <UserInfo>
        <DisplayName>Zebrauskas Linas</DisplayName>
        <AccountId>1666</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EF2E5B2-AA26-4197-88B7-58342511CD6D}"/>
</file>

<file path=customXml/itemProps2.xml><?xml version="1.0" encoding="utf-8"?>
<ds:datastoreItem xmlns:ds="http://schemas.openxmlformats.org/officeDocument/2006/customXml" ds:itemID="{431C7063-9AC9-44B5-BADE-39B9B2601C2F}"/>
</file>

<file path=customXml/itemProps3.xml><?xml version="1.0" encoding="utf-8"?>
<ds:datastoreItem xmlns:ds="http://schemas.openxmlformats.org/officeDocument/2006/customXml" ds:itemID="{0999CAAB-3C66-4649-B780-E4A6554B477C}"/>
</file>

<file path=customXml/itemProps4.xml><?xml version="1.0" encoding="utf-8"?>
<ds:datastoreItem xmlns:ds="http://schemas.openxmlformats.org/officeDocument/2006/customXml" ds:itemID="{68EAD3F3-E7D8-408C-8A44-EC39BA935E74}"/>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Aurel Laurenţiu Plosceanu- EESRK už komunikaciją atsakingas EESRK pirmininko pavaduotojas - biografija</dc:title>
  <dc:subject>WEB</dc:subject>
  <dc:creator>Gabriela.Lind@eesc.europa.eu</dc:creator>
  <cp:keywords>EESC-2023-02053-00-00-WEB-TRA-EN</cp:keywords>
  <dc:description>Rapporteur:  - Original language: EN - Date of document: 25/04/2023 - Date of meeting:  - External documents:  - Administrator:  HAGARD BENJAMIN</dc:description>
  <cp:lastModifiedBy>Zebrauskas Linas</cp:lastModifiedBy>
  <cp:revision>8</cp:revision>
  <cp:lastPrinted>2023-04-19T13:18:00Z</cp:lastPrinted>
  <dcterms:created xsi:type="dcterms:W3CDTF">2023-04-25T12:37:00Z</dcterms:created>
  <dcterms:modified xsi:type="dcterms:W3CDTF">2023-04-25T12:38:00Z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09:58:02</vt:lpwstr>
  </property>
  <property fmtid="{D5CDD505-2E9C-101B-9397-08002B2CF9AE}" pid="5" name="Pref_User">
    <vt:lpwstr>pacup</vt:lpwstr>
  </property>
  <property fmtid="{D5CDD505-2E9C-101B-9397-08002B2CF9AE}" pid="6" name="Pref_FileName">
    <vt:lpwstr>EESC-2023-02053-00-00-WEB-TRA.docx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2f8bdb1e-4736-4de8-8c20-3a4b1cabfc2d</vt:lpwstr>
  </property>
  <property fmtid="{D5CDD505-2E9C-101B-9397-08002B2CF9AE}" pid="9" name="AvailableTranslations">
    <vt:lpwstr>37;#CS|72f9705b-0217-4fd3-bea2-cbc7ed80e26e;#36;#MT|7df99101-6854-4a26-b53a-b88c0da02c26;#30;#IT|0774613c-01ed-4e5d-a25d-11d2388de825;#46;#HR|2f555653-ed1a-4fe6-8362-9082d95989e5;#33;#LV|46f7e311-5d9f-4663-b433-18aeccb7ace7;#42;#FI|87606a43-d45f-42d6-b8c9-e1a3457db5b7;#40;#RO|feb747a2-64cd-4299-af12-4833ddc30497;#39;#LT|a7ff5ce7-6123-4f68-865a-a57c31810414;#43;#DA|5d49c027-8956-412b-aa16-e85a0f96ad0e;#49;#GA|762d2456-c427-4ecb-b312-af3dad8e258c;#5;#EN|f2175f21-25d7-44a3-96da-d6a61b075e1b;#24;#PL|1e03da61-4678-4e07-b136-b5024ca9197b;#16;#DE|f6b31e5a-26fa-4935-b661-318e46daf27e;#25;#ES|e7a6b05b-ae16-40c8-add9-68b64b03aeba;#41;#HU|6b229040-c589-4408-b4c1-4285663d20a8;#10;#FR|d2afafd3-4c81-4f60-8f52-ee33f2f54ff3;#38;#EL|6d4f4d51-af9b-4650-94b4-4276bee85c91;#32;#PT|50ccc04a-eadd-42ae-a0cb-acaf45f812ba;#44;#BG|1a1b3951-7821-4e6a-85f5-5673fc08bd2c;#31;#NL|55c6556c-b4f4-441d-9acf-c498d4f838bd;#45;#ET|ff6c3f4c-b02c-4c3c-ab07-2c37995a7a0a;#34;#SK|46d9fce0-ef79-4f71-b89b-cd6aa82426b8;#35;#SL|98a412ae-eb01-49e9-ae3d-585a81724cfc;#21;#SV|c2ed69e7-a339-43d7-8f22-d93680a92aa0</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2053</vt:i4>
  </property>
  <property fmtid="{D5CDD505-2E9C-101B-9397-08002B2CF9AE}" pid="14" name="DocumentYear">
    <vt:i4>2023</vt:i4>
  </property>
  <property fmtid="{D5CDD505-2E9C-101B-9397-08002B2CF9AE}" pid="15" name="DocumentVersion">
    <vt:i4>0</vt:i4>
  </property>
  <property fmtid="{D5CDD505-2E9C-101B-9397-08002B2CF9AE}" pid="16" name="FicheNumber">
    <vt:i4>5042</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4;#WEB|f9c2e806-c7b4-42cb-b487-6fc237e5776f</vt:lpwstr>
  </property>
  <property fmtid="{D5CDD505-2E9C-101B-9397-08002B2CF9AE}" pid="23" name="RequestingService">
    <vt:lpwstr>Information en ligne</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MT|7df99101-6854-4a26-b53a-b88c0da02c26;IT|0774613c-01ed-4e5d-a25d-11d2388de825;HR|2f555653-ed1a-4fe6-8362-9082d95989e5;LV|46f7e311-5d9f-4663-b433-18aeccb7ace7;DA|5d49c027-8956-412b-aa16-e85a0f96ad0e;GA|762d2456-c427-4ecb-b312-af3dad8e258c;EN|f2175f21-25d7-44a3-96da-d6a61b075e1b;PL|1e03da61-4678-4e07-b136-b5024ca9197b;DE|f6b31e5a-26fa-4935-b661-318e46daf27e;ES|e7a6b05b-ae16-40c8-add9-68b64b03aeba;HU|6b229040-c589-4408-b4c1-4285663d20a8;FR|d2afafd3-4c81-4f60-8f52-ee33f2f54ff3;EL|6d4f4d51-af9b-4650-94b4-4276bee85c91;PT|50ccc04a-eadd-42ae-a0cb-acaf45f812ba;BG|1a1b3951-7821-4e6a-85f5-5673fc08bd2c;NL|55c6556c-b4f4-441d-9acf-c498d4f838bd;SK|46d9fce0-ef79-4f71-b89b-cd6aa82426b8;SL|98a412ae-eb01-49e9-ae3d-585a81724cfc;SV|c2ed69e7-a339-43d7-8f22-d93680a92aa0</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35;#SL|98a412ae-eb01-49e9-ae3d-585a81724cfc;#34;#SK|46d9fce0-ef79-4f71-b89b-cd6aa82426b8;#33;#LV|46f7e311-5d9f-4663-b433-18aeccb7ace7;#32;#PT|50ccc04a-eadd-42ae-a0cb-acaf45f812ba;#31;#NL|55c6556c-b4f4-441d-9acf-c498d4f838bd;#43;#DA|5d49c027-8956-412b-aa16-e85a0f96ad0e;#25;#ES|e7a6b05b-ae16-40c8-add9-68b64b03aeba;#24;#PL|1e03da61-4678-4e07-b136-b5024ca9197b;#44;#BG|1a1b3951-7821-4e6a-85f5-5673fc08bd2c;#38;#EL|6d4f4d51-af9b-4650-94b4-4276bee85c91;#21;#SV|c2ed69e7-a339-43d7-8f22-d93680a92aa0;#16;#DE|f6b31e5a-26fa-4935-b661-318e46daf27e;#49;#GA|762d2456-c427-4ecb-b312-af3dad8e258c;#10;#FR|d2afafd3-4c81-4f60-8f52-ee33f2f54ff3;#46;#HR|2f555653-ed1a-4fe6-8362-9082d95989e5;#41;#HU|6b229040-c589-4408-b4c1-4285663d20a8;#7;#Final|ea5e6674-7b27-4bac-b091-73adbb394efe;#6;#Internal|2451815e-8241-4bbf-a22e-1ab710712bf2;#5;#EN|f2175f21-25d7-44a3-96da-d6a61b075e1b;#4;#WEB|f9c2e806-c7b4-42cb-b487-6fc237e5776f;#3;#TRA|150d2a88-1431-44e6-a8ca-0bb753ab8672;#1;#EESC|422833ec-8d7e-4e65-8e4e-8bed07ffb729;#30;#IT|0774613c-01ed-4e5d-a25d-11d2388de825</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39;#LT|a7ff5ce7-6123-4f68-865a-a57c31810414</vt:lpwstr>
  </property>
</Properties>
</file>