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CEC" w14:textId="77777777" w:rsidR="002E6118" w:rsidRPr="005D6BCE" w:rsidRDefault="002F4476" w:rsidP="002E6118">
      <w:pPr>
        <w:ind w:right="-567"/>
        <w:rPr>
          <w:rFonts w:asciiTheme="minorHAnsi" w:hAnsiTheme="minorHAnsi" w:cstheme="minorHAnsi"/>
          <w:lang w:val="en-GB"/>
        </w:rPr>
        <w:sectPr w:rsidR="002E6118" w:rsidRPr="005D6BCE" w:rsidSect="000203EF">
          <w:headerReference w:type="default" r:id="rId11"/>
          <w:footerReference w:type="default" r:id="rId12"/>
          <w:type w:val="continuous"/>
          <w:pgSz w:w="11907" w:h="16839" w:code="9"/>
          <w:pgMar w:top="1418" w:right="1418" w:bottom="1418" w:left="1418" w:header="709" w:footer="709" w:gutter="0"/>
          <w:cols w:space="708"/>
          <w:docGrid w:linePitch="360"/>
        </w:sectPr>
      </w:pPr>
      <w:r w:rsidRPr="00C54CF9">
        <w:rPr>
          <w:noProof/>
        </w:rPr>
        <w:drawing>
          <wp:anchor distT="0" distB="360045" distL="114300" distR="114300" simplePos="0" relativeHeight="251658240" behindDoc="0" locked="0" layoutInCell="1" allowOverlap="1" wp14:anchorId="4B784346" wp14:editId="5FB9AD85">
            <wp:simplePos x="0" y="0"/>
            <wp:positionH relativeFrom="page">
              <wp:align>center</wp:align>
            </wp:positionH>
            <wp:positionV relativeFrom="page">
              <wp:posOffset>450215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0604" cy="1605600"/>
                    </a:xfrm>
                    <a:prstGeom prst="rect">
                      <a:avLst/>
                    </a:prstGeom>
                  </pic:spPr>
                </pic:pic>
              </a:graphicData>
            </a:graphic>
            <wp14:sizeRelH relativeFrom="margin">
              <wp14:pctWidth>0</wp14:pctWidth>
            </wp14:sizeRelH>
            <wp14:sizeRelV relativeFrom="margin">
              <wp14:pctHeight>0</wp14:pctHeight>
            </wp14:sizeRelV>
          </wp:anchor>
        </w:drawing>
      </w:r>
    </w:p>
    <w:p w14:paraId="7B9BDC38" w14:textId="29032157" w:rsidR="000203EF" w:rsidRPr="005D6BCE" w:rsidRDefault="000203EF" w:rsidP="222E42F8">
      <w:pPr>
        <w:rPr>
          <w:rFonts w:asciiTheme="minorHAnsi" w:hAnsiTheme="minorHAnsi" w:cstheme="minorBidi"/>
          <w:lang w:val="en-GB"/>
        </w:rPr>
      </w:pPr>
    </w:p>
    <w:p w14:paraId="255C544B" w14:textId="0BF92745" w:rsidR="000203EF" w:rsidRPr="005D6BCE" w:rsidRDefault="6DB11F1D" w:rsidP="222E42F8">
      <w:pPr>
        <w:rPr>
          <w:lang w:val="en-GB"/>
        </w:rPr>
      </w:pPr>
      <w:r w:rsidRPr="003A37FC">
        <w:rPr>
          <w:noProof/>
        </w:rPr>
        <w:drawing>
          <wp:inline distT="0" distB="0" distL="0" distR="0" wp14:anchorId="6681B547" wp14:editId="222E42F8">
            <wp:extent cx="6410325" cy="4580711"/>
            <wp:effectExtent l="0" t="0" r="0" b="0"/>
            <wp:docPr id="800504498" name="Picture 80050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10325" cy="4580711"/>
                    </a:xfrm>
                    <a:prstGeom prst="rect">
                      <a:avLst/>
                    </a:prstGeom>
                  </pic:spPr>
                </pic:pic>
              </a:graphicData>
            </a:graphic>
          </wp:inline>
        </w:drawing>
      </w:r>
    </w:p>
    <w:p w14:paraId="2C527EA1" w14:textId="77777777" w:rsidR="007568CF" w:rsidRPr="005D6BCE" w:rsidRDefault="007568CF" w:rsidP="002F4476">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061"/>
      </w:tblGrid>
      <w:tr w:rsidR="000119EA" w:rsidRPr="00C54CF9" w14:paraId="2DE55FC3" w14:textId="77777777" w:rsidTr="000119EA">
        <w:tc>
          <w:tcPr>
            <w:tcW w:w="9061" w:type="dxa"/>
          </w:tcPr>
          <w:p w14:paraId="0F2FC4C1" w14:textId="1B95A88B" w:rsidR="000119EA" w:rsidRPr="005D6BCE" w:rsidRDefault="000119EA" w:rsidP="00E004D3">
            <w:pPr>
              <w:pStyle w:val="Heading1"/>
              <w:numPr>
                <w:ilvl w:val="0"/>
                <w:numId w:val="0"/>
              </w:numPr>
              <w:outlineLvl w:val="0"/>
              <w:rPr>
                <w:rFonts w:asciiTheme="majorHAnsi" w:hAnsiTheme="majorHAnsi" w:cstheme="minorHAnsi"/>
                <w:lang w:val="en-GB"/>
              </w:rPr>
            </w:pPr>
            <w:r w:rsidRPr="005D6BCE">
              <w:rPr>
                <w:rFonts w:asciiTheme="majorHAnsi" w:hAnsiTheme="majorHAnsi" w:cstheme="minorHAnsi"/>
                <w:color w:val="0070C0"/>
                <w:sz w:val="36"/>
                <w:lang w:val="en-GB"/>
              </w:rPr>
              <w:lastRenderedPageBreak/>
              <w:t>Introduction</w:t>
            </w:r>
            <w:r w:rsidRPr="005D6BCE">
              <w:rPr>
                <w:rFonts w:asciiTheme="majorHAnsi" w:hAnsiTheme="majorHAnsi" w:cstheme="minorHAnsi"/>
                <w:color w:val="0070C0"/>
                <w:sz w:val="32"/>
                <w:lang w:val="en-GB"/>
              </w:rPr>
              <w:t xml:space="preserve"> </w:t>
            </w:r>
            <w:r w:rsidRPr="005D6BCE">
              <w:rPr>
                <w:rFonts w:asciiTheme="majorHAnsi" w:hAnsiTheme="majorHAnsi" w:cstheme="minorHAnsi"/>
                <w:lang w:val="en-GB"/>
              </w:rPr>
              <w:t xml:space="preserve"> </w:t>
            </w:r>
          </w:p>
          <w:p w14:paraId="2D06E1DF" w14:textId="77777777" w:rsidR="007568CF" w:rsidRPr="005D6BCE" w:rsidRDefault="007568CF" w:rsidP="007568CF">
            <w:pPr>
              <w:rPr>
                <w:lang w:val="en-GB"/>
              </w:rPr>
            </w:pPr>
          </w:p>
          <w:p w14:paraId="084A0B06" w14:textId="53229962" w:rsidR="007568CF" w:rsidRDefault="006E6DFD" w:rsidP="00EA7BB0">
            <w:pPr>
              <w:shd w:val="clear" w:color="auto" w:fill="FFFFFF"/>
              <w:spacing w:line="276" w:lineRule="auto"/>
              <w:ind w:firstLine="708"/>
              <w:rPr>
                <w:rFonts w:eastAsia="Calibri"/>
                <w:lang w:val="en-GB"/>
              </w:rPr>
            </w:pPr>
            <w:r w:rsidRPr="005D6BCE">
              <w:rPr>
                <w:rFonts w:eastAsia="Calibri"/>
                <w:lang w:val="en-GB"/>
              </w:rPr>
              <w:t>Since 2020, I have had the privilege of working with European Economic and Social Committee (EESC) colleagues on several opinions and activities covering the areas of transport, energy, infrastructure and the information society. During these two and a half years we have experienced the COVID-19 crisis, the war in Ukraine, mounting energy prices and inflation rates and an increase in energy poverty.</w:t>
            </w:r>
          </w:p>
          <w:p w14:paraId="716324F5" w14:textId="77777777" w:rsidR="003F2472" w:rsidRPr="005D6BCE" w:rsidRDefault="003F2472" w:rsidP="00EA7BB0">
            <w:pPr>
              <w:shd w:val="clear" w:color="auto" w:fill="FFFFFF"/>
              <w:spacing w:line="276" w:lineRule="auto"/>
              <w:ind w:firstLine="708"/>
              <w:rPr>
                <w:rFonts w:eastAsia="Calibri"/>
                <w:lang w:val="en-GB"/>
              </w:rPr>
            </w:pPr>
          </w:p>
          <w:p w14:paraId="419BACC5" w14:textId="54E0CDAA" w:rsidR="006E6DFD" w:rsidRPr="005D6BCE" w:rsidRDefault="006E6DFD" w:rsidP="00EA7BB0">
            <w:pPr>
              <w:shd w:val="clear" w:color="auto" w:fill="FFFFFF"/>
              <w:spacing w:line="276" w:lineRule="auto"/>
              <w:rPr>
                <w:rFonts w:eastAsia="Calibri"/>
                <w:lang w:val="en-GB"/>
              </w:rPr>
            </w:pPr>
            <w:r w:rsidRPr="005D6BCE">
              <w:rPr>
                <w:rFonts w:eastAsia="Calibri"/>
                <w:lang w:val="en-GB"/>
              </w:rPr>
              <w:tab/>
              <w:t xml:space="preserve">In order to better understand the TEN section members' needs and expectations, and to get acquainted with TEN section members' (especially </w:t>
            </w:r>
            <w:r w:rsidR="003D5A25">
              <w:rPr>
                <w:rFonts w:eastAsia="Calibri"/>
                <w:lang w:val="en-GB"/>
              </w:rPr>
              <w:t>"</w:t>
            </w:r>
            <w:r w:rsidRPr="005D6BCE">
              <w:rPr>
                <w:rFonts w:eastAsia="Calibri"/>
                <w:lang w:val="en-GB"/>
              </w:rPr>
              <w:t>new</w:t>
            </w:r>
            <w:r w:rsidR="003D5A25">
              <w:rPr>
                <w:rFonts w:eastAsia="Calibri"/>
                <w:lang w:val="en-GB"/>
              </w:rPr>
              <w:t>"</w:t>
            </w:r>
            <w:r w:rsidRPr="005D6BCE">
              <w:rPr>
                <w:rFonts w:eastAsia="Calibri"/>
                <w:lang w:val="en-GB"/>
              </w:rPr>
              <w:t xml:space="preserve"> members) areas of expertise</w:t>
            </w:r>
            <w:r w:rsidR="003D5A25">
              <w:rPr>
                <w:rFonts w:eastAsia="Calibri"/>
                <w:lang w:val="en-GB"/>
              </w:rPr>
              <w:t>,</w:t>
            </w:r>
            <w:r w:rsidRPr="005D6BCE">
              <w:rPr>
                <w:rFonts w:eastAsia="Calibri"/>
                <w:lang w:val="en-GB"/>
              </w:rPr>
              <w:t xml:space="preserve"> online meetings </w:t>
            </w:r>
            <w:r w:rsidR="003D5A25">
              <w:rPr>
                <w:rFonts w:eastAsia="Calibri"/>
                <w:lang w:val="en-GB"/>
              </w:rPr>
              <w:t xml:space="preserve">of the national delegations were held </w:t>
            </w:r>
            <w:r w:rsidRPr="005D6BCE">
              <w:rPr>
                <w:rFonts w:eastAsia="Calibri"/>
                <w:lang w:val="en-GB"/>
              </w:rPr>
              <w:t xml:space="preserve">in the </w:t>
            </w:r>
            <w:r w:rsidR="00C54CF9" w:rsidRPr="00C54CF9">
              <w:rPr>
                <w:rFonts w:eastAsia="Calibri"/>
                <w:lang w:val="en-GB"/>
              </w:rPr>
              <w:t>middle</w:t>
            </w:r>
            <w:r w:rsidRPr="005D6BCE">
              <w:rPr>
                <w:rFonts w:eastAsia="Calibri"/>
                <w:lang w:val="en-GB"/>
              </w:rPr>
              <w:t xml:space="preserve"> of the COVID-19 crisis. At that time, members </w:t>
            </w:r>
            <w:r w:rsidR="00C54CF9" w:rsidRPr="00C54CF9">
              <w:rPr>
                <w:rFonts w:eastAsia="Calibri"/>
                <w:lang w:val="en-GB"/>
              </w:rPr>
              <w:t>admitted</w:t>
            </w:r>
            <w:r w:rsidRPr="005D6BCE">
              <w:rPr>
                <w:rFonts w:eastAsia="Calibri"/>
                <w:lang w:val="en-GB"/>
              </w:rPr>
              <w:t xml:space="preserve"> that there is a need to rethink the energy strategy and dependency </w:t>
            </w:r>
            <w:r w:rsidR="003D5A25">
              <w:rPr>
                <w:rFonts w:eastAsia="Calibri"/>
                <w:lang w:val="en-GB"/>
              </w:rPr>
              <w:t>on</w:t>
            </w:r>
            <w:r w:rsidR="003D5A25" w:rsidRPr="005D6BCE">
              <w:rPr>
                <w:rFonts w:eastAsia="Calibri"/>
                <w:lang w:val="en-GB"/>
              </w:rPr>
              <w:t xml:space="preserve"> </w:t>
            </w:r>
            <w:r w:rsidRPr="005D6BCE">
              <w:rPr>
                <w:rFonts w:eastAsia="Calibri"/>
                <w:lang w:val="en-GB"/>
              </w:rPr>
              <w:t>Russian energy. At EESC level, initiatives could be organi</w:t>
            </w:r>
            <w:r w:rsidR="003D5A25">
              <w:rPr>
                <w:rFonts w:eastAsia="Calibri"/>
                <w:lang w:val="en-GB"/>
              </w:rPr>
              <w:t>s</w:t>
            </w:r>
            <w:r w:rsidRPr="005D6BCE">
              <w:rPr>
                <w:rFonts w:eastAsia="Calibri"/>
                <w:lang w:val="en-GB"/>
              </w:rPr>
              <w:t>ed in order to discussed possible options on how to diversify national energy mixes and the supply of different materials.</w:t>
            </w:r>
          </w:p>
          <w:p w14:paraId="26A393E7" w14:textId="77777777" w:rsidR="007568CF" w:rsidRPr="005D6BCE" w:rsidRDefault="007568CF" w:rsidP="00EA7BB0">
            <w:pPr>
              <w:shd w:val="clear" w:color="auto" w:fill="FFFFFF"/>
              <w:spacing w:line="276" w:lineRule="auto"/>
              <w:rPr>
                <w:rFonts w:eastAsia="Calibri"/>
                <w:lang w:val="en-GB"/>
              </w:rPr>
            </w:pPr>
          </w:p>
          <w:p w14:paraId="0C3FDD0F" w14:textId="13AE7AE0" w:rsidR="006E6DFD" w:rsidRPr="005D6BCE" w:rsidRDefault="006E6DFD" w:rsidP="00EA7BB0">
            <w:pPr>
              <w:shd w:val="clear" w:color="auto" w:fill="FFFFFF"/>
              <w:spacing w:line="276" w:lineRule="auto"/>
              <w:ind w:firstLine="708"/>
              <w:rPr>
                <w:rFonts w:eastAsia="Calibri"/>
                <w:lang w:val="en-GB"/>
              </w:rPr>
            </w:pPr>
            <w:r w:rsidRPr="005D6BCE">
              <w:rPr>
                <w:rFonts w:eastAsia="Calibri"/>
                <w:lang w:val="en-GB"/>
              </w:rPr>
              <w:t xml:space="preserve">As a consequence of the war in Ukraine, energy became the most pressing issue on the TEN section's agenda of </w:t>
            </w:r>
            <w:r w:rsidR="003D5A25">
              <w:rPr>
                <w:rFonts w:eastAsia="Calibri"/>
                <w:lang w:val="en-GB"/>
              </w:rPr>
              <w:t xml:space="preserve">the </w:t>
            </w:r>
            <w:r w:rsidRPr="005D6BCE">
              <w:rPr>
                <w:rFonts w:eastAsia="Calibri"/>
                <w:lang w:val="en-GB"/>
              </w:rPr>
              <w:t>2020</w:t>
            </w:r>
            <w:r w:rsidR="003D5A25">
              <w:rPr>
                <w:rFonts w:eastAsia="Calibri"/>
                <w:lang w:val="en-GB"/>
              </w:rPr>
              <w:t>–</w:t>
            </w:r>
            <w:r w:rsidRPr="005D6BCE">
              <w:rPr>
                <w:rFonts w:eastAsia="Calibri"/>
                <w:lang w:val="en-GB"/>
              </w:rPr>
              <w:t>2023</w:t>
            </w:r>
            <w:r w:rsidR="003D5A25">
              <w:rPr>
                <w:rFonts w:eastAsia="Calibri"/>
                <w:lang w:val="en-GB"/>
              </w:rPr>
              <w:t xml:space="preserve"> </w:t>
            </w:r>
            <w:r w:rsidR="003D5A25" w:rsidRPr="003274AF">
              <w:rPr>
                <w:rFonts w:eastAsia="Calibri"/>
                <w:lang w:val="en-GB"/>
              </w:rPr>
              <w:t>mandate</w:t>
            </w:r>
            <w:r w:rsidRPr="005D6BCE">
              <w:rPr>
                <w:rFonts w:eastAsia="Calibri"/>
                <w:lang w:val="en-GB"/>
              </w:rPr>
              <w:t xml:space="preserve">. In this context, I intend to put forward the voice of EESC on European energy policies in the next mandate. </w:t>
            </w:r>
          </w:p>
          <w:p w14:paraId="49FCB8B5" w14:textId="77777777" w:rsidR="007568CF" w:rsidRPr="005D6BCE" w:rsidRDefault="007568CF" w:rsidP="00EA7BB0">
            <w:pPr>
              <w:shd w:val="clear" w:color="auto" w:fill="FFFFFF"/>
              <w:spacing w:line="276" w:lineRule="auto"/>
              <w:ind w:firstLine="708"/>
              <w:rPr>
                <w:rFonts w:eastAsia="Calibri"/>
                <w:lang w:val="en-GB"/>
              </w:rPr>
            </w:pPr>
          </w:p>
          <w:p w14:paraId="0910339D" w14:textId="3F4F8564" w:rsidR="006E6DFD" w:rsidRPr="005D6BCE" w:rsidRDefault="006E6DFD" w:rsidP="00EA7BB0">
            <w:pPr>
              <w:spacing w:after="160" w:line="276" w:lineRule="auto"/>
              <w:rPr>
                <w:rFonts w:eastAsia="Calibri"/>
                <w:lang w:val="en-GB"/>
              </w:rPr>
            </w:pPr>
            <w:r w:rsidRPr="005D6BCE">
              <w:rPr>
                <w:rFonts w:eastAsia="Calibri"/>
                <w:lang w:val="en-GB"/>
              </w:rPr>
              <w:tab/>
              <w:t xml:space="preserve">My efforts as </w:t>
            </w:r>
            <w:r w:rsidR="003D5A25">
              <w:rPr>
                <w:rFonts w:eastAsia="Calibri"/>
                <w:lang w:val="en-GB"/>
              </w:rPr>
              <w:t>p</w:t>
            </w:r>
            <w:r w:rsidRPr="005D6BCE">
              <w:rPr>
                <w:rFonts w:eastAsia="Calibri"/>
                <w:lang w:val="en-GB"/>
              </w:rPr>
              <w:t xml:space="preserve">resident were supported by a strong TEN </w:t>
            </w:r>
            <w:r w:rsidR="00404B68">
              <w:rPr>
                <w:rFonts w:eastAsia="Calibri"/>
                <w:lang w:val="en-GB"/>
              </w:rPr>
              <w:t>s</w:t>
            </w:r>
            <w:r w:rsidRPr="005D6BCE">
              <w:rPr>
                <w:rFonts w:eastAsia="Calibri"/>
                <w:lang w:val="en-GB"/>
              </w:rPr>
              <w:t xml:space="preserve">ection </w:t>
            </w:r>
            <w:r w:rsidR="003D5A25">
              <w:rPr>
                <w:rFonts w:eastAsia="Calibri"/>
                <w:lang w:val="en-GB"/>
              </w:rPr>
              <w:t>b</w:t>
            </w:r>
            <w:r w:rsidRPr="005D6BCE">
              <w:rPr>
                <w:rFonts w:eastAsia="Calibri"/>
                <w:lang w:val="en-GB"/>
              </w:rPr>
              <w:t xml:space="preserve">ureau and </w:t>
            </w:r>
            <w:r w:rsidR="003D5A25">
              <w:rPr>
                <w:rFonts w:eastAsia="Calibri"/>
                <w:lang w:val="en-GB"/>
              </w:rPr>
              <w:t>s</w:t>
            </w:r>
            <w:r w:rsidRPr="005D6BCE">
              <w:rPr>
                <w:rFonts w:eastAsia="Calibri"/>
                <w:lang w:val="en-GB"/>
              </w:rPr>
              <w:t xml:space="preserve">ecretariat whom I want to thank gratefully. </w:t>
            </w:r>
            <w:r w:rsidR="00C54CF9" w:rsidRPr="00C54CF9">
              <w:rPr>
                <w:rFonts w:eastAsia="Calibri"/>
                <w:lang w:val="en-GB"/>
              </w:rPr>
              <w:t>Collectively</w:t>
            </w:r>
            <w:r w:rsidRPr="005D6BCE">
              <w:rPr>
                <w:rFonts w:eastAsia="Calibri"/>
                <w:lang w:val="en-GB"/>
              </w:rPr>
              <w:t xml:space="preserve"> we aimed at three main goals:</w:t>
            </w:r>
          </w:p>
          <w:p w14:paraId="4D98B320" w14:textId="68BD176E" w:rsidR="006E6DFD" w:rsidRPr="005D6BCE" w:rsidRDefault="006E6DFD" w:rsidP="00EA7BB0">
            <w:pPr>
              <w:numPr>
                <w:ilvl w:val="0"/>
                <w:numId w:val="3"/>
              </w:numPr>
              <w:spacing w:after="160" w:line="276" w:lineRule="auto"/>
              <w:contextualSpacing/>
              <w:rPr>
                <w:rFonts w:eastAsia="Calibri"/>
                <w:lang w:val="en-GB"/>
              </w:rPr>
            </w:pPr>
            <w:r w:rsidRPr="005D6BCE">
              <w:rPr>
                <w:rFonts w:eastAsia="Calibri"/>
                <w:lang w:val="en-GB"/>
              </w:rPr>
              <w:t xml:space="preserve">to safeguard </w:t>
            </w:r>
            <w:r w:rsidR="003D5A25">
              <w:rPr>
                <w:rFonts w:eastAsia="Calibri"/>
                <w:lang w:val="en-GB"/>
              </w:rPr>
              <w:t xml:space="preserve">the </w:t>
            </w:r>
            <w:r w:rsidRPr="005D6BCE">
              <w:rPr>
                <w:rFonts w:eastAsia="Calibri"/>
                <w:lang w:val="en-GB"/>
              </w:rPr>
              <w:t>TEN</w:t>
            </w:r>
            <w:r w:rsidR="003D5A25">
              <w:rPr>
                <w:rFonts w:eastAsia="Calibri"/>
                <w:lang w:val="en-GB"/>
              </w:rPr>
              <w:t>'s</w:t>
            </w:r>
            <w:r w:rsidRPr="005D6BCE">
              <w:rPr>
                <w:rFonts w:eastAsia="Calibri"/>
                <w:lang w:val="en-GB"/>
              </w:rPr>
              <w:t xml:space="preserve"> role, which is nowadays central for the EU overall advisory architecture both in a strategic view (</w:t>
            </w:r>
            <w:r w:rsidR="003D5A25">
              <w:rPr>
                <w:rFonts w:eastAsia="Calibri"/>
                <w:lang w:val="en-GB"/>
              </w:rPr>
              <w:t xml:space="preserve">the </w:t>
            </w:r>
            <w:r w:rsidRPr="005D6BCE">
              <w:rPr>
                <w:rFonts w:eastAsia="Calibri"/>
                <w:lang w:val="en-GB"/>
              </w:rPr>
              <w:t xml:space="preserve">digital and green revolutions and the relevant transitions) and in a short-term perspective (the energy crisis, its impact on </w:t>
            </w:r>
            <w:r w:rsidR="003D5A25">
              <w:rPr>
                <w:rFonts w:eastAsia="Calibri"/>
                <w:lang w:val="en-GB"/>
              </w:rPr>
              <w:t xml:space="preserve">the </w:t>
            </w:r>
            <w:r w:rsidRPr="005D6BCE">
              <w:rPr>
                <w:rFonts w:eastAsia="Calibri"/>
                <w:lang w:val="en-GB"/>
              </w:rPr>
              <w:t xml:space="preserve">Green Deal, the need to support Ukraine in material fields such as transport, energy and infrastructure, the reshaping of </w:t>
            </w:r>
            <w:r w:rsidR="003D5A25">
              <w:rPr>
                <w:rFonts w:eastAsia="Calibri"/>
                <w:lang w:val="en-GB"/>
              </w:rPr>
              <w:t xml:space="preserve">the </w:t>
            </w:r>
            <w:r w:rsidRPr="005D6BCE">
              <w:rPr>
                <w:rFonts w:eastAsia="Calibri"/>
                <w:lang w:val="en-GB"/>
              </w:rPr>
              <w:t>EU</w:t>
            </w:r>
            <w:r w:rsidR="003D5A25">
              <w:rPr>
                <w:rFonts w:eastAsia="Calibri"/>
                <w:lang w:val="en-GB"/>
              </w:rPr>
              <w:t>'s</w:t>
            </w:r>
            <w:r w:rsidRPr="005D6BCE">
              <w:rPr>
                <w:rFonts w:eastAsia="Calibri"/>
                <w:lang w:val="en-GB"/>
              </w:rPr>
              <w:t xml:space="preserve"> role in view of deglobali</w:t>
            </w:r>
            <w:r w:rsidR="003D5A25">
              <w:rPr>
                <w:rFonts w:eastAsia="Calibri"/>
                <w:lang w:val="en-GB"/>
              </w:rPr>
              <w:t>s</w:t>
            </w:r>
            <w:r w:rsidRPr="005D6BCE">
              <w:rPr>
                <w:rFonts w:eastAsia="Calibri"/>
                <w:lang w:val="en-GB"/>
              </w:rPr>
              <w:t>ation);</w:t>
            </w:r>
          </w:p>
          <w:p w14:paraId="58F51C22" w14:textId="77777777" w:rsidR="007568CF" w:rsidRPr="005D6BCE" w:rsidRDefault="007568CF" w:rsidP="007568CF">
            <w:pPr>
              <w:spacing w:after="160" w:line="276" w:lineRule="auto"/>
              <w:contextualSpacing/>
              <w:rPr>
                <w:rFonts w:eastAsia="Calibri"/>
                <w:lang w:val="en-GB"/>
              </w:rPr>
            </w:pPr>
          </w:p>
          <w:p w14:paraId="761CA917" w14:textId="4E45302C" w:rsidR="006E6DFD" w:rsidRPr="005D6BCE" w:rsidRDefault="006E6DFD" w:rsidP="00EA7BB0">
            <w:pPr>
              <w:numPr>
                <w:ilvl w:val="0"/>
                <w:numId w:val="3"/>
              </w:numPr>
              <w:spacing w:after="160" w:line="276" w:lineRule="auto"/>
              <w:contextualSpacing/>
              <w:rPr>
                <w:rFonts w:eastAsia="Calibri"/>
                <w:lang w:val="en-GB"/>
              </w:rPr>
            </w:pPr>
            <w:r w:rsidRPr="005D6BCE">
              <w:rPr>
                <w:rFonts w:eastAsia="Calibri"/>
                <w:lang w:val="en-GB"/>
              </w:rPr>
              <w:t>to streamline works, a need deriving from continuous stress-tests imposed by more and more stringent deadlines and robust workload, coupled with the limited resources available from our administrative structure;</w:t>
            </w:r>
          </w:p>
          <w:p w14:paraId="4F55F06F" w14:textId="77777777" w:rsidR="007568CF" w:rsidRPr="005D6BCE" w:rsidRDefault="007568CF" w:rsidP="007568CF">
            <w:pPr>
              <w:spacing w:after="160" w:line="276" w:lineRule="auto"/>
              <w:contextualSpacing/>
              <w:rPr>
                <w:rFonts w:eastAsia="Calibri"/>
                <w:lang w:val="en-GB"/>
              </w:rPr>
            </w:pPr>
          </w:p>
          <w:p w14:paraId="448FC8B9" w14:textId="79E62C31" w:rsidR="006E6DFD" w:rsidRPr="005D6BCE" w:rsidRDefault="006E6DFD" w:rsidP="00EA7BB0">
            <w:pPr>
              <w:numPr>
                <w:ilvl w:val="0"/>
                <w:numId w:val="3"/>
              </w:numPr>
              <w:spacing w:after="160" w:line="276" w:lineRule="auto"/>
              <w:contextualSpacing/>
              <w:rPr>
                <w:rFonts w:eastAsia="Calibri"/>
                <w:lang w:val="en-GB"/>
              </w:rPr>
            </w:pPr>
            <w:r w:rsidRPr="005D6BCE">
              <w:rPr>
                <w:rFonts w:eastAsia="Calibri"/>
                <w:lang w:val="en-GB"/>
              </w:rPr>
              <w:t>to develop inclusion and reciprocal respect among members, since the more complex and sensitive the issues to be dealt are</w:t>
            </w:r>
            <w:r w:rsidR="00404B68">
              <w:rPr>
                <w:rFonts w:eastAsia="Calibri"/>
                <w:lang w:val="en-GB"/>
              </w:rPr>
              <w:t>,</w:t>
            </w:r>
            <w:r w:rsidRPr="005D6BCE">
              <w:rPr>
                <w:rFonts w:eastAsia="Calibri"/>
                <w:lang w:val="en-GB"/>
              </w:rPr>
              <w:t xml:space="preserve"> and the more controversial are necessarily the views expressed</w:t>
            </w:r>
            <w:r w:rsidR="00404B68">
              <w:rPr>
                <w:rFonts w:eastAsia="Calibri"/>
                <w:lang w:val="en-GB"/>
              </w:rPr>
              <w:t>,</w:t>
            </w:r>
            <w:r w:rsidRPr="005D6BCE">
              <w:rPr>
                <w:rFonts w:eastAsia="Calibri"/>
                <w:lang w:val="en-GB"/>
              </w:rPr>
              <w:t xml:space="preserve"> </w:t>
            </w:r>
            <w:r w:rsidR="00404B68">
              <w:rPr>
                <w:rFonts w:eastAsia="Calibri"/>
                <w:lang w:val="en-GB"/>
              </w:rPr>
              <w:t xml:space="preserve">we nonetheless </w:t>
            </w:r>
            <w:r w:rsidRPr="005D6BCE">
              <w:rPr>
                <w:rFonts w:eastAsia="Calibri"/>
                <w:lang w:val="en-GB"/>
              </w:rPr>
              <w:t xml:space="preserve">have to find a </w:t>
            </w:r>
            <w:r w:rsidR="00404B68">
              <w:rPr>
                <w:rFonts w:eastAsia="Calibri"/>
                <w:lang w:val="en-GB"/>
              </w:rPr>
              <w:t>smooth</w:t>
            </w:r>
            <w:r w:rsidR="00404B68" w:rsidRPr="005D6BCE">
              <w:rPr>
                <w:rFonts w:eastAsia="Calibri"/>
                <w:lang w:val="en-GB"/>
              </w:rPr>
              <w:t xml:space="preserve"> </w:t>
            </w:r>
            <w:r w:rsidRPr="005D6BCE">
              <w:rPr>
                <w:rFonts w:eastAsia="Calibri"/>
                <w:lang w:val="en-GB"/>
              </w:rPr>
              <w:t xml:space="preserve">and </w:t>
            </w:r>
            <w:r w:rsidR="00404B68">
              <w:rPr>
                <w:rFonts w:eastAsia="Calibri"/>
                <w:lang w:val="en-GB"/>
              </w:rPr>
              <w:t>convivial</w:t>
            </w:r>
            <w:r w:rsidR="00404B68" w:rsidRPr="005D6BCE">
              <w:rPr>
                <w:rFonts w:eastAsia="Calibri"/>
                <w:lang w:val="en-GB"/>
              </w:rPr>
              <w:t xml:space="preserve"> </w:t>
            </w:r>
            <w:r w:rsidRPr="005D6BCE">
              <w:rPr>
                <w:rFonts w:eastAsia="Calibri"/>
                <w:lang w:val="en-GB"/>
              </w:rPr>
              <w:t>arrangement for the benefit of our work.</w:t>
            </w:r>
          </w:p>
          <w:p w14:paraId="230B4B39" w14:textId="77777777" w:rsidR="007568CF" w:rsidRPr="005D6BCE" w:rsidRDefault="007568CF" w:rsidP="007568CF">
            <w:pPr>
              <w:shd w:val="clear" w:color="auto" w:fill="FFFFFF"/>
              <w:spacing w:line="276" w:lineRule="auto"/>
              <w:rPr>
                <w:rFonts w:eastAsia="Calibri"/>
                <w:lang w:val="en-GB"/>
              </w:rPr>
            </w:pPr>
          </w:p>
          <w:p w14:paraId="5B14344D" w14:textId="6393E975" w:rsidR="006E6DFD" w:rsidRPr="005D6BCE" w:rsidRDefault="006E6DFD" w:rsidP="007568CF">
            <w:pPr>
              <w:shd w:val="clear" w:color="auto" w:fill="FFFFFF"/>
              <w:spacing w:line="276" w:lineRule="auto"/>
              <w:rPr>
                <w:rFonts w:eastAsia="Calibri"/>
                <w:lang w:val="en-GB"/>
              </w:rPr>
            </w:pPr>
            <w:r w:rsidRPr="005D6BCE">
              <w:rPr>
                <w:rFonts w:eastAsia="Calibri"/>
                <w:lang w:val="en-GB"/>
              </w:rPr>
              <w:tab/>
            </w:r>
            <w:r w:rsidR="00466A33" w:rsidRPr="005D6BCE">
              <w:rPr>
                <w:rFonts w:eastAsia="Calibri"/>
                <w:lang w:val="en-GB"/>
              </w:rPr>
              <w:t>R</w:t>
            </w:r>
            <w:r w:rsidRPr="005D6BCE">
              <w:rPr>
                <w:rFonts w:eastAsia="Calibri"/>
                <w:lang w:val="en-GB"/>
              </w:rPr>
              <w:t xml:space="preserve">econciling the three different goals was not easy and we </w:t>
            </w:r>
            <w:r w:rsidR="00404B68" w:rsidRPr="003274AF">
              <w:rPr>
                <w:rFonts w:eastAsia="Calibri"/>
                <w:lang w:val="en-GB"/>
              </w:rPr>
              <w:t xml:space="preserve">surely </w:t>
            </w:r>
            <w:r w:rsidRPr="005D6BCE">
              <w:rPr>
                <w:rFonts w:eastAsia="Calibri"/>
                <w:lang w:val="en-GB"/>
              </w:rPr>
              <w:t>did our best to ensure the smooth work of</w:t>
            </w:r>
            <w:r w:rsidR="00404B68">
              <w:rPr>
                <w:rFonts w:eastAsia="Calibri"/>
                <w:lang w:val="en-GB"/>
              </w:rPr>
              <w:t xml:space="preserve"> the</w:t>
            </w:r>
            <w:r w:rsidRPr="005D6BCE">
              <w:rPr>
                <w:rFonts w:eastAsia="Calibri"/>
                <w:lang w:val="en-GB"/>
              </w:rPr>
              <w:t xml:space="preserve"> TEN section. </w:t>
            </w:r>
          </w:p>
          <w:p w14:paraId="7CF3B40F" w14:textId="77777777" w:rsidR="00466A33" w:rsidRPr="005D6BCE" w:rsidRDefault="00466A33" w:rsidP="00EA7BB0">
            <w:pPr>
              <w:rPr>
                <w:rFonts w:eastAsia="Calibri"/>
                <w:lang w:val="en-GB"/>
              </w:rPr>
            </w:pPr>
          </w:p>
          <w:p w14:paraId="6BB19DE9" w14:textId="77777777" w:rsidR="007568CF" w:rsidRPr="005D6BCE" w:rsidRDefault="007568CF" w:rsidP="007568CF">
            <w:pPr>
              <w:ind w:left="318"/>
              <w:rPr>
                <w:rFonts w:eastAsia="Calibri"/>
                <w:lang w:val="en-GB"/>
              </w:rPr>
            </w:pPr>
          </w:p>
          <w:p w14:paraId="3CC6E179" w14:textId="7904EA88" w:rsidR="00EA7BB0" w:rsidRPr="00C54CF9" w:rsidRDefault="006E6DFD" w:rsidP="007568CF">
            <w:pPr>
              <w:ind w:left="318"/>
              <w:rPr>
                <w:lang w:val="en-GB"/>
              </w:rPr>
            </w:pPr>
            <w:r w:rsidRPr="005D6BCE">
              <w:rPr>
                <w:rFonts w:eastAsia="Calibri"/>
                <w:lang w:val="en-GB"/>
              </w:rPr>
              <w:t>Before entering into the details of this end</w:t>
            </w:r>
            <w:r w:rsidR="00404B68">
              <w:rPr>
                <w:rFonts w:eastAsia="Calibri"/>
                <w:lang w:val="en-GB"/>
              </w:rPr>
              <w:t>-</w:t>
            </w:r>
            <w:r w:rsidRPr="005D6BCE">
              <w:rPr>
                <w:rFonts w:eastAsia="Calibri"/>
                <w:lang w:val="en-GB"/>
              </w:rPr>
              <w:t>of</w:t>
            </w:r>
            <w:r w:rsidR="00404B68">
              <w:rPr>
                <w:rFonts w:eastAsia="Calibri"/>
                <w:lang w:val="en-GB"/>
              </w:rPr>
              <w:t>-</w:t>
            </w:r>
            <w:r w:rsidRPr="005D6BCE">
              <w:rPr>
                <w:rFonts w:eastAsia="Calibri"/>
                <w:lang w:val="en-GB"/>
              </w:rPr>
              <w:t xml:space="preserve">mandate report, I want to stress how important it </w:t>
            </w:r>
            <w:r w:rsidRPr="005D6BCE">
              <w:rPr>
                <w:rFonts w:eastAsia="Calibri"/>
                <w:lang w:val="en-GB"/>
              </w:rPr>
              <w:lastRenderedPageBreak/>
              <w:t xml:space="preserve">is, in view of our role of representatives of </w:t>
            </w:r>
            <w:r w:rsidR="00404B68">
              <w:rPr>
                <w:rFonts w:eastAsia="Calibri"/>
                <w:lang w:val="en-GB"/>
              </w:rPr>
              <w:t xml:space="preserve">the </w:t>
            </w:r>
            <w:r w:rsidRPr="005D6BCE">
              <w:rPr>
                <w:rFonts w:eastAsia="Calibri"/>
                <w:lang w:val="en-GB"/>
              </w:rPr>
              <w:t>EESC</w:t>
            </w:r>
            <w:r w:rsidR="00404B68">
              <w:rPr>
                <w:rFonts w:eastAsia="Calibri"/>
                <w:lang w:val="en-GB"/>
              </w:rPr>
              <w:t>,</w:t>
            </w:r>
            <w:r w:rsidRPr="005D6BCE">
              <w:rPr>
                <w:rFonts w:eastAsia="Calibri"/>
                <w:lang w:val="en-GB"/>
              </w:rPr>
              <w:t xml:space="preserve"> to work </w:t>
            </w:r>
            <w:r w:rsidR="00404B68">
              <w:rPr>
                <w:rFonts w:eastAsia="Calibri"/>
                <w:lang w:val="en-GB"/>
              </w:rPr>
              <w:t>while bearing</w:t>
            </w:r>
            <w:r w:rsidR="00404B68" w:rsidRPr="005D6BCE">
              <w:rPr>
                <w:rFonts w:eastAsia="Calibri"/>
                <w:lang w:val="en-GB"/>
              </w:rPr>
              <w:t xml:space="preserve"> </w:t>
            </w:r>
            <w:r w:rsidRPr="005D6BCE">
              <w:rPr>
                <w:rFonts w:eastAsia="Calibri"/>
                <w:lang w:val="en-GB"/>
              </w:rPr>
              <w:t xml:space="preserve">in mind that we have to </w:t>
            </w:r>
            <w:r w:rsidR="00404B68">
              <w:rPr>
                <w:rFonts w:eastAsia="Calibri"/>
                <w:lang w:val="en-GB"/>
              </w:rPr>
              <w:t>provide an</w:t>
            </w:r>
            <w:r w:rsidR="00404B68" w:rsidRPr="005D6BCE">
              <w:rPr>
                <w:rFonts w:eastAsia="Calibri"/>
                <w:lang w:val="en-GB"/>
              </w:rPr>
              <w:t xml:space="preserve"> </w:t>
            </w:r>
            <w:r w:rsidRPr="005D6BCE">
              <w:rPr>
                <w:rFonts w:eastAsia="Calibri"/>
                <w:lang w:val="en-GB"/>
              </w:rPr>
              <w:t xml:space="preserve">example for EU citizens, for taxpayers, for men and women whose trust and faith in EU institutions is </w:t>
            </w:r>
            <w:r w:rsidR="00404B68" w:rsidRPr="003274AF">
              <w:rPr>
                <w:rFonts w:eastAsia="Calibri"/>
                <w:lang w:val="en-GB"/>
              </w:rPr>
              <w:t xml:space="preserve">challenged </w:t>
            </w:r>
            <w:r w:rsidRPr="005D6BCE">
              <w:rPr>
                <w:rFonts w:eastAsia="Calibri"/>
                <w:lang w:val="en-GB"/>
              </w:rPr>
              <w:t xml:space="preserve">every day by difficult times. I will never be tired </w:t>
            </w:r>
            <w:r w:rsidR="00404B68">
              <w:rPr>
                <w:rFonts w:eastAsia="Calibri"/>
                <w:lang w:val="en-GB"/>
              </w:rPr>
              <w:t>of</w:t>
            </w:r>
            <w:r w:rsidR="00404B68" w:rsidRPr="005D6BCE">
              <w:rPr>
                <w:rFonts w:eastAsia="Calibri"/>
                <w:lang w:val="en-GB"/>
              </w:rPr>
              <w:t xml:space="preserve"> </w:t>
            </w:r>
            <w:r w:rsidRPr="005D6BCE">
              <w:rPr>
                <w:rFonts w:eastAsia="Calibri"/>
                <w:lang w:val="en-GB"/>
              </w:rPr>
              <w:t>renew</w:t>
            </w:r>
            <w:r w:rsidR="00404B68">
              <w:rPr>
                <w:rFonts w:eastAsia="Calibri"/>
                <w:lang w:val="en-GB"/>
              </w:rPr>
              <w:t>ing</w:t>
            </w:r>
            <w:r w:rsidRPr="005D6BCE">
              <w:rPr>
                <w:rFonts w:eastAsia="Calibri"/>
                <w:lang w:val="en-GB"/>
              </w:rPr>
              <w:t xml:space="preserve"> </w:t>
            </w:r>
            <w:r w:rsidR="00404B68">
              <w:rPr>
                <w:rFonts w:eastAsia="Calibri"/>
                <w:lang w:val="en-GB"/>
              </w:rPr>
              <w:t>the</w:t>
            </w:r>
            <w:r w:rsidR="00404B68" w:rsidRPr="005D6BCE">
              <w:rPr>
                <w:rFonts w:eastAsia="Calibri"/>
                <w:lang w:val="en-GB"/>
              </w:rPr>
              <w:t xml:space="preserve"> </w:t>
            </w:r>
            <w:r w:rsidRPr="005D6BCE">
              <w:rPr>
                <w:rFonts w:eastAsia="Calibri"/>
                <w:lang w:val="en-GB"/>
              </w:rPr>
              <w:t xml:space="preserve">message to treat each other with mutual respect and empathy, since despite </w:t>
            </w:r>
            <w:r w:rsidR="00404B68">
              <w:rPr>
                <w:rFonts w:eastAsia="Calibri"/>
                <w:lang w:val="en-GB"/>
              </w:rPr>
              <w:t xml:space="preserve">the </w:t>
            </w:r>
            <w:r w:rsidRPr="005D6BCE">
              <w:rPr>
                <w:rFonts w:eastAsia="Calibri"/>
                <w:lang w:val="en-GB"/>
              </w:rPr>
              <w:t>different views we may have, we all work for the same cause</w:t>
            </w:r>
            <w:r w:rsidR="00404B68">
              <w:rPr>
                <w:rFonts w:eastAsia="Calibri"/>
                <w:lang w:val="en-GB"/>
              </w:rPr>
              <w:t xml:space="preserve"> –</w:t>
            </w:r>
            <w:r w:rsidRPr="005D6BCE">
              <w:rPr>
                <w:rFonts w:eastAsia="Calibri"/>
                <w:lang w:val="en-GB"/>
              </w:rPr>
              <w:t xml:space="preserve"> Europe!</w:t>
            </w:r>
          </w:p>
          <w:p w14:paraId="17CE14F9" w14:textId="4C8F9A2B" w:rsidR="000119EA" w:rsidRPr="00C54CF9" w:rsidRDefault="000119EA" w:rsidP="00E004D3">
            <w:pPr>
              <w:pStyle w:val="Heading1"/>
              <w:numPr>
                <w:ilvl w:val="0"/>
                <w:numId w:val="0"/>
              </w:numPr>
              <w:ind w:left="567"/>
              <w:jc w:val="right"/>
              <w:outlineLvl w:val="0"/>
              <w:rPr>
                <w:rFonts w:asciiTheme="minorHAnsi" w:hAnsiTheme="minorHAnsi"/>
                <w:sz w:val="24"/>
                <w:szCs w:val="24"/>
                <w:lang w:val="en-GB"/>
              </w:rPr>
            </w:pPr>
            <w:r w:rsidRPr="00C54CF9">
              <w:rPr>
                <w:rFonts w:asciiTheme="minorHAnsi" w:hAnsiTheme="minorHAnsi"/>
                <w:color w:val="0070C0"/>
                <w:sz w:val="24"/>
                <w:szCs w:val="24"/>
                <w:lang w:val="en-GB"/>
              </w:rPr>
              <w:t xml:space="preserve"> </w:t>
            </w:r>
          </w:p>
          <w:p w14:paraId="78364005" w14:textId="77777777" w:rsidR="007568CF" w:rsidRPr="00C54CF9" w:rsidRDefault="007568CF" w:rsidP="007568CF">
            <w:pPr>
              <w:pStyle w:val="Heading1"/>
              <w:numPr>
                <w:ilvl w:val="0"/>
                <w:numId w:val="0"/>
              </w:numPr>
              <w:ind w:left="567"/>
              <w:jc w:val="right"/>
              <w:outlineLvl w:val="0"/>
              <w:rPr>
                <w:rFonts w:asciiTheme="minorHAnsi" w:hAnsiTheme="minorHAnsi"/>
                <w:i/>
                <w:sz w:val="24"/>
                <w:szCs w:val="24"/>
                <w:lang w:val="en-GB"/>
              </w:rPr>
            </w:pPr>
            <w:r w:rsidRPr="003A37FC">
              <w:rPr>
                <w:noProof/>
              </w:rPr>
              <w:drawing>
                <wp:inline distT="0" distB="0" distL="0" distR="0" wp14:anchorId="128383D8" wp14:editId="6A3E50D9">
                  <wp:extent cx="1112520" cy="15193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281" cy="1557300"/>
                          </a:xfrm>
                          <a:prstGeom prst="rect">
                            <a:avLst/>
                          </a:prstGeom>
                          <a:noFill/>
                          <a:ln>
                            <a:noFill/>
                          </a:ln>
                        </pic:spPr>
                      </pic:pic>
                    </a:graphicData>
                  </a:graphic>
                </wp:inline>
              </w:drawing>
            </w:r>
            <w:r w:rsidRPr="005D6BCE">
              <w:rPr>
                <w:lang w:val="en-GB"/>
              </w:rPr>
              <w:t xml:space="preserve">   </w:t>
            </w:r>
            <w:r w:rsidRPr="00C54CF9">
              <w:rPr>
                <w:rFonts w:ascii="Brush Script MT" w:hAnsi="Brush Script MT"/>
                <w:sz w:val="36"/>
                <w:szCs w:val="24"/>
                <w:lang w:val="en-GB"/>
              </w:rPr>
              <w:t>Baiba Miltovi</w:t>
            </w:r>
            <w:r w:rsidRPr="00C54CF9">
              <w:rPr>
                <w:rFonts w:ascii="Cambria" w:hAnsi="Cambria" w:cs="Cambria"/>
                <w:b/>
                <w:bCs/>
                <w:i/>
                <w:iCs/>
                <w:sz w:val="24"/>
                <w:szCs w:val="24"/>
                <w:lang w:val="en-GB"/>
              </w:rPr>
              <w:t>č</w:t>
            </w:r>
            <w:r w:rsidRPr="00C54CF9">
              <w:rPr>
                <w:rFonts w:ascii="Brush Script MT" w:hAnsi="Brush Script MT"/>
                <w:sz w:val="36"/>
                <w:szCs w:val="24"/>
                <w:lang w:val="en-GB"/>
              </w:rPr>
              <w:t xml:space="preserve">a </w:t>
            </w:r>
          </w:p>
          <w:p w14:paraId="2A738C98" w14:textId="5442EE43" w:rsidR="007568CF" w:rsidRPr="005D6BCE" w:rsidRDefault="007568CF" w:rsidP="007568CF">
            <w:pPr>
              <w:jc w:val="right"/>
              <w:rPr>
                <w:lang w:val="en-GB"/>
              </w:rPr>
            </w:pPr>
            <w:r w:rsidRPr="00C54CF9">
              <w:rPr>
                <w:rFonts w:asciiTheme="minorHAnsi" w:hAnsiTheme="minorHAnsi"/>
                <w:color w:val="0070C0"/>
                <w:sz w:val="24"/>
                <w:szCs w:val="24"/>
                <w:lang w:val="en-GB"/>
              </w:rPr>
              <w:t>President</w:t>
            </w:r>
          </w:p>
        </w:tc>
      </w:tr>
    </w:tbl>
    <w:p w14:paraId="53978CB0" w14:textId="6910B81A" w:rsidR="007F3152" w:rsidRPr="005D6BCE" w:rsidRDefault="007F3152" w:rsidP="002F4476">
      <w:pPr>
        <w:rPr>
          <w:rFonts w:asciiTheme="minorHAnsi" w:hAnsiTheme="minorHAnsi" w:cstheme="minorHAnsi"/>
          <w:lang w:val="en-GB"/>
        </w:rPr>
      </w:pPr>
    </w:p>
    <w:p w14:paraId="4173BF39" w14:textId="77777777" w:rsidR="007F3152" w:rsidRPr="005D6BCE" w:rsidRDefault="007F3152">
      <w:pPr>
        <w:spacing w:after="160" w:line="259" w:lineRule="auto"/>
        <w:jc w:val="left"/>
        <w:rPr>
          <w:rFonts w:asciiTheme="minorHAnsi" w:hAnsiTheme="minorHAnsi" w:cstheme="minorHAnsi"/>
          <w:lang w:val="en-GB"/>
        </w:rPr>
      </w:pPr>
      <w:r w:rsidRPr="005D6BCE">
        <w:rPr>
          <w:rFonts w:asciiTheme="minorHAnsi" w:hAnsiTheme="minorHAnsi" w:cstheme="minorHAnsi"/>
          <w:lang w:val="en-GB"/>
        </w:rPr>
        <w:br w:type="page"/>
      </w:r>
    </w:p>
    <w:p w14:paraId="3D93C59C" w14:textId="77777777" w:rsidR="000119EA" w:rsidRPr="005D6BCE" w:rsidRDefault="000119EA" w:rsidP="002F4476">
      <w:pPr>
        <w:rPr>
          <w:rFonts w:asciiTheme="minorHAnsi" w:hAnsiTheme="minorHAnsi" w:cstheme="minorHAnsi"/>
          <w:lang w:val="en-GB"/>
        </w:rPr>
      </w:pPr>
    </w:p>
    <w:sdt>
      <w:sdtPr>
        <w:rPr>
          <w:rFonts w:ascii="Times New Roman" w:eastAsia="Times New Roman" w:hAnsi="Times New Roman" w:cs="Times New Roman"/>
          <w:color w:val="auto"/>
          <w:sz w:val="22"/>
          <w:szCs w:val="22"/>
          <w:lang w:val="en-GB"/>
        </w:rPr>
        <w:id w:val="1931540019"/>
        <w:docPartObj>
          <w:docPartGallery w:val="Table of Contents"/>
          <w:docPartUnique/>
        </w:docPartObj>
      </w:sdtPr>
      <w:sdtEndPr/>
      <w:sdtContent>
        <w:p w14:paraId="48178C9A" w14:textId="77777777" w:rsidR="002E6275" w:rsidRPr="005D6BCE" w:rsidRDefault="002E6275" w:rsidP="002E6275">
          <w:pPr>
            <w:pStyle w:val="TOCHeading"/>
            <w:rPr>
              <w:lang w:val="en-GB"/>
            </w:rPr>
          </w:pPr>
          <w:r w:rsidRPr="005D6BCE">
            <w:rPr>
              <w:lang w:val="en-GB"/>
            </w:rPr>
            <w:t>Table of Contents</w:t>
          </w:r>
        </w:p>
        <w:p w14:paraId="4A79D3AD" w14:textId="77777777" w:rsidR="002E6275" w:rsidRPr="005D6BCE" w:rsidRDefault="002E6275" w:rsidP="002E6275">
          <w:pPr>
            <w:rPr>
              <w:lang w:val="en-GB"/>
            </w:rPr>
          </w:pPr>
        </w:p>
        <w:p w14:paraId="3EBA649F" w14:textId="7EBA6BEF" w:rsidR="002E6275" w:rsidRPr="005D6BCE" w:rsidRDefault="002E6275" w:rsidP="002E6275">
          <w:pPr>
            <w:pStyle w:val="TOC1"/>
            <w:rPr>
              <w:sz w:val="24"/>
              <w:lang w:val="en-GB"/>
            </w:rPr>
          </w:pPr>
          <w:r w:rsidRPr="005D6BCE">
            <w:rPr>
              <w:bCs/>
              <w:sz w:val="24"/>
              <w:lang w:val="en-GB"/>
            </w:rPr>
            <w:t>Introduction</w:t>
          </w:r>
          <w:r w:rsidRPr="005D6BCE">
            <w:rPr>
              <w:sz w:val="24"/>
              <w:lang w:val="en-GB"/>
            </w:rPr>
            <w:ptab w:relativeTo="margin" w:alignment="right" w:leader="dot"/>
          </w:r>
          <w:r w:rsidR="00EA7BB0" w:rsidRPr="005D6BCE">
            <w:rPr>
              <w:sz w:val="24"/>
              <w:lang w:val="en-GB"/>
            </w:rPr>
            <w:t>2</w:t>
          </w:r>
        </w:p>
        <w:p w14:paraId="0FB2FA43" w14:textId="31384DC6" w:rsidR="002E6275" w:rsidRPr="005D6BCE" w:rsidRDefault="002E6275" w:rsidP="002E6275">
          <w:pPr>
            <w:pStyle w:val="TOC1"/>
            <w:rPr>
              <w:bCs/>
              <w:sz w:val="24"/>
              <w:lang w:val="en-GB"/>
            </w:rPr>
          </w:pPr>
          <w:r w:rsidRPr="005D6BCE">
            <w:rPr>
              <w:bCs/>
              <w:sz w:val="24"/>
              <w:lang w:val="en-GB"/>
            </w:rPr>
            <w:t xml:space="preserve">First priority of the section </w:t>
          </w:r>
          <w:r w:rsidRPr="005D6BCE">
            <w:rPr>
              <w:sz w:val="24"/>
              <w:lang w:val="en-GB"/>
            </w:rPr>
            <w:ptab w:relativeTo="margin" w:alignment="right" w:leader="dot"/>
          </w:r>
          <w:r w:rsidR="00EA7BB0" w:rsidRPr="005D6BCE">
            <w:rPr>
              <w:bCs/>
              <w:sz w:val="24"/>
              <w:lang w:val="en-GB"/>
            </w:rPr>
            <w:t>5</w:t>
          </w:r>
        </w:p>
        <w:p w14:paraId="60378F4A" w14:textId="70E9CE70" w:rsidR="002E6275" w:rsidRPr="005D6BCE" w:rsidRDefault="002E6275" w:rsidP="002E6275">
          <w:pPr>
            <w:pStyle w:val="TOC1"/>
            <w:rPr>
              <w:bCs/>
              <w:sz w:val="24"/>
              <w:lang w:val="en-GB"/>
            </w:rPr>
          </w:pPr>
          <w:r w:rsidRPr="005D6BCE">
            <w:rPr>
              <w:bCs/>
              <w:sz w:val="24"/>
              <w:lang w:val="en-GB"/>
            </w:rPr>
            <w:t>Second priority of the section</w:t>
          </w:r>
          <w:r w:rsidRPr="005D6BCE">
            <w:rPr>
              <w:sz w:val="24"/>
              <w:lang w:val="en-GB"/>
            </w:rPr>
            <w:ptab w:relativeTo="margin" w:alignment="right" w:leader="dot"/>
          </w:r>
          <w:r w:rsidR="00EA7BB0" w:rsidRPr="005D6BCE">
            <w:rPr>
              <w:bCs/>
              <w:sz w:val="24"/>
              <w:lang w:val="en-GB"/>
            </w:rPr>
            <w:t>6</w:t>
          </w:r>
        </w:p>
        <w:p w14:paraId="4E80F781" w14:textId="532EF27B" w:rsidR="002E6275" w:rsidRPr="005D6BCE" w:rsidRDefault="002E6275" w:rsidP="002E6275">
          <w:pPr>
            <w:pStyle w:val="TOC1"/>
            <w:rPr>
              <w:bCs/>
              <w:sz w:val="24"/>
              <w:lang w:val="en-GB"/>
            </w:rPr>
          </w:pPr>
          <w:r w:rsidRPr="005D6BCE">
            <w:rPr>
              <w:bCs/>
              <w:sz w:val="24"/>
              <w:lang w:val="en-GB"/>
            </w:rPr>
            <w:t xml:space="preserve">Third priority of the section </w:t>
          </w:r>
          <w:r w:rsidRPr="005D6BCE">
            <w:rPr>
              <w:sz w:val="24"/>
              <w:lang w:val="en-GB"/>
            </w:rPr>
            <w:ptab w:relativeTo="margin" w:alignment="right" w:leader="dot"/>
          </w:r>
          <w:r w:rsidR="00EA7BB0" w:rsidRPr="005D6BCE">
            <w:rPr>
              <w:bCs/>
              <w:sz w:val="24"/>
              <w:lang w:val="en-GB"/>
            </w:rPr>
            <w:t>7</w:t>
          </w:r>
        </w:p>
        <w:p w14:paraId="44A3DFBD" w14:textId="5E7087CB" w:rsidR="002E6275" w:rsidRPr="005D6BCE" w:rsidRDefault="002E6275" w:rsidP="002E6275">
          <w:pPr>
            <w:pStyle w:val="TOC1"/>
            <w:rPr>
              <w:bCs/>
              <w:sz w:val="24"/>
              <w:lang w:val="en-GB"/>
            </w:rPr>
          </w:pPr>
          <w:r w:rsidRPr="005D6BCE">
            <w:rPr>
              <w:bCs/>
              <w:sz w:val="24"/>
              <w:lang w:val="en-GB"/>
            </w:rPr>
            <w:t xml:space="preserve">Fourth priority of the section </w:t>
          </w:r>
          <w:r w:rsidRPr="005D6BCE">
            <w:rPr>
              <w:sz w:val="24"/>
              <w:lang w:val="en-GB"/>
            </w:rPr>
            <w:ptab w:relativeTo="margin" w:alignment="right" w:leader="dot"/>
          </w:r>
          <w:r w:rsidR="00EA7BB0" w:rsidRPr="005D6BCE">
            <w:rPr>
              <w:bCs/>
              <w:sz w:val="24"/>
              <w:lang w:val="en-GB"/>
            </w:rPr>
            <w:t>7</w:t>
          </w:r>
        </w:p>
        <w:p w14:paraId="5DCB2143" w14:textId="5982F7A3" w:rsidR="002E6275" w:rsidRPr="005D6BCE" w:rsidRDefault="002E6275" w:rsidP="002E6275">
          <w:pPr>
            <w:pStyle w:val="TOC1"/>
            <w:rPr>
              <w:bCs/>
              <w:sz w:val="24"/>
              <w:lang w:val="en-GB"/>
            </w:rPr>
          </w:pPr>
          <w:r w:rsidRPr="005D6BCE">
            <w:rPr>
              <w:bCs/>
              <w:sz w:val="24"/>
              <w:lang w:val="en-GB"/>
            </w:rPr>
            <w:t xml:space="preserve">Interinstitutional echo </w:t>
          </w:r>
          <w:r w:rsidRPr="005D6BCE">
            <w:rPr>
              <w:sz w:val="24"/>
              <w:lang w:val="en-GB"/>
            </w:rPr>
            <w:ptab w:relativeTo="margin" w:alignment="right" w:leader="dot"/>
          </w:r>
          <w:r w:rsidR="00EA7BB0" w:rsidRPr="005D6BCE">
            <w:rPr>
              <w:bCs/>
              <w:sz w:val="24"/>
              <w:lang w:val="en-GB"/>
            </w:rPr>
            <w:t>8</w:t>
          </w:r>
        </w:p>
        <w:p w14:paraId="54C7EBBE" w14:textId="5D21DD99" w:rsidR="002E6275" w:rsidRPr="005D6BCE" w:rsidRDefault="002E6275" w:rsidP="002E6275">
          <w:pPr>
            <w:pStyle w:val="TOC1"/>
            <w:rPr>
              <w:bCs/>
              <w:sz w:val="24"/>
              <w:lang w:val="en-GB"/>
            </w:rPr>
          </w:pPr>
          <w:r w:rsidRPr="005D6BCE">
            <w:rPr>
              <w:bCs/>
              <w:sz w:val="24"/>
              <w:lang w:val="en-GB"/>
            </w:rPr>
            <w:t xml:space="preserve">Communication achievements </w:t>
          </w:r>
          <w:r w:rsidRPr="005D6BCE">
            <w:rPr>
              <w:sz w:val="24"/>
              <w:lang w:val="en-GB"/>
            </w:rPr>
            <w:ptab w:relativeTo="margin" w:alignment="right" w:leader="dot"/>
          </w:r>
          <w:r w:rsidR="00EA7BB0" w:rsidRPr="005D6BCE">
            <w:rPr>
              <w:bCs/>
              <w:sz w:val="24"/>
              <w:lang w:val="en-GB"/>
            </w:rPr>
            <w:t>9</w:t>
          </w:r>
        </w:p>
        <w:p w14:paraId="4C02282C" w14:textId="32A339E6" w:rsidR="003400CB" w:rsidRPr="005D6BCE" w:rsidRDefault="002E6275" w:rsidP="003400CB">
          <w:pPr>
            <w:pStyle w:val="TOC1"/>
            <w:rPr>
              <w:rFonts w:cstheme="minorHAnsi"/>
              <w:bCs/>
              <w:sz w:val="24"/>
              <w:lang w:val="en-GB"/>
            </w:rPr>
          </w:pPr>
          <w:r w:rsidRPr="005D6BCE">
            <w:rPr>
              <w:rFonts w:cstheme="minorHAnsi"/>
              <w:bCs/>
              <w:sz w:val="24"/>
              <w:lang w:val="en-GB"/>
            </w:rPr>
            <w:t xml:space="preserve">Perspective/outlook </w:t>
          </w:r>
          <w:r w:rsidRPr="005D6BCE">
            <w:rPr>
              <w:rFonts w:cstheme="minorHAnsi"/>
              <w:bCs/>
              <w:sz w:val="24"/>
              <w:lang w:val="en-GB"/>
            </w:rPr>
            <w:ptab w:relativeTo="margin" w:alignment="right" w:leader="dot"/>
          </w:r>
          <w:r w:rsidR="00EA7BB0" w:rsidRPr="005D6BCE">
            <w:rPr>
              <w:rFonts w:cstheme="minorHAnsi"/>
              <w:bCs/>
              <w:sz w:val="24"/>
              <w:lang w:val="en-GB"/>
            </w:rPr>
            <w:t>10</w:t>
          </w:r>
        </w:p>
        <w:p w14:paraId="5FE2F5F6" w14:textId="4CA65CF1" w:rsidR="00E004D3" w:rsidRPr="005D6BCE" w:rsidRDefault="002E6275" w:rsidP="003400CB">
          <w:pPr>
            <w:pStyle w:val="TOC1"/>
            <w:rPr>
              <w:rFonts w:cstheme="minorHAnsi"/>
              <w:bCs/>
              <w:sz w:val="24"/>
              <w:lang w:val="en-GB"/>
            </w:rPr>
          </w:pPr>
          <w:r w:rsidRPr="005D6BCE">
            <w:rPr>
              <w:rFonts w:cstheme="minorHAnsi"/>
              <w:bCs/>
              <w:sz w:val="24"/>
              <w:lang w:val="en-GB"/>
            </w:rPr>
            <w:t xml:space="preserve">Appendix </w:t>
          </w:r>
          <w:r w:rsidR="00404B68">
            <w:rPr>
              <w:rFonts w:cstheme="minorHAnsi"/>
              <w:bCs/>
              <w:sz w:val="24"/>
              <w:lang w:val="en-GB"/>
            </w:rPr>
            <w:t>–</w:t>
          </w:r>
          <w:r w:rsidRPr="005D6BCE">
            <w:rPr>
              <w:rFonts w:cstheme="minorHAnsi"/>
              <w:bCs/>
              <w:sz w:val="24"/>
              <w:lang w:val="en-GB"/>
            </w:rPr>
            <w:t xml:space="preserve"> Key statistics </w:t>
          </w:r>
          <w:r w:rsidRPr="005D6BCE">
            <w:rPr>
              <w:rFonts w:cstheme="minorHAnsi"/>
              <w:bCs/>
              <w:sz w:val="24"/>
              <w:lang w:val="en-GB"/>
            </w:rPr>
            <w:ptab w:relativeTo="margin" w:alignment="right" w:leader="dot"/>
          </w:r>
          <w:r w:rsidRPr="005D6BCE">
            <w:rPr>
              <w:rFonts w:cstheme="minorHAnsi"/>
              <w:bCs/>
              <w:sz w:val="24"/>
              <w:lang w:val="en-GB"/>
            </w:rPr>
            <w:t>1</w:t>
          </w:r>
          <w:r w:rsidR="00EA7BB0" w:rsidRPr="005D6BCE">
            <w:rPr>
              <w:rFonts w:cstheme="minorHAnsi"/>
              <w:bCs/>
              <w:sz w:val="24"/>
              <w:lang w:val="en-GB"/>
            </w:rPr>
            <w:t>2</w:t>
          </w:r>
        </w:p>
        <w:p w14:paraId="762483CA" w14:textId="77777777" w:rsidR="00E004D3" w:rsidRPr="005D6BCE" w:rsidRDefault="00E004D3" w:rsidP="00E004D3">
          <w:pPr>
            <w:rPr>
              <w:rFonts w:asciiTheme="minorHAnsi" w:hAnsiTheme="minorHAnsi" w:cstheme="minorHAnsi"/>
              <w:bCs/>
              <w:lang w:val="en-GB"/>
            </w:rPr>
          </w:pPr>
        </w:p>
        <w:p w14:paraId="71E0DC49" w14:textId="77777777" w:rsidR="000119EA" w:rsidRPr="005D6BCE" w:rsidRDefault="00EA2F0D" w:rsidP="00E004D3">
          <w:pPr>
            <w:rPr>
              <w:lang w:val="en-GB"/>
            </w:rPr>
          </w:pPr>
        </w:p>
      </w:sdtContent>
    </w:sdt>
    <w:p w14:paraId="5A6FCFAF" w14:textId="77777777" w:rsidR="000119EA" w:rsidRPr="005D6BCE" w:rsidRDefault="000119EA" w:rsidP="002F4476">
      <w:pPr>
        <w:rPr>
          <w:rFonts w:asciiTheme="minorHAnsi" w:hAnsiTheme="minorHAnsi" w:cstheme="minorHAnsi"/>
          <w:lang w:val="en-GB"/>
        </w:rPr>
      </w:pPr>
    </w:p>
    <w:p w14:paraId="0E7F4D76" w14:textId="243CECD0" w:rsidR="007F3152" w:rsidRPr="005D6BCE" w:rsidRDefault="007F3152">
      <w:pPr>
        <w:spacing w:after="160" w:line="259" w:lineRule="auto"/>
        <w:jc w:val="left"/>
        <w:rPr>
          <w:rFonts w:asciiTheme="minorHAnsi" w:hAnsiTheme="minorHAnsi" w:cstheme="minorHAnsi"/>
          <w:lang w:val="en-GB"/>
        </w:rPr>
      </w:pPr>
      <w:r w:rsidRPr="005D6BCE">
        <w:rPr>
          <w:rFonts w:asciiTheme="minorHAnsi" w:hAnsiTheme="minorHAnsi" w:cstheme="minorHAnsi"/>
          <w:lang w:val="en-GB"/>
        </w:rPr>
        <w:br w:type="page"/>
      </w:r>
    </w:p>
    <w:p w14:paraId="7EE971A0" w14:textId="29CA7F60" w:rsidR="00E004D3" w:rsidRPr="005D6BCE" w:rsidRDefault="00E004D3" w:rsidP="00E004D3">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First priority of the section</w:t>
      </w:r>
      <w:r w:rsidR="00AC4EAA" w:rsidRPr="005D6BCE">
        <w:rPr>
          <w:rFonts w:asciiTheme="majorHAnsi" w:hAnsiTheme="majorHAnsi" w:cstheme="minorHAnsi"/>
          <w:color w:val="0070C0"/>
          <w:sz w:val="32"/>
          <w:lang w:val="en-GB"/>
        </w:rPr>
        <w:t xml:space="preserve">: The Green </w:t>
      </w:r>
      <w:r w:rsidR="00404B68">
        <w:rPr>
          <w:rFonts w:asciiTheme="majorHAnsi" w:hAnsiTheme="majorHAnsi" w:cstheme="minorHAnsi"/>
          <w:color w:val="0070C0"/>
          <w:sz w:val="32"/>
          <w:lang w:val="en-GB"/>
        </w:rPr>
        <w:t>D</w:t>
      </w:r>
      <w:r w:rsidR="00AC4EAA" w:rsidRPr="005D6BCE">
        <w:rPr>
          <w:rFonts w:asciiTheme="majorHAnsi" w:hAnsiTheme="majorHAnsi" w:cstheme="minorHAnsi"/>
          <w:color w:val="0070C0"/>
          <w:sz w:val="32"/>
          <w:lang w:val="en-GB"/>
        </w:rPr>
        <w:t>eal as the way out of the energy crisis and into a fair energy transition – the case of energy poverty</w:t>
      </w:r>
    </w:p>
    <w:p w14:paraId="5CB8FEDC" w14:textId="77777777" w:rsidR="00E004D3" w:rsidRPr="005D6BCE" w:rsidRDefault="003C5B4E" w:rsidP="00E004D3">
      <w:pPr>
        <w:spacing w:line="240"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60288" behindDoc="0" locked="0" layoutInCell="1" allowOverlap="1" wp14:anchorId="02D76900" wp14:editId="1CE3CE37">
                <wp:simplePos x="0" y="0"/>
                <wp:positionH relativeFrom="column">
                  <wp:posOffset>13969</wp:posOffset>
                </wp:positionH>
                <wp:positionV relativeFrom="paragraph">
                  <wp:posOffset>50027</wp:posOffset>
                </wp:positionV>
                <wp:extent cx="5661329" cy="15903"/>
                <wp:effectExtent l="0" t="0" r="34925" b="22225"/>
                <wp:wrapNone/>
                <wp:docPr id="4" name="Straight Connector 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4CB4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Fzly7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682FB34E" w14:textId="1D497097" w:rsidR="4AE884D8" w:rsidRPr="005D6BCE" w:rsidRDefault="4AE884D8" w:rsidP="222E42F8">
      <w:pPr>
        <w:rPr>
          <w:color w:val="000000" w:themeColor="text1"/>
          <w:lang w:val="en-GB"/>
        </w:rPr>
      </w:pPr>
      <w:r w:rsidRPr="005D6BCE">
        <w:rPr>
          <w:color w:val="000000" w:themeColor="text1"/>
          <w:lang w:val="en-GB"/>
        </w:rPr>
        <w:t>Tackling energy poverty has been on top of the agenda of the TEN section</w:t>
      </w:r>
      <w:r w:rsidR="00550B05">
        <w:rPr>
          <w:color w:val="000000" w:themeColor="text1"/>
          <w:lang w:val="en-GB"/>
        </w:rPr>
        <w:t>,</w:t>
      </w:r>
      <w:r w:rsidRPr="005D6BCE">
        <w:rPr>
          <w:color w:val="000000" w:themeColor="text1"/>
          <w:lang w:val="en-GB"/>
        </w:rPr>
        <w:t xml:space="preserve"> </w:t>
      </w:r>
      <w:r w:rsidR="00C412EC" w:rsidRPr="005D6BCE">
        <w:rPr>
          <w:color w:val="000000" w:themeColor="text1"/>
          <w:lang w:val="en-GB"/>
        </w:rPr>
        <w:t>with</w:t>
      </w:r>
      <w:r w:rsidRPr="005D6BCE">
        <w:rPr>
          <w:color w:val="000000" w:themeColor="text1"/>
          <w:lang w:val="en-GB"/>
        </w:rPr>
        <w:t xml:space="preserve"> the organi</w:t>
      </w:r>
      <w:r w:rsidR="00550B05">
        <w:rPr>
          <w:color w:val="000000" w:themeColor="text1"/>
          <w:lang w:val="en-GB"/>
        </w:rPr>
        <w:t>s</w:t>
      </w:r>
      <w:r w:rsidRPr="005D6BCE">
        <w:rPr>
          <w:color w:val="000000" w:themeColor="text1"/>
          <w:lang w:val="en-GB"/>
        </w:rPr>
        <w:t xml:space="preserve">ation of </w:t>
      </w:r>
      <w:r w:rsidR="00C412EC" w:rsidRPr="005D6BCE">
        <w:rPr>
          <w:color w:val="000000" w:themeColor="text1"/>
          <w:lang w:val="en-GB"/>
        </w:rPr>
        <w:t xml:space="preserve">high-level </w:t>
      </w:r>
      <w:r w:rsidR="00885E57" w:rsidRPr="005D6BCE">
        <w:rPr>
          <w:color w:val="000000" w:themeColor="text1"/>
          <w:lang w:val="en-GB"/>
        </w:rPr>
        <w:t>annual</w:t>
      </w:r>
      <w:r w:rsidRPr="005D6BCE">
        <w:rPr>
          <w:color w:val="000000" w:themeColor="text1"/>
          <w:lang w:val="en-GB"/>
        </w:rPr>
        <w:t xml:space="preserve"> conference</w:t>
      </w:r>
      <w:r w:rsidR="00550B05">
        <w:rPr>
          <w:color w:val="000000" w:themeColor="text1"/>
          <w:lang w:val="en-GB"/>
        </w:rPr>
        <w:t>s</w:t>
      </w:r>
      <w:r w:rsidR="00C412EC" w:rsidRPr="005D6BCE">
        <w:rPr>
          <w:color w:val="000000" w:themeColor="text1"/>
          <w:lang w:val="en-GB"/>
        </w:rPr>
        <w:t xml:space="preserve"> on the topic</w:t>
      </w:r>
      <w:r w:rsidRPr="005D6BCE">
        <w:rPr>
          <w:color w:val="000000" w:themeColor="text1"/>
          <w:lang w:val="en-GB"/>
        </w:rPr>
        <w:t xml:space="preserve"> (</w:t>
      </w:r>
      <w:hyperlink r:id="rId16">
        <w:r w:rsidRPr="005D6BCE">
          <w:rPr>
            <w:rStyle w:val="Hyperlink"/>
            <w:i/>
            <w:iCs/>
            <w:lang w:val="en-GB"/>
          </w:rPr>
          <w:t>Energy poverty at the crossroads of the European Pillar of Social Rights and the European Green Deal</w:t>
        </w:r>
      </w:hyperlink>
      <w:r w:rsidRPr="005D6BCE">
        <w:rPr>
          <w:color w:val="000000" w:themeColor="text1"/>
          <w:lang w:val="en-GB"/>
        </w:rPr>
        <w:t xml:space="preserve"> in 2021; </w:t>
      </w:r>
      <w:hyperlink r:id="rId17">
        <w:r w:rsidRPr="005D6BCE">
          <w:rPr>
            <w:rStyle w:val="Hyperlink"/>
            <w:i/>
            <w:iCs/>
            <w:lang w:val="en-GB"/>
          </w:rPr>
          <w:t>Tackling energy poverty at the heart of the ecological and energy transition</w:t>
        </w:r>
      </w:hyperlink>
      <w:r w:rsidRPr="005D6BCE">
        <w:rPr>
          <w:color w:val="000000" w:themeColor="text1"/>
          <w:lang w:val="en-GB"/>
        </w:rPr>
        <w:t xml:space="preserve"> in 2022; </w:t>
      </w:r>
      <w:hyperlink r:id="rId18">
        <w:r w:rsidRPr="005D6BCE">
          <w:rPr>
            <w:rStyle w:val="Hyperlink"/>
            <w:i/>
            <w:iCs/>
            <w:lang w:val="en-GB"/>
          </w:rPr>
          <w:t>Tackling energy poverty for a just transition</w:t>
        </w:r>
      </w:hyperlink>
      <w:r w:rsidRPr="005D6BCE">
        <w:rPr>
          <w:color w:val="000000" w:themeColor="text1"/>
          <w:lang w:val="en-GB"/>
        </w:rPr>
        <w:t xml:space="preserve"> in 2023). The</w:t>
      </w:r>
      <w:r w:rsidR="00885E57" w:rsidRPr="005D6BCE">
        <w:rPr>
          <w:color w:val="000000" w:themeColor="text1"/>
          <w:lang w:val="en-GB"/>
        </w:rPr>
        <w:t>se</w:t>
      </w:r>
      <w:r w:rsidRPr="005D6BCE">
        <w:rPr>
          <w:color w:val="000000" w:themeColor="text1"/>
          <w:lang w:val="en-GB"/>
        </w:rPr>
        <w:t xml:space="preserve"> </w:t>
      </w:r>
      <w:r w:rsidR="00885E57" w:rsidRPr="005D6BCE">
        <w:rPr>
          <w:color w:val="000000" w:themeColor="text1"/>
          <w:lang w:val="en-GB"/>
        </w:rPr>
        <w:t>events</w:t>
      </w:r>
      <w:r w:rsidRPr="005D6BCE">
        <w:rPr>
          <w:color w:val="000000" w:themeColor="text1"/>
          <w:lang w:val="en-GB"/>
        </w:rPr>
        <w:t xml:space="preserve"> </w:t>
      </w:r>
      <w:r w:rsidR="00C412EC" w:rsidRPr="005D6BCE">
        <w:rPr>
          <w:color w:val="000000" w:themeColor="text1"/>
          <w:lang w:val="en-GB"/>
        </w:rPr>
        <w:t>took</w:t>
      </w:r>
      <w:r w:rsidRPr="005D6BCE">
        <w:rPr>
          <w:color w:val="000000" w:themeColor="text1"/>
          <w:lang w:val="en-GB"/>
        </w:rPr>
        <w:t xml:space="preserve"> stock of </w:t>
      </w:r>
      <w:r w:rsidR="00885E57" w:rsidRPr="005D6BCE">
        <w:rPr>
          <w:color w:val="000000" w:themeColor="text1"/>
          <w:lang w:val="en-GB"/>
        </w:rPr>
        <w:t xml:space="preserve">existing </w:t>
      </w:r>
      <w:r w:rsidRPr="005D6BCE">
        <w:rPr>
          <w:color w:val="000000" w:themeColor="text1"/>
          <w:lang w:val="en-GB"/>
        </w:rPr>
        <w:t>measures</w:t>
      </w:r>
      <w:r w:rsidR="00885E57" w:rsidRPr="005D6BCE">
        <w:rPr>
          <w:color w:val="000000" w:themeColor="text1"/>
          <w:lang w:val="en-GB"/>
        </w:rPr>
        <w:t xml:space="preserve"> and </w:t>
      </w:r>
      <w:r w:rsidRPr="005D6BCE">
        <w:rPr>
          <w:color w:val="000000" w:themeColor="text1"/>
          <w:lang w:val="en-GB"/>
        </w:rPr>
        <w:t>develop</w:t>
      </w:r>
      <w:r w:rsidR="00C412EC" w:rsidRPr="005D6BCE">
        <w:rPr>
          <w:color w:val="000000" w:themeColor="text1"/>
          <w:lang w:val="en-GB"/>
        </w:rPr>
        <w:t>ed</w:t>
      </w:r>
      <w:r w:rsidRPr="005D6BCE">
        <w:rPr>
          <w:color w:val="000000" w:themeColor="text1"/>
          <w:lang w:val="en-GB"/>
        </w:rPr>
        <w:t xml:space="preserve"> recommendations for the future. They strengthen</w:t>
      </w:r>
      <w:r w:rsidR="00885E57" w:rsidRPr="005D6BCE">
        <w:rPr>
          <w:color w:val="000000" w:themeColor="text1"/>
          <w:lang w:val="en-GB"/>
        </w:rPr>
        <w:t>ed</w:t>
      </w:r>
      <w:r w:rsidRPr="005D6BCE">
        <w:rPr>
          <w:color w:val="000000" w:themeColor="text1"/>
          <w:lang w:val="en-GB"/>
        </w:rPr>
        <w:t xml:space="preserve"> dialogue and cooperation between civil society organi</w:t>
      </w:r>
      <w:r w:rsidR="00550B05">
        <w:rPr>
          <w:color w:val="000000" w:themeColor="text1"/>
          <w:lang w:val="en-GB"/>
        </w:rPr>
        <w:t>s</w:t>
      </w:r>
      <w:r w:rsidRPr="005D6BCE">
        <w:rPr>
          <w:color w:val="000000" w:themeColor="text1"/>
          <w:lang w:val="en-GB"/>
        </w:rPr>
        <w:t xml:space="preserve">ations and different levels of governance. The </w:t>
      </w:r>
      <w:r w:rsidR="00885E57" w:rsidRPr="005D6BCE">
        <w:rPr>
          <w:color w:val="000000" w:themeColor="text1"/>
          <w:lang w:val="en-GB"/>
        </w:rPr>
        <w:t>annual</w:t>
      </w:r>
      <w:r w:rsidRPr="005D6BCE">
        <w:rPr>
          <w:color w:val="000000" w:themeColor="text1"/>
          <w:lang w:val="en-GB"/>
        </w:rPr>
        <w:t xml:space="preserve"> conferences benefited from the support of the rotating </w:t>
      </w:r>
      <w:r w:rsidR="00550B05">
        <w:rPr>
          <w:color w:val="000000" w:themeColor="text1"/>
          <w:lang w:val="en-GB"/>
        </w:rPr>
        <w:t>p</w:t>
      </w:r>
      <w:r w:rsidRPr="005D6BCE">
        <w:rPr>
          <w:color w:val="000000" w:themeColor="text1"/>
          <w:lang w:val="en-GB"/>
        </w:rPr>
        <w:t>residencies of the Council</w:t>
      </w:r>
      <w:r w:rsidR="00885E57" w:rsidRPr="005D6BCE">
        <w:rPr>
          <w:color w:val="000000" w:themeColor="text1"/>
          <w:lang w:val="en-GB"/>
        </w:rPr>
        <w:t xml:space="preserve"> of the European Union</w:t>
      </w:r>
      <w:r w:rsidRPr="005D6BCE">
        <w:rPr>
          <w:color w:val="000000" w:themeColor="text1"/>
          <w:lang w:val="en-GB"/>
        </w:rPr>
        <w:t xml:space="preserve">, in particular the French and Spanish </w:t>
      </w:r>
      <w:r w:rsidR="00297615">
        <w:rPr>
          <w:color w:val="000000" w:themeColor="text1"/>
          <w:lang w:val="en-GB"/>
        </w:rPr>
        <w:t>P</w:t>
      </w:r>
      <w:r w:rsidRPr="005D6BCE">
        <w:rPr>
          <w:color w:val="000000" w:themeColor="text1"/>
          <w:lang w:val="en-GB"/>
        </w:rPr>
        <w:t xml:space="preserve">residencies, as well </w:t>
      </w:r>
      <w:r w:rsidR="76DDD8FF" w:rsidRPr="005D6BCE">
        <w:rPr>
          <w:color w:val="000000" w:themeColor="text1"/>
          <w:lang w:val="en-GB"/>
        </w:rPr>
        <w:t>as the Energy Poverty Advisory Hub</w:t>
      </w:r>
      <w:r w:rsidRPr="005D6BCE">
        <w:rPr>
          <w:color w:val="000000" w:themeColor="text1"/>
          <w:lang w:val="en-GB"/>
        </w:rPr>
        <w:t xml:space="preserve">. </w:t>
      </w:r>
    </w:p>
    <w:p w14:paraId="1C14CFB1" w14:textId="77777777" w:rsidR="004D45E7" w:rsidRPr="005D6BCE" w:rsidRDefault="004D45E7" w:rsidP="222E42F8">
      <w:pPr>
        <w:rPr>
          <w:color w:val="000000" w:themeColor="text1"/>
          <w:lang w:val="en-GB"/>
        </w:rPr>
      </w:pPr>
    </w:p>
    <w:p w14:paraId="46D7C306" w14:textId="015A2265" w:rsidR="4AE884D8" w:rsidRPr="005D6BCE" w:rsidRDefault="4AE884D8" w:rsidP="222E42F8">
      <w:pPr>
        <w:rPr>
          <w:color w:val="000000" w:themeColor="text1"/>
          <w:lang w:val="en-GB"/>
        </w:rPr>
      </w:pPr>
      <w:r w:rsidRPr="005D6BCE">
        <w:rPr>
          <w:color w:val="000000" w:themeColor="text1"/>
          <w:lang w:val="en-GB"/>
        </w:rPr>
        <w:t xml:space="preserve">In parallel, tackling energy poverty has been taken into account in all TEN section opinions promoting the achievement of the energy transition. With the aggravation of the energy crisis due to </w:t>
      </w:r>
      <w:r w:rsidR="00550B05">
        <w:rPr>
          <w:color w:val="000000" w:themeColor="text1"/>
          <w:lang w:val="en-GB"/>
        </w:rPr>
        <w:t>Russia's invasion of</w:t>
      </w:r>
      <w:r w:rsidRPr="005D6BCE">
        <w:rPr>
          <w:color w:val="000000" w:themeColor="text1"/>
          <w:lang w:val="en-GB"/>
        </w:rPr>
        <w:t xml:space="preserve"> Ukraine, energy poverty was wi</w:t>
      </w:r>
      <w:r w:rsidR="1217CACF" w:rsidRPr="005D6BCE">
        <w:rPr>
          <w:color w:val="000000" w:themeColor="text1"/>
          <w:lang w:val="en-GB"/>
        </w:rPr>
        <w:t>del</w:t>
      </w:r>
      <w:r w:rsidRPr="005D6BCE">
        <w:rPr>
          <w:color w:val="000000" w:themeColor="text1"/>
          <w:lang w:val="en-GB"/>
        </w:rPr>
        <w:t xml:space="preserve">y addressed through TEN section opinions, both in the context of the energy transition and as a single topic. </w:t>
      </w:r>
    </w:p>
    <w:p w14:paraId="2862796D" w14:textId="77777777" w:rsidR="004D45E7" w:rsidRPr="005D6BCE" w:rsidRDefault="004D45E7" w:rsidP="222E42F8">
      <w:pPr>
        <w:rPr>
          <w:lang w:val="en-GB"/>
        </w:rPr>
      </w:pPr>
    </w:p>
    <w:p w14:paraId="273EE932" w14:textId="38BAFB7D" w:rsidR="4AE884D8" w:rsidRPr="005D6BCE" w:rsidRDefault="4AE884D8" w:rsidP="222E42F8">
      <w:pPr>
        <w:rPr>
          <w:color w:val="000000" w:themeColor="text1"/>
          <w:lang w:val="en-GB"/>
        </w:rPr>
      </w:pPr>
      <w:r w:rsidRPr="005D6BCE">
        <w:rPr>
          <w:color w:val="000000" w:themeColor="text1"/>
          <w:lang w:val="en-GB"/>
        </w:rPr>
        <w:t xml:space="preserve">To tackle the current energy poverty crisis, the </w:t>
      </w:r>
      <w:r w:rsidR="00C57614" w:rsidRPr="005D6BCE">
        <w:rPr>
          <w:color w:val="000000" w:themeColor="text1"/>
          <w:lang w:val="en-GB"/>
        </w:rPr>
        <w:t>EESC</w:t>
      </w:r>
      <w:r w:rsidRPr="005D6BCE">
        <w:rPr>
          <w:color w:val="000000" w:themeColor="text1"/>
          <w:lang w:val="en-GB"/>
        </w:rPr>
        <w:t xml:space="preserve"> called for the establishment of a broad and ambitious political coalition to </w:t>
      </w:r>
      <w:r w:rsidR="00C54CF9" w:rsidRPr="00C54CF9">
        <w:rPr>
          <w:color w:val="000000" w:themeColor="text1"/>
          <w:lang w:val="en-GB"/>
        </w:rPr>
        <w:t>analyse</w:t>
      </w:r>
      <w:r w:rsidRPr="005D6BCE">
        <w:rPr>
          <w:color w:val="000000" w:themeColor="text1"/>
          <w:lang w:val="en-GB"/>
        </w:rPr>
        <w:t xml:space="preserve"> and address energy poverty </w:t>
      </w:r>
      <w:r w:rsidR="00550B05">
        <w:rPr>
          <w:color w:val="000000" w:themeColor="text1"/>
          <w:lang w:val="en-GB"/>
        </w:rPr>
        <w:t>in</w:t>
      </w:r>
      <w:r w:rsidR="00550B05" w:rsidRPr="005D6BCE">
        <w:rPr>
          <w:color w:val="000000" w:themeColor="text1"/>
          <w:lang w:val="en-GB"/>
        </w:rPr>
        <w:t xml:space="preserve"> </w:t>
      </w:r>
      <w:r w:rsidRPr="005D6BCE">
        <w:rPr>
          <w:color w:val="000000" w:themeColor="text1"/>
          <w:lang w:val="en-GB"/>
        </w:rPr>
        <w:t xml:space="preserve">a holistic approach with the objective of achieving zero energy poverty by 2030. In this context, the Committee strongly advocated for the development of indicators to allow tailor-made measures and social protection schemes for the most vulnerable at national and </w:t>
      </w:r>
      <w:r w:rsidR="00C412EC" w:rsidRPr="005D6BCE">
        <w:rPr>
          <w:color w:val="000000" w:themeColor="text1"/>
          <w:lang w:val="en-GB"/>
        </w:rPr>
        <w:t xml:space="preserve">European </w:t>
      </w:r>
      <w:r w:rsidRPr="005D6BCE">
        <w:rPr>
          <w:color w:val="000000" w:themeColor="text1"/>
          <w:lang w:val="en-GB"/>
        </w:rPr>
        <w:t xml:space="preserve">level. Another important dimension in tackling energy poverty is the boosting of the renovation of buildings to support the lowest income groups and address housing exclusion. Therefore, the </w:t>
      </w:r>
      <w:r w:rsidR="00C57614" w:rsidRPr="005D6BCE">
        <w:rPr>
          <w:color w:val="000000" w:themeColor="text1"/>
          <w:lang w:val="en-GB"/>
        </w:rPr>
        <w:t>EESC</w:t>
      </w:r>
      <w:r w:rsidRPr="005D6BCE">
        <w:rPr>
          <w:color w:val="000000" w:themeColor="text1"/>
          <w:lang w:val="en-GB"/>
        </w:rPr>
        <w:t xml:space="preserve"> recommended </w:t>
      </w:r>
      <w:r w:rsidR="5E06CC91" w:rsidRPr="005D6BCE">
        <w:rPr>
          <w:color w:val="000000" w:themeColor="text1"/>
          <w:lang w:val="en-GB"/>
        </w:rPr>
        <w:t>investing</w:t>
      </w:r>
      <w:r w:rsidRPr="005D6BCE">
        <w:rPr>
          <w:color w:val="000000" w:themeColor="text1"/>
          <w:lang w:val="en-GB"/>
        </w:rPr>
        <w:t xml:space="preserve"> in fair and efficient energy to alleviate the phenomenon in the long-term. Finally, the Committee has repeatedly stressed the need to involve citizens in the energy transition, thus encouraging them to create energy communities and to produce clean energy for themselves. </w:t>
      </w:r>
    </w:p>
    <w:p w14:paraId="79352FE8" w14:textId="77777777" w:rsidR="004D45E7" w:rsidRPr="005D6BCE" w:rsidRDefault="004D45E7" w:rsidP="222E42F8">
      <w:pPr>
        <w:rPr>
          <w:lang w:val="en-GB"/>
        </w:rPr>
      </w:pPr>
    </w:p>
    <w:p w14:paraId="63A5D9D7" w14:textId="72D3D4A8" w:rsidR="4AE884D8" w:rsidRPr="005D6BCE" w:rsidRDefault="4AE884D8" w:rsidP="00B77AE8">
      <w:pPr>
        <w:spacing w:line="276" w:lineRule="auto"/>
        <w:rPr>
          <w:color w:val="000000" w:themeColor="text1"/>
          <w:lang w:val="en-GB"/>
        </w:rPr>
      </w:pPr>
      <w:r w:rsidRPr="005D6BCE">
        <w:rPr>
          <w:color w:val="000000" w:themeColor="text1"/>
          <w:lang w:val="en-GB"/>
        </w:rPr>
        <w:t xml:space="preserve">Furthermore, the TEN section initiated work on </w:t>
      </w:r>
      <w:r w:rsidR="4E14B37D" w:rsidRPr="005D6BCE">
        <w:rPr>
          <w:color w:val="000000" w:themeColor="text1"/>
          <w:lang w:val="en-GB"/>
        </w:rPr>
        <w:t>the</w:t>
      </w:r>
      <w:r w:rsidRPr="005D6BCE">
        <w:rPr>
          <w:color w:val="000000" w:themeColor="text1"/>
          <w:lang w:val="en-GB"/>
        </w:rPr>
        <w:t xml:space="preserve"> gender perspective of energy poverty</w:t>
      </w:r>
      <w:r w:rsidR="004368F2">
        <w:rPr>
          <w:color w:val="000000" w:themeColor="text1"/>
          <w:lang w:val="en-GB"/>
        </w:rPr>
        <w:t>,</w:t>
      </w:r>
      <w:r w:rsidRPr="005D6BCE">
        <w:rPr>
          <w:color w:val="000000" w:themeColor="text1"/>
          <w:lang w:val="en-GB"/>
        </w:rPr>
        <w:t xml:space="preserve"> </w:t>
      </w:r>
      <w:r w:rsidR="00C57614" w:rsidRPr="005D6BCE">
        <w:rPr>
          <w:color w:val="000000" w:themeColor="text1"/>
          <w:lang w:val="en-GB"/>
        </w:rPr>
        <w:t xml:space="preserve">and a </w:t>
      </w:r>
      <w:r w:rsidRPr="005D6BCE">
        <w:rPr>
          <w:color w:val="000000" w:themeColor="text1"/>
          <w:lang w:val="en-GB"/>
        </w:rPr>
        <w:t xml:space="preserve">first thematic debate on </w:t>
      </w:r>
      <w:hyperlink r:id="rId19">
        <w:r w:rsidRPr="005D6BCE">
          <w:rPr>
            <w:rStyle w:val="Hyperlink"/>
            <w:lang w:val="en-GB"/>
          </w:rPr>
          <w:t>Women in energy poverty</w:t>
        </w:r>
      </w:hyperlink>
      <w:r w:rsidRPr="005D6BCE">
        <w:rPr>
          <w:color w:val="000000" w:themeColor="text1"/>
          <w:lang w:val="en-GB"/>
        </w:rPr>
        <w:t xml:space="preserve"> was </w:t>
      </w:r>
      <w:r w:rsidR="004368F2">
        <w:rPr>
          <w:color w:val="000000" w:themeColor="text1"/>
          <w:lang w:val="en-GB"/>
        </w:rPr>
        <w:t>held</w:t>
      </w:r>
      <w:r w:rsidR="004368F2" w:rsidRPr="005D6BCE">
        <w:rPr>
          <w:color w:val="000000" w:themeColor="text1"/>
          <w:lang w:val="en-GB"/>
        </w:rPr>
        <w:t xml:space="preserve"> </w:t>
      </w:r>
      <w:r w:rsidR="00C412EC" w:rsidRPr="005D6BCE">
        <w:rPr>
          <w:color w:val="000000" w:themeColor="text1"/>
          <w:lang w:val="en-GB"/>
        </w:rPr>
        <w:t>at</w:t>
      </w:r>
      <w:r w:rsidRPr="005D6BCE">
        <w:rPr>
          <w:color w:val="000000" w:themeColor="text1"/>
          <w:lang w:val="en-GB"/>
        </w:rPr>
        <w:t xml:space="preserve"> the TEN section meeting in November 2022. </w:t>
      </w:r>
      <w:r w:rsidR="0081678E" w:rsidRPr="005D6BCE">
        <w:rPr>
          <w:color w:val="000000" w:themeColor="text1"/>
          <w:lang w:val="en-GB"/>
        </w:rPr>
        <w:t>Along this same line</w:t>
      </w:r>
      <w:r w:rsidR="004368F2">
        <w:rPr>
          <w:color w:val="000000" w:themeColor="text1"/>
          <w:lang w:val="en-GB"/>
        </w:rPr>
        <w:t>s</w:t>
      </w:r>
      <w:r w:rsidRPr="005D6BCE">
        <w:rPr>
          <w:color w:val="000000" w:themeColor="text1"/>
          <w:lang w:val="en-GB"/>
        </w:rPr>
        <w:t xml:space="preserve">, a panel </w:t>
      </w:r>
      <w:r w:rsidR="004368F2">
        <w:rPr>
          <w:color w:val="000000" w:themeColor="text1"/>
          <w:lang w:val="en-GB"/>
        </w:rPr>
        <w:t>at</w:t>
      </w:r>
      <w:r w:rsidR="004368F2" w:rsidRPr="005D6BCE">
        <w:rPr>
          <w:color w:val="000000" w:themeColor="text1"/>
          <w:lang w:val="en-GB"/>
        </w:rPr>
        <w:t xml:space="preserve"> </w:t>
      </w:r>
      <w:r w:rsidRPr="005D6BCE">
        <w:rPr>
          <w:color w:val="000000" w:themeColor="text1"/>
          <w:lang w:val="en-GB"/>
        </w:rPr>
        <w:t xml:space="preserve">the next </w:t>
      </w:r>
      <w:r w:rsidR="00C412EC" w:rsidRPr="005D6BCE">
        <w:rPr>
          <w:color w:val="000000" w:themeColor="text1"/>
          <w:lang w:val="en-GB"/>
        </w:rPr>
        <w:t xml:space="preserve">annual </w:t>
      </w:r>
      <w:r w:rsidRPr="005D6BCE">
        <w:rPr>
          <w:color w:val="000000" w:themeColor="text1"/>
          <w:lang w:val="en-GB"/>
        </w:rPr>
        <w:t>energy poverty conference will be dedicated to gender mainstreaming measures to tackle energy poverty.</w:t>
      </w:r>
    </w:p>
    <w:p w14:paraId="7A7D72E9" w14:textId="39AE518D" w:rsidR="006F0A66" w:rsidRPr="005D6BCE" w:rsidRDefault="006F0A66" w:rsidP="00B77AE8">
      <w:pPr>
        <w:spacing w:line="276" w:lineRule="auto"/>
        <w:rPr>
          <w:color w:val="000000" w:themeColor="text1"/>
          <w:lang w:val="en-GB"/>
        </w:rPr>
      </w:pPr>
    </w:p>
    <w:p w14:paraId="0370DC1B" w14:textId="43923043" w:rsidR="006F0A66" w:rsidRDefault="006F0A66" w:rsidP="006F0A66">
      <w:pPr>
        <w:spacing w:line="276" w:lineRule="auto"/>
        <w:rPr>
          <w:lang w:val="en-GB"/>
        </w:rPr>
      </w:pPr>
      <w:r w:rsidRPr="005D6BCE">
        <w:rPr>
          <w:lang w:val="en-GB"/>
        </w:rPr>
        <w:t xml:space="preserve">The TEN section took a leading role in the coordination of the EESC sectorial own-initiative opinions covering different aspects of the energy transition, </w:t>
      </w:r>
      <w:r w:rsidR="004368F2">
        <w:rPr>
          <w:lang w:val="en-GB"/>
        </w:rPr>
        <w:t xml:space="preserve">which was </w:t>
      </w:r>
      <w:r w:rsidRPr="005D6BCE">
        <w:rPr>
          <w:lang w:val="en-GB"/>
        </w:rPr>
        <w:t xml:space="preserve">the EESC's key political priority for 2022. The section elaborated the umbrella opinion on </w:t>
      </w:r>
      <w:r w:rsidRPr="005D6BCE">
        <w:rPr>
          <w:i/>
          <w:iCs/>
          <w:lang w:val="en-GB"/>
        </w:rPr>
        <w:t>A strategic vision on energy transition to enable sustainable development</w:t>
      </w:r>
      <w:r w:rsidR="004368F2">
        <w:rPr>
          <w:i/>
          <w:iCs/>
          <w:lang w:val="en-GB"/>
        </w:rPr>
        <w:t>,</w:t>
      </w:r>
      <w:r w:rsidRPr="005D6BCE">
        <w:rPr>
          <w:i/>
          <w:iCs/>
          <w:lang w:val="en-GB"/>
        </w:rPr>
        <w:t xml:space="preserve"> </w:t>
      </w:r>
      <w:r w:rsidRPr="005D6BCE">
        <w:rPr>
          <w:lang w:val="en-GB"/>
        </w:rPr>
        <w:t>setting out the EESC's vision on the energy transition and its role in achieving the EU's strategic autonomy, focusing on speeding up decarbonisation, reducing dependency on energy imports, increasing ownership of the energy transition by people and businesses and supporting vulnerable households.</w:t>
      </w:r>
    </w:p>
    <w:p w14:paraId="7A222BBE" w14:textId="77777777" w:rsidR="004368F2" w:rsidRPr="005D6BCE" w:rsidRDefault="004368F2" w:rsidP="006F0A66">
      <w:pPr>
        <w:spacing w:line="276" w:lineRule="auto"/>
        <w:rPr>
          <w:b/>
          <w:bCs/>
          <w:lang w:val="en-GB"/>
        </w:rPr>
      </w:pPr>
    </w:p>
    <w:p w14:paraId="536FA5FC" w14:textId="1D0C7EAA" w:rsidR="003C5B4E" w:rsidRPr="005D6BCE" w:rsidRDefault="003C5B4E" w:rsidP="003C5B4E">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Second priority of the section</w:t>
      </w:r>
      <w:r w:rsidR="00AC4EAA" w:rsidRPr="005D6BCE">
        <w:rPr>
          <w:rFonts w:asciiTheme="majorHAnsi" w:hAnsiTheme="majorHAnsi" w:cstheme="minorHAnsi"/>
          <w:color w:val="0070C0"/>
          <w:sz w:val="32"/>
          <w:lang w:val="en-GB"/>
        </w:rPr>
        <w:t>: Housing</w:t>
      </w:r>
    </w:p>
    <w:p w14:paraId="009EDF73" w14:textId="31ED8284" w:rsidR="003C5B4E" w:rsidRPr="005D6BCE" w:rsidRDefault="003C5B4E" w:rsidP="00B77AE8">
      <w:pPr>
        <w:spacing w:line="276"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62336" behindDoc="0" locked="0" layoutInCell="1" allowOverlap="1" wp14:anchorId="6A6AC3B6" wp14:editId="1CE302A6">
                <wp:simplePos x="0" y="0"/>
                <wp:positionH relativeFrom="column">
                  <wp:posOffset>13969</wp:posOffset>
                </wp:positionH>
                <wp:positionV relativeFrom="paragraph">
                  <wp:posOffset>50027</wp:posOffset>
                </wp:positionV>
                <wp:extent cx="5661329" cy="15903"/>
                <wp:effectExtent l="0" t="0" r="34925" b="22225"/>
                <wp:wrapNone/>
                <wp:docPr id="5" name="Straight Connector 5"/>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9174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MNODL67AQAAxwMAAA4AAAAAAAAAAAAAAAAALgIAAGRy&#10;cy9lMm9Eb2MueG1sUEsBAi0AFAAGAAgAAAAhAJGmzvbeAAAABgEAAA8AAAAAAAAAAAAAAAAAFQQA&#10;AGRycy9kb3ducmV2LnhtbFBLBQYAAAAABAAEAPMAAAAgBQAAAAA=&#10;" strokecolor="#5b9bd5 [3204]" strokeweight=".5pt">
                <v:stroke joinstyle="miter"/>
              </v:line>
            </w:pict>
          </mc:Fallback>
        </mc:AlternateContent>
      </w:r>
    </w:p>
    <w:p w14:paraId="139EAF6F" w14:textId="224F0793" w:rsidR="004D45E7" w:rsidRPr="00C54CF9" w:rsidRDefault="00416A4E" w:rsidP="0069155C">
      <w:pPr>
        <w:spacing w:line="276" w:lineRule="auto"/>
        <w:rPr>
          <w:lang w:val="en-GB"/>
        </w:rPr>
      </w:pPr>
      <w:r w:rsidRPr="00C54CF9">
        <w:rPr>
          <w:lang w:val="en-GB"/>
        </w:rPr>
        <w:t xml:space="preserve">The energy supply crisis triggered by </w:t>
      </w:r>
      <w:r w:rsidR="004368F2">
        <w:rPr>
          <w:lang w:val="en-GB"/>
        </w:rPr>
        <w:t>Russia's invasion of</w:t>
      </w:r>
      <w:r w:rsidRPr="00C54CF9">
        <w:rPr>
          <w:lang w:val="en-GB"/>
        </w:rPr>
        <w:t xml:space="preserve"> Ukraine and the unprecedented increase in energy prices, on top of the economic and social consequences of COVID-19, have intensified the severity of the affordable housing crisis that EU Member States have been facing for years. </w:t>
      </w:r>
      <w:r w:rsidR="00B77AE8" w:rsidRPr="00C54CF9">
        <w:rPr>
          <w:lang w:val="en-GB"/>
        </w:rPr>
        <w:t>The</w:t>
      </w:r>
      <w:r w:rsidRPr="00C54CF9">
        <w:rPr>
          <w:lang w:val="en-GB"/>
        </w:rPr>
        <w:t>refore, the</w:t>
      </w:r>
      <w:r w:rsidR="00B77AE8" w:rsidRPr="00C54CF9">
        <w:rPr>
          <w:lang w:val="en-GB"/>
        </w:rPr>
        <w:t xml:space="preserve"> TEN section pursued work </w:t>
      </w:r>
      <w:r w:rsidR="0081678E" w:rsidRPr="00C54CF9">
        <w:rPr>
          <w:lang w:val="en-GB"/>
        </w:rPr>
        <w:t xml:space="preserve">recommending measures aimed at </w:t>
      </w:r>
      <w:r w:rsidR="00B77AE8" w:rsidRPr="00C54CF9">
        <w:rPr>
          <w:lang w:val="en-GB"/>
        </w:rPr>
        <w:t xml:space="preserve">the provision of housing assistance of good quality for those in need and the right to access essential services of good quality. </w:t>
      </w:r>
    </w:p>
    <w:p w14:paraId="6EC037B4" w14:textId="77777777" w:rsidR="004D45E7" w:rsidRPr="00C54CF9" w:rsidRDefault="004D45E7" w:rsidP="0069155C">
      <w:pPr>
        <w:spacing w:line="276" w:lineRule="auto"/>
        <w:rPr>
          <w:lang w:val="en-GB"/>
        </w:rPr>
      </w:pPr>
    </w:p>
    <w:p w14:paraId="4BE37709" w14:textId="4CE26A25" w:rsidR="004D45E7" w:rsidRPr="005D6BCE" w:rsidRDefault="00B77AE8" w:rsidP="0069155C">
      <w:pPr>
        <w:spacing w:line="276" w:lineRule="auto"/>
        <w:rPr>
          <w:bCs/>
          <w:lang w:val="en-GB"/>
        </w:rPr>
      </w:pPr>
      <w:r w:rsidRPr="00C54CF9">
        <w:rPr>
          <w:bCs/>
          <w:lang w:val="en-GB"/>
        </w:rPr>
        <w:t xml:space="preserve">The section focused on the Commission's new strategy </w:t>
      </w:r>
      <w:r w:rsidR="00BC7E05" w:rsidRPr="00C54CF9">
        <w:rPr>
          <w:bCs/>
          <w:lang w:val="en-GB"/>
        </w:rPr>
        <w:t xml:space="preserve">on </w:t>
      </w:r>
      <w:r w:rsidR="00BC7E05" w:rsidRPr="00C54CF9">
        <w:rPr>
          <w:bCs/>
          <w:i/>
          <w:lang w:val="en-GB"/>
        </w:rPr>
        <w:t xml:space="preserve">A Renovation Wave for Europe </w:t>
      </w:r>
      <w:r w:rsidRPr="00C54CF9">
        <w:rPr>
          <w:bCs/>
          <w:lang w:val="en-GB"/>
        </w:rPr>
        <w:t>to boost renovation of both public and private buildings</w:t>
      </w:r>
      <w:r w:rsidR="00575C95" w:rsidRPr="00C54CF9">
        <w:rPr>
          <w:bCs/>
          <w:lang w:val="en-GB"/>
        </w:rPr>
        <w:t xml:space="preserve"> and </w:t>
      </w:r>
      <w:r w:rsidR="00D21B36">
        <w:rPr>
          <w:bCs/>
          <w:lang w:val="en-GB"/>
        </w:rPr>
        <w:t>held</w:t>
      </w:r>
      <w:r w:rsidR="00D21B36" w:rsidRPr="00C54CF9">
        <w:rPr>
          <w:bCs/>
          <w:lang w:val="en-GB"/>
        </w:rPr>
        <w:t xml:space="preserve"> </w:t>
      </w:r>
      <w:r w:rsidR="00BC7E05" w:rsidRPr="00C54CF9">
        <w:rPr>
          <w:bCs/>
          <w:lang w:val="en-GB"/>
        </w:rPr>
        <w:t>a high-level roundtable at its meeting in February 2021 to discuss th</w:t>
      </w:r>
      <w:r w:rsidR="00575C95" w:rsidRPr="00C54CF9">
        <w:rPr>
          <w:bCs/>
          <w:lang w:val="en-GB"/>
        </w:rPr>
        <w:t xml:space="preserve">is new strategy. </w:t>
      </w:r>
      <w:r w:rsidR="00AF09B0" w:rsidRPr="00C54CF9">
        <w:rPr>
          <w:bCs/>
          <w:lang w:val="en-GB"/>
        </w:rPr>
        <w:t xml:space="preserve">The Committee expressed its </w:t>
      </w:r>
      <w:r w:rsidR="00AF09B0" w:rsidRPr="005D6BCE">
        <w:rPr>
          <w:bCs/>
          <w:lang w:val="en-GB"/>
        </w:rPr>
        <w:t xml:space="preserve">support for the renovation wave strategy, as it is a "win-win-win" strategy for the European Union – a threefold win for the climate, </w:t>
      </w:r>
      <w:r w:rsidR="00D21B36">
        <w:rPr>
          <w:bCs/>
          <w:lang w:val="en-GB"/>
        </w:rPr>
        <w:t xml:space="preserve">also </w:t>
      </w:r>
      <w:r w:rsidR="00AF09B0" w:rsidRPr="005D6BCE">
        <w:rPr>
          <w:bCs/>
          <w:lang w:val="en-GB"/>
        </w:rPr>
        <w:t xml:space="preserve">for the recovery thanks to the local jobs created, and finally for the fight against the pandemic and energy poverty and in favour of sustainable housing for all, including vulnerable people. </w:t>
      </w:r>
    </w:p>
    <w:p w14:paraId="57EB9D98" w14:textId="77777777" w:rsidR="004D45E7" w:rsidRPr="005D6BCE" w:rsidRDefault="004D45E7" w:rsidP="0069155C">
      <w:pPr>
        <w:spacing w:line="276" w:lineRule="auto"/>
        <w:rPr>
          <w:bCs/>
          <w:lang w:val="en-GB"/>
        </w:rPr>
      </w:pPr>
    </w:p>
    <w:p w14:paraId="5F690C23" w14:textId="376C6119" w:rsidR="004D45E7" w:rsidRPr="005D6BCE" w:rsidRDefault="00BC7E05" w:rsidP="0069155C">
      <w:pPr>
        <w:spacing w:line="276" w:lineRule="auto"/>
        <w:rPr>
          <w:bCs/>
          <w:lang w:val="en-GB"/>
        </w:rPr>
      </w:pPr>
      <w:r w:rsidRPr="00C54CF9">
        <w:rPr>
          <w:bCs/>
          <w:lang w:val="en-GB"/>
        </w:rPr>
        <w:t>The TEN section integrate</w:t>
      </w:r>
      <w:r w:rsidR="00C57614" w:rsidRPr="00C54CF9">
        <w:rPr>
          <w:bCs/>
          <w:lang w:val="en-GB"/>
        </w:rPr>
        <w:t>d</w:t>
      </w:r>
      <w:r w:rsidRPr="00C54CF9">
        <w:rPr>
          <w:bCs/>
          <w:lang w:val="en-GB"/>
        </w:rPr>
        <w:t xml:space="preserve"> in its work </w:t>
      </w:r>
      <w:r w:rsidR="00F33AD9" w:rsidRPr="00C54CF9">
        <w:rPr>
          <w:bCs/>
          <w:lang w:val="en-GB"/>
        </w:rPr>
        <w:t xml:space="preserve">the </w:t>
      </w:r>
      <w:hyperlink r:id="rId20" w:history="1">
        <w:r w:rsidR="00F33AD9" w:rsidRPr="00C54CF9">
          <w:rPr>
            <w:rStyle w:val="Hyperlink"/>
            <w:bCs/>
            <w:i/>
            <w:iCs/>
            <w:lang w:val="en-GB"/>
          </w:rPr>
          <w:t xml:space="preserve">New European Bauhaus </w:t>
        </w:r>
        <w:r w:rsidR="00604B19" w:rsidRPr="00C54CF9">
          <w:rPr>
            <w:rStyle w:val="Hyperlink"/>
            <w:bCs/>
            <w:i/>
            <w:iCs/>
            <w:lang w:val="en-GB"/>
          </w:rPr>
          <w:t xml:space="preserve">(NEB) </w:t>
        </w:r>
        <w:r w:rsidR="00F33AD9" w:rsidRPr="00C54CF9">
          <w:rPr>
            <w:rStyle w:val="Hyperlink"/>
            <w:bCs/>
            <w:i/>
            <w:iCs/>
            <w:lang w:val="en-GB"/>
          </w:rPr>
          <w:t>Initiative</w:t>
        </w:r>
      </w:hyperlink>
      <w:r w:rsidR="00604B19" w:rsidRPr="00C54CF9">
        <w:rPr>
          <w:bCs/>
          <w:lang w:val="en-GB"/>
        </w:rPr>
        <w:t xml:space="preserve">. The Committee </w:t>
      </w:r>
      <w:r w:rsidR="00AB672B" w:rsidRPr="00C54CF9">
        <w:rPr>
          <w:bCs/>
          <w:lang w:val="en-GB"/>
        </w:rPr>
        <w:t>endorsed the concept, convinced that it</w:t>
      </w:r>
      <w:r w:rsidR="00604B19" w:rsidRPr="00C54CF9">
        <w:rPr>
          <w:bCs/>
          <w:lang w:val="en-GB"/>
        </w:rPr>
        <w:t xml:space="preserve"> </w:t>
      </w:r>
      <w:r w:rsidR="00D21B36">
        <w:rPr>
          <w:bCs/>
          <w:lang w:val="en-GB"/>
        </w:rPr>
        <w:t>will</w:t>
      </w:r>
      <w:r w:rsidR="00D21B36" w:rsidRPr="00C54CF9">
        <w:rPr>
          <w:bCs/>
          <w:lang w:val="en-GB"/>
        </w:rPr>
        <w:t xml:space="preserve"> </w:t>
      </w:r>
      <w:r w:rsidR="00604B19" w:rsidRPr="00C54CF9">
        <w:rPr>
          <w:bCs/>
          <w:lang w:val="en-GB"/>
        </w:rPr>
        <w:t>help bring the EU closer to Europeans and their local areas through appropriate communication and grassroots initiatives.</w:t>
      </w:r>
      <w:r w:rsidR="00B81E4F" w:rsidRPr="00C54CF9">
        <w:rPr>
          <w:bCs/>
          <w:lang w:val="en-GB"/>
        </w:rPr>
        <w:t xml:space="preserve"> The TEN section president </w:t>
      </w:r>
      <w:r w:rsidR="00B81E4F" w:rsidRPr="005D6BCE">
        <w:rPr>
          <w:bCs/>
          <w:lang w:val="en-GB"/>
        </w:rPr>
        <w:t>presented the EESC recommendations of the New European Bauhaus at the Ministerial Conference on Housing and Construction in Nice</w:t>
      </w:r>
      <w:r w:rsidR="00D21B36">
        <w:rPr>
          <w:bCs/>
          <w:lang w:val="en-GB"/>
        </w:rPr>
        <w:t xml:space="preserve"> on</w:t>
      </w:r>
      <w:r w:rsidR="00B81E4F" w:rsidRPr="005D6BCE">
        <w:rPr>
          <w:bCs/>
          <w:lang w:val="en-GB"/>
        </w:rPr>
        <w:t xml:space="preserve"> 7-8 March 2022</w:t>
      </w:r>
      <w:r w:rsidR="001B2F1F" w:rsidRPr="005D6BCE">
        <w:rPr>
          <w:bCs/>
          <w:lang w:val="en-GB"/>
        </w:rPr>
        <w:t>.</w:t>
      </w:r>
      <w:r w:rsidR="00B81E4F" w:rsidRPr="005D6BCE">
        <w:rPr>
          <w:bCs/>
          <w:lang w:val="en-GB"/>
        </w:rPr>
        <w:t xml:space="preserve"> </w:t>
      </w:r>
      <w:r w:rsidR="001B2F1F" w:rsidRPr="005D6BCE">
        <w:rPr>
          <w:bCs/>
          <w:lang w:val="en-GB"/>
        </w:rPr>
        <w:t xml:space="preserve">In the framework of the </w:t>
      </w:r>
      <w:r w:rsidR="001B2F1F" w:rsidRPr="005D6BCE">
        <w:rPr>
          <w:lang w:val="en-GB"/>
        </w:rPr>
        <w:t>New Bauhaus Festival</w:t>
      </w:r>
      <w:r w:rsidR="001B2F1F" w:rsidRPr="005D6BCE">
        <w:rPr>
          <w:bCs/>
          <w:lang w:val="en-GB"/>
        </w:rPr>
        <w:t xml:space="preserve"> in June 2022, t</w:t>
      </w:r>
      <w:r w:rsidR="00B81E4F" w:rsidRPr="005D6BCE">
        <w:rPr>
          <w:bCs/>
          <w:lang w:val="en-GB"/>
        </w:rPr>
        <w:t>he section organi</w:t>
      </w:r>
      <w:r w:rsidR="00D21B36">
        <w:rPr>
          <w:bCs/>
          <w:lang w:val="en-GB"/>
        </w:rPr>
        <w:t>s</w:t>
      </w:r>
      <w:r w:rsidR="00B81E4F" w:rsidRPr="005D6BCE">
        <w:rPr>
          <w:bCs/>
          <w:lang w:val="en-GB"/>
        </w:rPr>
        <w:t xml:space="preserve">ed a </w:t>
      </w:r>
      <w:hyperlink r:id="rId21" w:history="1">
        <w:r w:rsidR="00B81E4F" w:rsidRPr="005D6BCE">
          <w:rPr>
            <w:rStyle w:val="Hyperlink"/>
            <w:bCs/>
            <w:lang w:val="en-GB"/>
          </w:rPr>
          <w:t>webinar</w:t>
        </w:r>
      </w:hyperlink>
      <w:r w:rsidR="00B81E4F" w:rsidRPr="005D6BCE">
        <w:rPr>
          <w:bCs/>
          <w:lang w:val="en-GB"/>
        </w:rPr>
        <w:t xml:space="preserve"> on </w:t>
      </w:r>
      <w:r w:rsidR="00B81E4F" w:rsidRPr="005D6BCE">
        <w:rPr>
          <w:bCs/>
          <w:i/>
          <w:iCs/>
          <w:lang w:val="en-GB"/>
        </w:rPr>
        <w:t>Bauhaus at the service of citizens</w:t>
      </w:r>
      <w:r w:rsidR="001B2F1F" w:rsidRPr="005D6BCE">
        <w:rPr>
          <w:bCs/>
          <w:lang w:val="en-GB"/>
        </w:rPr>
        <w:t xml:space="preserve">, which aimed at inserting the values of services of general interest in relation </w:t>
      </w:r>
      <w:r w:rsidR="00D21B36">
        <w:rPr>
          <w:bCs/>
          <w:lang w:val="en-GB"/>
        </w:rPr>
        <w:t>to</w:t>
      </w:r>
      <w:r w:rsidR="00D21B36" w:rsidRPr="005D6BCE">
        <w:rPr>
          <w:bCs/>
          <w:lang w:val="en-GB"/>
        </w:rPr>
        <w:t xml:space="preserve"> </w:t>
      </w:r>
      <w:r w:rsidR="001B2F1F" w:rsidRPr="005D6BCE">
        <w:rPr>
          <w:bCs/>
          <w:lang w:val="en-GB"/>
        </w:rPr>
        <w:t xml:space="preserve">social and health services, assistance for the elderly, etc. into the Bauhaus project approach. </w:t>
      </w:r>
    </w:p>
    <w:p w14:paraId="0CAF30D9" w14:textId="77777777" w:rsidR="004D45E7" w:rsidRPr="005D6BCE" w:rsidRDefault="004D45E7" w:rsidP="0069155C">
      <w:pPr>
        <w:spacing w:line="276" w:lineRule="auto"/>
        <w:rPr>
          <w:bCs/>
          <w:lang w:val="en-GB"/>
        </w:rPr>
      </w:pPr>
    </w:p>
    <w:p w14:paraId="4AF585D7" w14:textId="12B6A82A" w:rsidR="004D45E7" w:rsidRPr="00C54CF9" w:rsidRDefault="00B81E4F" w:rsidP="0069155C">
      <w:pPr>
        <w:spacing w:line="276" w:lineRule="auto"/>
        <w:rPr>
          <w:bCs/>
          <w:lang w:val="en-GB"/>
        </w:rPr>
      </w:pPr>
      <w:r w:rsidRPr="00766E29">
        <w:rPr>
          <w:bCs/>
          <w:lang w:val="en-GB"/>
        </w:rPr>
        <w:t>In July 2022</w:t>
      </w:r>
      <w:r w:rsidR="00782AC4" w:rsidRPr="00766E29">
        <w:rPr>
          <w:bCs/>
          <w:lang w:val="en-GB"/>
        </w:rPr>
        <w:t>,</w:t>
      </w:r>
      <w:r w:rsidRPr="00766E29">
        <w:rPr>
          <w:bCs/>
          <w:lang w:val="en-GB"/>
        </w:rPr>
        <w:t xml:space="preserve"> the section </w:t>
      </w:r>
      <w:r w:rsidR="00D21B36" w:rsidRPr="00766E29">
        <w:rPr>
          <w:bCs/>
          <w:lang w:val="en-GB"/>
        </w:rPr>
        <w:t>in conjunction with</w:t>
      </w:r>
      <w:r w:rsidRPr="00766E29">
        <w:rPr>
          <w:bCs/>
          <w:lang w:val="en-GB"/>
        </w:rPr>
        <w:t xml:space="preserve"> the Ministry of Economic</w:t>
      </w:r>
      <w:r w:rsidR="00D21B36" w:rsidRPr="00766E29">
        <w:rPr>
          <w:bCs/>
          <w:lang w:val="en-GB"/>
        </w:rPr>
        <w:t xml:space="preserve"> Affairs</w:t>
      </w:r>
      <w:r w:rsidRPr="00766E29">
        <w:rPr>
          <w:bCs/>
          <w:lang w:val="en-GB"/>
        </w:rPr>
        <w:t xml:space="preserve"> of Latvia </w:t>
      </w:r>
      <w:r w:rsidR="00D21B36" w:rsidRPr="00766E29">
        <w:rPr>
          <w:bCs/>
          <w:lang w:val="en-GB"/>
        </w:rPr>
        <w:t xml:space="preserve">held </w:t>
      </w:r>
      <w:r w:rsidRPr="00766E29">
        <w:rPr>
          <w:bCs/>
          <w:lang w:val="en-GB"/>
        </w:rPr>
        <w:t>a high-</w:t>
      </w:r>
      <w:r w:rsidRPr="00C54CF9">
        <w:rPr>
          <w:bCs/>
          <w:lang w:val="en-GB"/>
        </w:rPr>
        <w:t>level conference in Riga</w:t>
      </w:r>
      <w:r w:rsidR="00C57614" w:rsidRPr="00C54CF9">
        <w:rPr>
          <w:bCs/>
          <w:lang w:val="en-GB"/>
        </w:rPr>
        <w:t xml:space="preserve"> </w:t>
      </w:r>
      <w:r w:rsidR="00B338B1" w:rsidRPr="00C54CF9">
        <w:rPr>
          <w:bCs/>
          <w:lang w:val="en-GB"/>
        </w:rPr>
        <w:t>and brought</w:t>
      </w:r>
      <w:r w:rsidRPr="00C54CF9">
        <w:rPr>
          <w:bCs/>
          <w:lang w:val="en-GB"/>
        </w:rPr>
        <w:t xml:space="preserve"> together local, national and European actors to discuss </w:t>
      </w:r>
      <w:r w:rsidR="00B338B1" w:rsidRPr="00C54CF9">
        <w:rPr>
          <w:bCs/>
          <w:lang w:val="en-GB"/>
        </w:rPr>
        <w:t xml:space="preserve">the different approaches to defining households in need of support in terms of access to housing, different practices for funding access to housing and the ways to boost investment in </w:t>
      </w:r>
      <w:r w:rsidR="00D21B36">
        <w:rPr>
          <w:bCs/>
          <w:lang w:val="en-GB"/>
        </w:rPr>
        <w:t xml:space="preserve">the </w:t>
      </w:r>
      <w:r w:rsidR="00B338B1" w:rsidRPr="00C54CF9">
        <w:rPr>
          <w:bCs/>
          <w:lang w:val="en-GB"/>
        </w:rPr>
        <w:t>energy efficiency of buildings.</w:t>
      </w:r>
      <w:r w:rsidR="0069155C" w:rsidRPr="00C54CF9">
        <w:rPr>
          <w:bCs/>
          <w:lang w:val="en-GB"/>
        </w:rPr>
        <w:t xml:space="preserve"> </w:t>
      </w:r>
      <w:r w:rsidR="00C83999" w:rsidRPr="00C54CF9">
        <w:rPr>
          <w:bCs/>
          <w:lang w:val="en-GB"/>
        </w:rPr>
        <w:t xml:space="preserve">The Committee stressed that at national level, governments should boost efforts to provide energy-efficient housing and </w:t>
      </w:r>
      <w:r w:rsidR="0028001A" w:rsidRPr="00C54CF9">
        <w:rPr>
          <w:bCs/>
          <w:lang w:val="en-GB"/>
        </w:rPr>
        <w:t xml:space="preserve">underlined that partnerships between government and relevant industries, social partners and civil society </w:t>
      </w:r>
      <w:r w:rsidR="00C83999" w:rsidRPr="00C54CF9">
        <w:rPr>
          <w:bCs/>
          <w:lang w:val="en-GB"/>
        </w:rPr>
        <w:t>were</w:t>
      </w:r>
      <w:r w:rsidR="0028001A" w:rsidRPr="00C54CF9">
        <w:rPr>
          <w:bCs/>
          <w:lang w:val="en-GB"/>
        </w:rPr>
        <w:t xml:space="preserve"> necessary when implementing the national building renovation plans</w:t>
      </w:r>
      <w:r w:rsidR="00C83999" w:rsidRPr="00C54CF9">
        <w:rPr>
          <w:bCs/>
          <w:lang w:val="en-GB"/>
        </w:rPr>
        <w:t>.</w:t>
      </w:r>
      <w:r w:rsidR="0028001A" w:rsidRPr="00C54CF9">
        <w:rPr>
          <w:bCs/>
          <w:lang w:val="en-GB"/>
        </w:rPr>
        <w:t xml:space="preserve"> </w:t>
      </w:r>
    </w:p>
    <w:p w14:paraId="03043B7D" w14:textId="77777777" w:rsidR="004D45E7" w:rsidRPr="00C54CF9" w:rsidRDefault="004D45E7" w:rsidP="0069155C">
      <w:pPr>
        <w:spacing w:line="276" w:lineRule="auto"/>
        <w:rPr>
          <w:bCs/>
          <w:lang w:val="en-GB"/>
        </w:rPr>
      </w:pPr>
    </w:p>
    <w:p w14:paraId="740196FA" w14:textId="67D91100" w:rsidR="000F4E24" w:rsidRPr="00C54CF9" w:rsidRDefault="0069155C" w:rsidP="0069155C">
      <w:pPr>
        <w:spacing w:line="276" w:lineRule="auto"/>
        <w:rPr>
          <w:bCs/>
          <w:lang w:val="en-GB"/>
        </w:rPr>
      </w:pPr>
      <w:r w:rsidRPr="00C54CF9">
        <w:rPr>
          <w:bCs/>
          <w:lang w:val="en-GB"/>
        </w:rPr>
        <w:t>At the beginning of 2023, the section looked into the benefits of</w:t>
      </w:r>
      <w:r w:rsidRPr="005D6BCE">
        <w:rPr>
          <w:rFonts w:ascii="Calibri" w:eastAsiaTheme="minorHAnsi" w:hAnsi="Calibri" w:cs="Calibri"/>
          <w:lang w:val="en-GB"/>
        </w:rPr>
        <w:t xml:space="preserve"> </w:t>
      </w:r>
      <w:r w:rsidRPr="005D6BCE">
        <w:rPr>
          <w:bCs/>
          <w:lang w:val="en-GB"/>
        </w:rPr>
        <w:t xml:space="preserve">timber construction in relation </w:t>
      </w:r>
      <w:r w:rsidR="00D21B36">
        <w:rPr>
          <w:bCs/>
          <w:lang w:val="en-GB"/>
        </w:rPr>
        <w:t>to</w:t>
      </w:r>
      <w:r w:rsidR="00D21B36" w:rsidRPr="005D6BCE">
        <w:rPr>
          <w:bCs/>
          <w:lang w:val="en-GB"/>
        </w:rPr>
        <w:t xml:space="preserve"> </w:t>
      </w:r>
      <w:r w:rsidRPr="005D6BCE">
        <w:rPr>
          <w:bCs/>
          <w:lang w:val="en-GB"/>
        </w:rPr>
        <w:t xml:space="preserve">the EU's sustainable carbon cycles, the EU's bioeconomy strategy </w:t>
      </w:r>
      <w:r w:rsidRPr="005D6BCE">
        <w:rPr>
          <w:lang w:val="en-GB"/>
        </w:rPr>
        <w:t>and the New European Bauhaus</w:t>
      </w:r>
      <w:r w:rsidRPr="005D6BCE">
        <w:rPr>
          <w:bCs/>
          <w:lang w:val="en-GB"/>
        </w:rPr>
        <w:t xml:space="preserve"> and formulated recommendations at the request of the Swedish Presidency of the Council of the EU on the "</w:t>
      </w:r>
      <w:r w:rsidRPr="00C54CF9">
        <w:rPr>
          <w:bCs/>
          <w:lang w:val="en-GB"/>
        </w:rPr>
        <w:t>Wooden construction for CO</w:t>
      </w:r>
      <w:r w:rsidRPr="005D6BCE">
        <w:rPr>
          <w:bCs/>
          <w:vertAlign w:val="subscript"/>
          <w:lang w:val="en-GB"/>
        </w:rPr>
        <w:t>2</w:t>
      </w:r>
      <w:r w:rsidRPr="00C54CF9">
        <w:rPr>
          <w:bCs/>
          <w:lang w:val="en-GB"/>
        </w:rPr>
        <w:t xml:space="preserve"> reduction in the building sector". </w:t>
      </w:r>
      <w:r w:rsidR="00CB015C" w:rsidRPr="00C54CF9">
        <w:rPr>
          <w:bCs/>
          <w:lang w:val="en-GB"/>
        </w:rPr>
        <w:t xml:space="preserve">The Committee underlined that </w:t>
      </w:r>
      <w:r w:rsidR="00CB015C" w:rsidRPr="005D6BCE">
        <w:rPr>
          <w:bCs/>
          <w:lang w:val="en-GB"/>
        </w:rPr>
        <w:t xml:space="preserve">an increase in the use of sustainable wood in construction, especially in public buildings, was essential to reduce carbon emissions. </w:t>
      </w:r>
      <w:r w:rsidR="00AB672B" w:rsidRPr="005D6BCE">
        <w:rPr>
          <w:bCs/>
          <w:lang w:val="en-GB"/>
        </w:rPr>
        <w:t>To that end, i</w:t>
      </w:r>
      <w:r w:rsidR="00CB015C" w:rsidRPr="005D6BCE">
        <w:rPr>
          <w:bCs/>
          <w:lang w:val="en-GB"/>
        </w:rPr>
        <w:t>t stressed the huge importance of an active and sustainable forest management across the EU.</w:t>
      </w:r>
    </w:p>
    <w:p w14:paraId="00258F08" w14:textId="2374C7A8" w:rsidR="0069155C" w:rsidRPr="005D6BCE" w:rsidRDefault="0069155C" w:rsidP="0069155C">
      <w:pPr>
        <w:spacing w:line="276" w:lineRule="auto"/>
        <w:rPr>
          <w:bCs/>
          <w:lang w:val="en-GB"/>
        </w:rPr>
      </w:pPr>
    </w:p>
    <w:p w14:paraId="0DAE265A" w14:textId="10F817EA" w:rsidR="003C5B4E" w:rsidRPr="005D6BCE" w:rsidRDefault="003C5B4E" w:rsidP="003C5B4E">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Third priority of the section</w:t>
      </w:r>
      <w:r w:rsidR="00AC4EAA" w:rsidRPr="005D6BCE">
        <w:rPr>
          <w:rFonts w:asciiTheme="majorHAnsi" w:hAnsiTheme="majorHAnsi" w:cstheme="minorHAnsi"/>
          <w:color w:val="0070C0"/>
          <w:sz w:val="32"/>
          <w:lang w:val="en-GB"/>
        </w:rPr>
        <w:t>: Achieving sustainability in maritime, railway and air transport</w:t>
      </w:r>
    </w:p>
    <w:p w14:paraId="0B208DC5" w14:textId="48E40114" w:rsidR="003C5B4E" w:rsidRPr="005D6BCE" w:rsidRDefault="003C5B4E" w:rsidP="00885E57">
      <w:pPr>
        <w:spacing w:line="240"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64384" behindDoc="0" locked="0" layoutInCell="1" allowOverlap="1" wp14:anchorId="4BE95280" wp14:editId="510EDB2E">
                <wp:simplePos x="0" y="0"/>
                <wp:positionH relativeFrom="column">
                  <wp:posOffset>13969</wp:posOffset>
                </wp:positionH>
                <wp:positionV relativeFrom="paragraph">
                  <wp:posOffset>50027</wp:posOffset>
                </wp:positionV>
                <wp:extent cx="5661329" cy="15903"/>
                <wp:effectExtent l="0" t="0" r="34925" b="22225"/>
                <wp:wrapNone/>
                <wp:docPr id="8" name="Straight Connector 8"/>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31CA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ty5qE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608BAA24" w14:textId="6EB4880C" w:rsidR="003C5B4E" w:rsidRPr="005D6BCE" w:rsidRDefault="5A93513F" w:rsidP="222E42F8">
      <w:pPr>
        <w:rPr>
          <w:lang w:val="en-GB"/>
        </w:rPr>
      </w:pPr>
      <w:r w:rsidRPr="005D6BCE">
        <w:rPr>
          <w:lang w:val="en-GB"/>
        </w:rPr>
        <w:t xml:space="preserve">In the field of transport, the TEN section continued to focus on EC proposals from the </w:t>
      </w:r>
      <w:r w:rsidRPr="005D6BCE">
        <w:rPr>
          <w:i/>
          <w:iCs/>
          <w:lang w:val="en-GB"/>
        </w:rPr>
        <w:t>Green Deal, Fit for 55</w:t>
      </w:r>
      <w:r w:rsidRPr="005D6BCE">
        <w:rPr>
          <w:lang w:val="en-GB"/>
        </w:rPr>
        <w:t xml:space="preserve"> </w:t>
      </w:r>
      <w:r w:rsidRPr="005D6BCE">
        <w:rPr>
          <w:i/>
          <w:iCs/>
          <w:lang w:val="en-GB"/>
        </w:rPr>
        <w:t>package</w:t>
      </w:r>
      <w:r w:rsidRPr="005D6BCE">
        <w:rPr>
          <w:lang w:val="en-GB"/>
        </w:rPr>
        <w:t xml:space="preserve"> and </w:t>
      </w:r>
      <w:r w:rsidRPr="005D6BCE">
        <w:rPr>
          <w:i/>
          <w:iCs/>
          <w:lang w:val="en-GB"/>
        </w:rPr>
        <w:t>Sustainable and smart mobility strategy</w:t>
      </w:r>
      <w:r w:rsidRPr="005D6BCE">
        <w:rPr>
          <w:lang w:val="en-GB"/>
        </w:rPr>
        <w:t xml:space="preserve">. </w:t>
      </w:r>
      <w:r w:rsidR="00B77AE8" w:rsidRPr="005D6BCE">
        <w:rPr>
          <w:lang w:val="en-GB"/>
        </w:rPr>
        <w:t xml:space="preserve">The </w:t>
      </w:r>
      <w:r w:rsidR="00D21B36">
        <w:rPr>
          <w:lang w:val="en-GB"/>
        </w:rPr>
        <w:t xml:space="preserve">issue of </w:t>
      </w:r>
      <w:r w:rsidRPr="005D6BCE">
        <w:rPr>
          <w:lang w:val="en-GB"/>
        </w:rPr>
        <w:t xml:space="preserve">COVID-19 marked several EESC opinions at the beginning of the mandate, with the aim </w:t>
      </w:r>
      <w:r w:rsidR="00D21B36">
        <w:rPr>
          <w:lang w:val="en-GB"/>
        </w:rPr>
        <w:t>of</w:t>
      </w:r>
      <w:r w:rsidR="00D21B36" w:rsidRPr="005D6BCE">
        <w:rPr>
          <w:lang w:val="en-GB"/>
        </w:rPr>
        <w:t xml:space="preserve"> </w:t>
      </w:r>
      <w:r w:rsidRPr="005D6BCE">
        <w:rPr>
          <w:lang w:val="en-GB"/>
        </w:rPr>
        <w:t>increas</w:t>
      </w:r>
      <w:r w:rsidR="00D21B36">
        <w:rPr>
          <w:lang w:val="en-GB"/>
        </w:rPr>
        <w:t>ing</w:t>
      </w:r>
      <w:r w:rsidRPr="005D6BCE">
        <w:rPr>
          <w:lang w:val="en-GB"/>
        </w:rPr>
        <w:t xml:space="preserve"> the resilience of the transport sector, in particular of railway</w:t>
      </w:r>
      <w:r w:rsidR="00D21B36">
        <w:rPr>
          <w:lang w:val="en-GB"/>
        </w:rPr>
        <w:t>s</w:t>
      </w:r>
      <w:r w:rsidRPr="005D6BCE">
        <w:rPr>
          <w:lang w:val="en-GB"/>
        </w:rPr>
        <w:t xml:space="preserve"> and air transport, which were hardest hit by the pandemic. </w:t>
      </w:r>
    </w:p>
    <w:p w14:paraId="6D6578F1" w14:textId="77777777" w:rsidR="0081678E" w:rsidRPr="005D6BCE" w:rsidRDefault="0081678E" w:rsidP="222E42F8">
      <w:pPr>
        <w:rPr>
          <w:lang w:val="en-GB"/>
        </w:rPr>
      </w:pPr>
    </w:p>
    <w:p w14:paraId="6F4EA1E2" w14:textId="145C4B04" w:rsidR="003C5B4E" w:rsidRPr="005D6BCE" w:rsidRDefault="5A93513F" w:rsidP="222E42F8">
      <w:pPr>
        <w:rPr>
          <w:lang w:val="en-GB"/>
        </w:rPr>
      </w:pPr>
      <w:r w:rsidRPr="005D6BCE">
        <w:rPr>
          <w:lang w:val="en-GB"/>
        </w:rPr>
        <w:t xml:space="preserve">The Committee overall advocated </w:t>
      </w:r>
      <w:r w:rsidR="00570253">
        <w:rPr>
          <w:lang w:val="en-GB"/>
        </w:rPr>
        <w:t xml:space="preserve">a </w:t>
      </w:r>
      <w:r w:rsidRPr="005D6BCE">
        <w:rPr>
          <w:lang w:val="en-GB"/>
        </w:rPr>
        <w:t xml:space="preserve">just transition, environmental and social sustainability in all modes of transport, development of efficient and sustainable intermodal transport and multimodal logistics, including with third countries via new developments </w:t>
      </w:r>
      <w:r w:rsidR="00570253">
        <w:rPr>
          <w:lang w:val="en-GB"/>
        </w:rPr>
        <w:t>in</w:t>
      </w:r>
      <w:r w:rsidR="00570253" w:rsidRPr="005D6BCE">
        <w:rPr>
          <w:lang w:val="en-GB"/>
        </w:rPr>
        <w:t xml:space="preserve"> </w:t>
      </w:r>
      <w:r w:rsidRPr="005D6BCE">
        <w:rPr>
          <w:lang w:val="en-GB"/>
        </w:rPr>
        <w:t>the TEN-T network. It supported interoperability, better planning, investment in infrastructure and digitali</w:t>
      </w:r>
      <w:r w:rsidR="00570253">
        <w:rPr>
          <w:lang w:val="en-GB"/>
        </w:rPr>
        <w:t>s</w:t>
      </w:r>
      <w:r w:rsidRPr="005D6BCE">
        <w:rPr>
          <w:lang w:val="en-GB"/>
        </w:rPr>
        <w:t xml:space="preserve">ation, </w:t>
      </w:r>
      <w:r w:rsidR="00570253">
        <w:rPr>
          <w:lang w:val="en-GB"/>
        </w:rPr>
        <w:t>and</w:t>
      </w:r>
      <w:r w:rsidR="00570253" w:rsidRPr="005D6BCE">
        <w:rPr>
          <w:lang w:val="en-GB"/>
        </w:rPr>
        <w:t xml:space="preserve"> </w:t>
      </w:r>
      <w:r w:rsidRPr="005D6BCE">
        <w:rPr>
          <w:lang w:val="en-GB"/>
        </w:rPr>
        <w:t xml:space="preserve">also </w:t>
      </w:r>
      <w:r w:rsidR="00570253">
        <w:rPr>
          <w:lang w:val="en-GB"/>
        </w:rPr>
        <w:t xml:space="preserve">investment </w:t>
      </w:r>
      <w:r w:rsidRPr="005D6BCE">
        <w:rPr>
          <w:lang w:val="en-GB"/>
        </w:rPr>
        <w:t xml:space="preserve">in skills development and good working conditions. In several opinions the EESC </w:t>
      </w:r>
      <w:r w:rsidR="05BA4981" w:rsidRPr="005D6BCE">
        <w:rPr>
          <w:lang w:val="en-GB"/>
        </w:rPr>
        <w:t xml:space="preserve">encouraged </w:t>
      </w:r>
      <w:r w:rsidRPr="005D6BCE">
        <w:rPr>
          <w:lang w:val="en-GB"/>
        </w:rPr>
        <w:t xml:space="preserve">the promotion of green and sustainable fuels </w:t>
      </w:r>
      <w:r w:rsidR="31290713" w:rsidRPr="005D6BCE">
        <w:rPr>
          <w:lang w:val="en-GB"/>
        </w:rPr>
        <w:t xml:space="preserve">for </w:t>
      </w:r>
      <w:r w:rsidRPr="005D6BCE">
        <w:rPr>
          <w:lang w:val="en-GB"/>
        </w:rPr>
        <w:t xml:space="preserve">all transport modes, as well as an increased role of public transport </w:t>
      </w:r>
      <w:r w:rsidR="666EC963" w:rsidRPr="005D6BCE">
        <w:rPr>
          <w:lang w:val="en-GB"/>
        </w:rPr>
        <w:t xml:space="preserve">in </w:t>
      </w:r>
      <w:r w:rsidR="00570253">
        <w:rPr>
          <w:lang w:val="en-GB"/>
        </w:rPr>
        <w:t xml:space="preserve">the </w:t>
      </w:r>
      <w:r w:rsidRPr="005D6BCE">
        <w:rPr>
          <w:lang w:val="en-GB"/>
        </w:rPr>
        <w:t>green recovery</w:t>
      </w:r>
      <w:r w:rsidR="77CE8854" w:rsidRPr="005D6BCE">
        <w:rPr>
          <w:lang w:val="en-GB"/>
        </w:rPr>
        <w:t>.</w:t>
      </w:r>
    </w:p>
    <w:p w14:paraId="221167AD" w14:textId="31E94F34" w:rsidR="004D45E7" w:rsidRPr="005D6BCE" w:rsidRDefault="004D45E7" w:rsidP="222E42F8">
      <w:pPr>
        <w:rPr>
          <w:lang w:val="en-GB"/>
        </w:rPr>
      </w:pPr>
    </w:p>
    <w:p w14:paraId="5E905DF2" w14:textId="46EE2C22" w:rsidR="006F0A66" w:rsidRPr="005D6BCE" w:rsidRDefault="006F0A66" w:rsidP="222E42F8">
      <w:pPr>
        <w:rPr>
          <w:lang w:val="en-GB"/>
        </w:rPr>
      </w:pPr>
      <w:r w:rsidRPr="005D6BCE">
        <w:rPr>
          <w:lang w:val="en-GB"/>
        </w:rPr>
        <w:t xml:space="preserve">The TEN section provided the EESC's overall perspective on the Fit for 55 package in its opinion on  </w:t>
      </w:r>
      <w:r w:rsidRPr="005D6BCE">
        <w:rPr>
          <w:i/>
          <w:iCs/>
          <w:lang w:val="en-GB"/>
        </w:rPr>
        <w:t>Fit for 55: delivering the EU's 2030 Climate Target on the way to climate neutrality</w:t>
      </w:r>
      <w:r w:rsidRPr="005D6BCE">
        <w:rPr>
          <w:lang w:val="en-GB"/>
        </w:rPr>
        <w:t xml:space="preserve"> stressing that in transiting towards a climate</w:t>
      </w:r>
      <w:r w:rsidR="00570253">
        <w:rPr>
          <w:lang w:val="en-GB"/>
        </w:rPr>
        <w:t>-</w:t>
      </w:r>
      <w:r w:rsidRPr="005D6BCE">
        <w:rPr>
          <w:lang w:val="en-GB"/>
        </w:rPr>
        <w:t>neutral society, Europe needs to embark on a model that is just and sustainable from an economic, social and environmental viewpoint. </w:t>
      </w:r>
    </w:p>
    <w:p w14:paraId="0247D2A1" w14:textId="77777777" w:rsidR="006F0A66" w:rsidRPr="005D6BCE" w:rsidRDefault="006F0A66" w:rsidP="222E42F8">
      <w:pPr>
        <w:rPr>
          <w:lang w:val="en-GB"/>
        </w:rPr>
      </w:pPr>
    </w:p>
    <w:p w14:paraId="5EFB66FA" w14:textId="770733B3" w:rsidR="003C5B4E" w:rsidRPr="005D6BCE" w:rsidRDefault="5A93513F" w:rsidP="222E42F8">
      <w:pPr>
        <w:rPr>
          <w:lang w:val="en-GB"/>
        </w:rPr>
      </w:pPr>
      <w:r w:rsidRPr="005D6BCE">
        <w:rPr>
          <w:lang w:val="en-GB"/>
        </w:rPr>
        <w:t xml:space="preserve">The Russian invasion of Ukraine was tackled in the opinion on </w:t>
      </w:r>
      <w:r w:rsidRPr="005D6BCE">
        <w:rPr>
          <w:i/>
          <w:iCs/>
          <w:lang w:val="en-GB"/>
        </w:rPr>
        <w:t>Solidarity Lanes EU-Ukraine</w:t>
      </w:r>
      <w:r w:rsidRPr="005D6BCE">
        <w:rPr>
          <w:lang w:val="en-GB"/>
        </w:rPr>
        <w:t xml:space="preserve"> highlighting the urgent need to assist Ukraine, but also in </w:t>
      </w:r>
      <w:r w:rsidRPr="005D6BCE">
        <w:rPr>
          <w:i/>
          <w:iCs/>
          <w:lang w:val="en-GB"/>
        </w:rPr>
        <w:t>Amended Revision of the TEN-T and Rail Freight Corridor Regulation</w:t>
      </w:r>
      <w:r w:rsidRPr="005D6BCE">
        <w:rPr>
          <w:lang w:val="en-GB"/>
        </w:rPr>
        <w:t xml:space="preserve">, where </w:t>
      </w:r>
      <w:r w:rsidR="0081678E" w:rsidRPr="005D6BCE">
        <w:rPr>
          <w:lang w:val="en-GB"/>
        </w:rPr>
        <w:t xml:space="preserve">the EESC </w:t>
      </w:r>
      <w:r w:rsidR="00604B19" w:rsidRPr="005D6BCE">
        <w:rPr>
          <w:lang w:val="en-GB"/>
        </w:rPr>
        <w:t xml:space="preserve">welcomes </w:t>
      </w:r>
      <w:r w:rsidR="0081678E" w:rsidRPr="005D6BCE">
        <w:rPr>
          <w:lang w:val="en-GB"/>
        </w:rPr>
        <w:t xml:space="preserve">that </w:t>
      </w:r>
      <w:r w:rsidR="3223A82E" w:rsidRPr="005D6BCE">
        <w:rPr>
          <w:lang w:val="en-GB"/>
        </w:rPr>
        <w:t xml:space="preserve">the </w:t>
      </w:r>
      <w:r w:rsidRPr="005D6BCE">
        <w:rPr>
          <w:lang w:val="en-GB"/>
        </w:rPr>
        <w:t>extension of TEN-T core network corridors in Russia and Bel</w:t>
      </w:r>
      <w:r w:rsidR="004B45F2">
        <w:rPr>
          <w:lang w:val="en-GB"/>
        </w:rPr>
        <w:t>a</w:t>
      </w:r>
      <w:r w:rsidRPr="005D6BCE">
        <w:rPr>
          <w:lang w:val="en-GB"/>
        </w:rPr>
        <w:t xml:space="preserve">rus </w:t>
      </w:r>
      <w:r w:rsidR="0081678E" w:rsidRPr="005D6BCE">
        <w:rPr>
          <w:lang w:val="en-GB"/>
        </w:rPr>
        <w:t xml:space="preserve">is </w:t>
      </w:r>
      <w:r w:rsidR="00570253">
        <w:rPr>
          <w:lang w:val="en-GB"/>
        </w:rPr>
        <w:t xml:space="preserve">being </w:t>
      </w:r>
      <w:r w:rsidRPr="005D6BCE">
        <w:rPr>
          <w:lang w:val="en-GB"/>
        </w:rPr>
        <w:t xml:space="preserve">replaced by corridors </w:t>
      </w:r>
      <w:r w:rsidR="3DBE08F9" w:rsidRPr="005D6BCE">
        <w:rPr>
          <w:lang w:val="en-GB"/>
        </w:rPr>
        <w:t xml:space="preserve">in </w:t>
      </w:r>
      <w:r w:rsidRPr="005D6BCE">
        <w:rPr>
          <w:lang w:val="en-GB"/>
        </w:rPr>
        <w:t>Ukraine and Moldova.</w:t>
      </w:r>
    </w:p>
    <w:p w14:paraId="78BA2F86" w14:textId="19BE1680" w:rsidR="006F0A66" w:rsidRPr="005D6BCE" w:rsidRDefault="006F0A66" w:rsidP="222E42F8">
      <w:pPr>
        <w:rPr>
          <w:lang w:val="en-GB"/>
        </w:rPr>
      </w:pPr>
    </w:p>
    <w:p w14:paraId="2B64A08F" w14:textId="327F3CDB" w:rsidR="006F0A66" w:rsidRPr="00C54CF9" w:rsidRDefault="006F0A66" w:rsidP="006F0A66">
      <w:pPr>
        <w:rPr>
          <w:lang w:val="en-GB"/>
        </w:rPr>
      </w:pPr>
      <w:r w:rsidRPr="005D6BCE">
        <w:rPr>
          <w:lang w:val="en-GB"/>
        </w:rPr>
        <w:t>The TEN section established an excellent cooperation with the European Union Aviation Safety Agency (EASA)</w:t>
      </w:r>
      <w:r w:rsidR="00570253">
        <w:rPr>
          <w:lang w:val="en-GB"/>
        </w:rPr>
        <w:t>,</w:t>
      </w:r>
      <w:r w:rsidRPr="005D6BCE">
        <w:rPr>
          <w:lang w:val="en-GB"/>
        </w:rPr>
        <w:t xml:space="preserve"> and in February 2023 TEN </w:t>
      </w:r>
      <w:r w:rsidR="00570253">
        <w:rPr>
          <w:lang w:val="en-GB"/>
        </w:rPr>
        <w:t>b</w:t>
      </w:r>
      <w:r w:rsidRPr="005D6BCE">
        <w:rPr>
          <w:lang w:val="en-GB"/>
        </w:rPr>
        <w:t xml:space="preserve">ureau </w:t>
      </w:r>
      <w:r w:rsidR="00570253">
        <w:rPr>
          <w:lang w:val="en-GB"/>
        </w:rPr>
        <w:t>m</w:t>
      </w:r>
      <w:r w:rsidRPr="005D6BCE">
        <w:rPr>
          <w:lang w:val="en-GB"/>
        </w:rPr>
        <w:t>embers visited the Agency in Cologne</w:t>
      </w:r>
      <w:r w:rsidR="00570253">
        <w:rPr>
          <w:lang w:val="en-GB"/>
        </w:rPr>
        <w:t>,</w:t>
      </w:r>
      <w:r w:rsidRPr="00C54CF9">
        <w:rPr>
          <w:lang w:val="en-GB"/>
        </w:rPr>
        <w:t xml:space="preserve"> where </w:t>
      </w:r>
      <w:r w:rsidRPr="005D6BCE">
        <w:rPr>
          <w:lang w:val="en-GB"/>
        </w:rPr>
        <w:t xml:space="preserve">an exchange of views </w:t>
      </w:r>
      <w:r w:rsidR="00570253" w:rsidRPr="003274AF">
        <w:rPr>
          <w:lang w:val="en-GB"/>
        </w:rPr>
        <w:t>took place</w:t>
      </w:r>
      <w:r w:rsidR="00570253" w:rsidRPr="00570253">
        <w:rPr>
          <w:lang w:val="en-GB"/>
        </w:rPr>
        <w:t xml:space="preserve"> </w:t>
      </w:r>
      <w:r w:rsidRPr="005D6BCE">
        <w:rPr>
          <w:lang w:val="en-GB"/>
        </w:rPr>
        <w:t>on the Drone Strategy 2.0.</w:t>
      </w:r>
    </w:p>
    <w:p w14:paraId="2C71F8DA" w14:textId="77777777" w:rsidR="006F0A66" w:rsidRPr="005D6BCE" w:rsidRDefault="006F0A66" w:rsidP="222E42F8">
      <w:pPr>
        <w:rPr>
          <w:lang w:val="en-GB"/>
        </w:rPr>
      </w:pPr>
    </w:p>
    <w:p w14:paraId="7AEB80A7" w14:textId="383AA1B6" w:rsidR="003C5B4E" w:rsidRPr="005D6BCE" w:rsidRDefault="003C5B4E" w:rsidP="222E42F8">
      <w:pPr>
        <w:spacing w:line="240" w:lineRule="auto"/>
        <w:rPr>
          <w:rFonts w:asciiTheme="majorHAnsi" w:hAnsiTheme="majorHAnsi" w:cstheme="minorBidi"/>
          <w:color w:val="0070C0"/>
          <w:sz w:val="32"/>
          <w:szCs w:val="32"/>
          <w:lang w:val="en-GB"/>
        </w:rPr>
      </w:pPr>
    </w:p>
    <w:p w14:paraId="37B373F4" w14:textId="05ABFA72" w:rsidR="003C5B4E" w:rsidRPr="005D6BCE" w:rsidRDefault="003C5B4E" w:rsidP="003C5B4E">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Fourth priority of the section</w:t>
      </w:r>
      <w:r w:rsidR="00AC4EAA" w:rsidRPr="005D6BCE">
        <w:rPr>
          <w:rFonts w:asciiTheme="majorHAnsi" w:hAnsiTheme="majorHAnsi" w:cstheme="minorHAnsi"/>
          <w:color w:val="0070C0"/>
          <w:sz w:val="32"/>
          <w:lang w:val="en-GB"/>
        </w:rPr>
        <w:t>: Information society: cybersecurity and data sovereignty as key components of the EU's strategic autonomy</w:t>
      </w:r>
    </w:p>
    <w:p w14:paraId="1955EF1E" w14:textId="348CA6A2" w:rsidR="00885E57" w:rsidRPr="005D6BCE" w:rsidRDefault="003C5B4E" w:rsidP="00885E57">
      <w:pPr>
        <w:spacing w:line="240"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66432" behindDoc="0" locked="0" layoutInCell="1" allowOverlap="1" wp14:anchorId="41FB5604" wp14:editId="621FBD47">
                <wp:simplePos x="0" y="0"/>
                <wp:positionH relativeFrom="column">
                  <wp:posOffset>13969</wp:posOffset>
                </wp:positionH>
                <wp:positionV relativeFrom="paragraph">
                  <wp:posOffset>50027</wp:posOffset>
                </wp:positionV>
                <wp:extent cx="5661329" cy="15903"/>
                <wp:effectExtent l="0" t="0" r="34925" b="22225"/>
                <wp:wrapNone/>
                <wp:docPr id="9" name="Straight Connector 9"/>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BD95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" strokecolor="#5b9bd5 [3204]" strokeweight=".5pt">
                <v:stroke joinstyle="miter"/>
              </v:line>
            </w:pict>
          </mc:Fallback>
        </mc:AlternateContent>
      </w:r>
    </w:p>
    <w:p w14:paraId="1986F3FA" w14:textId="19224E6E" w:rsidR="003C5B4E" w:rsidRPr="005D6BCE" w:rsidRDefault="3190C155" w:rsidP="222E42F8">
      <w:pPr>
        <w:spacing w:line="276" w:lineRule="auto"/>
        <w:rPr>
          <w:lang w:val="en-GB"/>
        </w:rPr>
      </w:pPr>
      <w:r w:rsidRPr="005D6BCE">
        <w:rPr>
          <w:lang w:val="en-GB"/>
        </w:rPr>
        <w:t xml:space="preserve">The TEN section endorsed the deployment of 5G networks and the launch of commercial services in Europe, highlighting also the issues linked to its social and environmental components. In the field of cybersecurity, the section </w:t>
      </w:r>
      <w:r w:rsidR="00570253">
        <w:rPr>
          <w:lang w:val="en-GB"/>
        </w:rPr>
        <w:t>made</w:t>
      </w:r>
      <w:r w:rsidR="00570253" w:rsidRPr="005D6BCE">
        <w:rPr>
          <w:lang w:val="en-GB"/>
        </w:rPr>
        <w:t xml:space="preserve"> </w:t>
      </w:r>
      <w:r w:rsidRPr="005D6BCE">
        <w:rPr>
          <w:lang w:val="en-GB"/>
        </w:rPr>
        <w:t xml:space="preserve">an important contribution to the renewed European Union cybersecurity strategy, which included a review of the Directive on the security of network and information systems (the NIS Directive). It was considered essential to reach a coordinated and consistent approach to cybersecurity for critical technologies and networks in the European Union, especially in </w:t>
      </w:r>
      <w:r w:rsidR="00570253">
        <w:rPr>
          <w:lang w:val="en-GB"/>
        </w:rPr>
        <w:t xml:space="preserve">the </w:t>
      </w:r>
      <w:r w:rsidR="00491478">
        <w:rPr>
          <w:lang w:val="en-GB"/>
        </w:rPr>
        <w:t>context</w:t>
      </w:r>
      <w:r w:rsidR="00491478" w:rsidRPr="005D6BCE">
        <w:rPr>
          <w:lang w:val="en-GB"/>
        </w:rPr>
        <w:t xml:space="preserve"> </w:t>
      </w:r>
      <w:r w:rsidRPr="005D6BCE">
        <w:rPr>
          <w:lang w:val="en-GB"/>
        </w:rPr>
        <w:t>of cyberattacks engineered by a wide range of threat actors.</w:t>
      </w:r>
    </w:p>
    <w:p w14:paraId="2603D223" w14:textId="77777777" w:rsidR="0081678E" w:rsidRPr="005D6BCE" w:rsidRDefault="0081678E" w:rsidP="222E42F8">
      <w:pPr>
        <w:spacing w:line="276" w:lineRule="auto"/>
        <w:rPr>
          <w:lang w:val="en-GB"/>
        </w:rPr>
      </w:pPr>
    </w:p>
    <w:p w14:paraId="767043C6" w14:textId="0E1F69DE" w:rsidR="003C5B4E" w:rsidRPr="005D6BCE" w:rsidRDefault="3283BC21" w:rsidP="222E42F8">
      <w:pPr>
        <w:spacing w:line="276" w:lineRule="auto"/>
        <w:rPr>
          <w:lang w:val="en-GB"/>
        </w:rPr>
      </w:pPr>
      <w:r w:rsidRPr="005D6BCE">
        <w:rPr>
          <w:lang w:val="en-GB"/>
        </w:rPr>
        <w:t xml:space="preserve">In the field of digital transformation, the TEN </w:t>
      </w:r>
      <w:r w:rsidR="00C57614" w:rsidRPr="005D6BCE">
        <w:rPr>
          <w:lang w:val="en-GB"/>
        </w:rPr>
        <w:t>s</w:t>
      </w:r>
      <w:r w:rsidRPr="005D6BCE">
        <w:rPr>
          <w:lang w:val="en-GB"/>
        </w:rPr>
        <w:t>ection focused on the European strategy for data</w:t>
      </w:r>
      <w:r w:rsidR="005843A4">
        <w:rPr>
          <w:lang w:val="en-GB"/>
        </w:rPr>
        <w:t>, which</w:t>
      </w:r>
      <w:r w:rsidRPr="005D6BCE">
        <w:rPr>
          <w:lang w:val="en-GB"/>
        </w:rPr>
        <w:t xml:space="preserve"> aim</w:t>
      </w:r>
      <w:r w:rsidR="005843A4">
        <w:rPr>
          <w:lang w:val="en-GB"/>
        </w:rPr>
        <w:t xml:space="preserve">s </w:t>
      </w:r>
      <w:r w:rsidRPr="005D6BCE">
        <w:rPr>
          <w:lang w:val="en-GB"/>
        </w:rPr>
        <w:t xml:space="preserve">at </w:t>
      </w:r>
      <w:r w:rsidR="005843A4">
        <w:rPr>
          <w:lang w:val="en-GB"/>
        </w:rPr>
        <w:t xml:space="preserve">the </w:t>
      </w:r>
      <w:r w:rsidRPr="005D6BCE">
        <w:rPr>
          <w:lang w:val="en-GB"/>
        </w:rPr>
        <w:t>creation of a dynamic and advanced data market. The EESC supported high standards of data protection, cross-sectoral and responsible data sharing which respects intellectual property rights, sector-specific governance, greater control of data by individuals and</w:t>
      </w:r>
      <w:r w:rsidR="005843A4">
        <w:rPr>
          <w:lang w:val="en-GB"/>
        </w:rPr>
        <w:t xml:space="preserve"> a</w:t>
      </w:r>
      <w:r w:rsidRPr="005D6BCE">
        <w:rPr>
          <w:lang w:val="en-GB"/>
        </w:rPr>
        <w:t xml:space="preserve"> "human-in-command" approach. At the same time, the TEN </w:t>
      </w:r>
      <w:r w:rsidR="00C57614" w:rsidRPr="005D6BCE">
        <w:rPr>
          <w:lang w:val="en-GB"/>
        </w:rPr>
        <w:t>s</w:t>
      </w:r>
      <w:r w:rsidRPr="005D6BCE">
        <w:rPr>
          <w:lang w:val="en-GB"/>
        </w:rPr>
        <w:t xml:space="preserve">ection went beyond regulatory activity in its own-initiative opinion on </w:t>
      </w:r>
      <w:r w:rsidRPr="005D6BCE">
        <w:rPr>
          <w:i/>
          <w:iCs/>
          <w:lang w:val="en-GB"/>
        </w:rPr>
        <w:t>Digital identity, data sovereignty and just digital transition</w:t>
      </w:r>
      <w:r w:rsidRPr="005D6BCE">
        <w:rPr>
          <w:lang w:val="en-GB"/>
        </w:rPr>
        <w:t xml:space="preserve">, </w:t>
      </w:r>
      <w:r w:rsidR="005843A4">
        <w:rPr>
          <w:lang w:val="en-GB"/>
        </w:rPr>
        <w:t>calling</w:t>
      </w:r>
      <w:r w:rsidR="005843A4" w:rsidRPr="005D6BCE">
        <w:rPr>
          <w:lang w:val="en-GB"/>
        </w:rPr>
        <w:t xml:space="preserve"> </w:t>
      </w:r>
      <w:r w:rsidRPr="005D6BCE">
        <w:rPr>
          <w:lang w:val="en-GB"/>
        </w:rPr>
        <w:t>for full respect for EU fundamental values and rights, European technological sovereignty, and coexistence of digital and traditional tools and services.</w:t>
      </w:r>
    </w:p>
    <w:p w14:paraId="7674941B" w14:textId="77777777" w:rsidR="0081678E" w:rsidRPr="005D6BCE" w:rsidRDefault="0081678E" w:rsidP="222E42F8">
      <w:pPr>
        <w:spacing w:line="276" w:lineRule="auto"/>
        <w:rPr>
          <w:lang w:val="en-GB"/>
        </w:rPr>
      </w:pPr>
    </w:p>
    <w:p w14:paraId="43D72F64" w14:textId="560233B4" w:rsidR="003C5B4E" w:rsidRPr="005D6BCE" w:rsidRDefault="3190C155" w:rsidP="222E42F8">
      <w:pPr>
        <w:spacing w:line="276" w:lineRule="auto"/>
        <w:rPr>
          <w:lang w:val="en-GB"/>
        </w:rPr>
      </w:pPr>
      <w:r w:rsidRPr="005D6BCE">
        <w:rPr>
          <w:lang w:val="en-GB"/>
        </w:rPr>
        <w:t xml:space="preserve">The section also focused on the new media and audiovisual action plan proposed by the European Commission in the framework of the Audiovisual Media Services Directive (AVMSD), </w:t>
      </w:r>
      <w:r w:rsidR="005843A4">
        <w:rPr>
          <w:lang w:val="en-GB"/>
        </w:rPr>
        <w:t xml:space="preserve">which </w:t>
      </w:r>
      <w:r w:rsidRPr="005D6BCE">
        <w:rPr>
          <w:lang w:val="en-GB"/>
        </w:rPr>
        <w:t>deal</w:t>
      </w:r>
      <w:r w:rsidR="005843A4">
        <w:rPr>
          <w:lang w:val="en-GB"/>
        </w:rPr>
        <w:t>s</w:t>
      </w:r>
      <w:r w:rsidRPr="005D6BCE">
        <w:rPr>
          <w:lang w:val="en-GB"/>
        </w:rPr>
        <w:t xml:space="preserve"> with all audiovisual media, both traditional TV broadcasts and on-demand services</w:t>
      </w:r>
      <w:r w:rsidR="005843A4">
        <w:rPr>
          <w:lang w:val="en-GB"/>
        </w:rPr>
        <w:t>,</w:t>
      </w:r>
      <w:r w:rsidR="0001546B" w:rsidRPr="005D6BCE">
        <w:rPr>
          <w:lang w:val="en-GB"/>
        </w:rPr>
        <w:t xml:space="preserve"> and </w:t>
      </w:r>
      <w:r w:rsidRPr="005D6BCE">
        <w:rPr>
          <w:lang w:val="en-GB"/>
        </w:rPr>
        <w:t xml:space="preserve">the section contributed to the legislative proposal for the </w:t>
      </w:r>
      <w:r w:rsidRPr="005D6BCE">
        <w:rPr>
          <w:i/>
          <w:iCs/>
          <w:lang w:val="en-GB"/>
        </w:rPr>
        <w:t>Union Secure Connectivity Programme for the period 2023-2027</w:t>
      </w:r>
      <w:r w:rsidR="0001546B" w:rsidRPr="005D6BCE">
        <w:rPr>
          <w:i/>
          <w:iCs/>
          <w:lang w:val="en-GB"/>
        </w:rPr>
        <w:t>.</w:t>
      </w:r>
    </w:p>
    <w:p w14:paraId="68B147D9" w14:textId="75197450" w:rsidR="222E42F8" w:rsidRPr="005D6BCE" w:rsidRDefault="222E42F8" w:rsidP="222E42F8">
      <w:pPr>
        <w:spacing w:line="276" w:lineRule="auto"/>
        <w:rPr>
          <w:sz w:val="24"/>
          <w:szCs w:val="24"/>
          <w:lang w:val="en-GB"/>
        </w:rPr>
      </w:pPr>
    </w:p>
    <w:p w14:paraId="6C9010DA" w14:textId="77777777" w:rsidR="00EA7BB0" w:rsidRPr="005D6BCE" w:rsidRDefault="00EA7BB0" w:rsidP="222E42F8">
      <w:pPr>
        <w:spacing w:line="276" w:lineRule="auto"/>
        <w:rPr>
          <w:sz w:val="24"/>
          <w:szCs w:val="24"/>
          <w:lang w:val="en-GB"/>
        </w:rPr>
      </w:pPr>
    </w:p>
    <w:p w14:paraId="3141DAC8" w14:textId="77777777" w:rsidR="003C5B4E" w:rsidRPr="005D6BCE" w:rsidRDefault="00131A9C" w:rsidP="003C5B4E">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Interinstitutional echo</w:t>
      </w:r>
    </w:p>
    <w:p w14:paraId="6FF82DBD" w14:textId="79EE7861" w:rsidR="222E42F8" w:rsidRPr="005D6BCE" w:rsidRDefault="003C5B4E" w:rsidP="00165EB3">
      <w:pPr>
        <w:spacing w:line="240"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68480" behindDoc="0" locked="0" layoutInCell="1" allowOverlap="1" wp14:anchorId="76AD4739" wp14:editId="70924E44">
                <wp:simplePos x="0" y="0"/>
                <wp:positionH relativeFrom="column">
                  <wp:posOffset>13969</wp:posOffset>
                </wp:positionH>
                <wp:positionV relativeFrom="paragraph">
                  <wp:posOffset>50027</wp:posOffset>
                </wp:positionV>
                <wp:extent cx="5661329" cy="15903"/>
                <wp:effectExtent l="0" t="0" r="34925" b="22225"/>
                <wp:wrapNone/>
                <wp:docPr id="10" name="Straight Connector 10"/>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0038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V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5E9Tlh6o8eE&#10;Qh+HxPbeOXLQI6MgOTWG2BJg7w54OcVwwCx7UmjzlwSxqbh7XtyFKTFJl7ebTXOzvuNMUqy5vatv&#10;Mmf1DA4Y00fwluVNx412WbxoxelTTHPqNYVwuZm5fNmls4GcbNxXUCSICjYFXUYJ9gbZSdAQCCnB&#10;peZSumRnmNLGLMD678BLfoZCGbN/AS+IUtm7tICtdh7/VD1N15bVnH91YNadLXjy/bk8TLGG5qWY&#10;e5ntPJAvzwX+/AfufgI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CUNvV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37F6628F" w14:textId="194E37EE" w:rsidR="7227C154" w:rsidRPr="00C54CF9" w:rsidRDefault="7227C154" w:rsidP="00165EB3">
      <w:pPr>
        <w:spacing w:line="276" w:lineRule="auto"/>
        <w:rPr>
          <w:rFonts w:eastAsia="Calibri"/>
          <w:color w:val="000000" w:themeColor="text1"/>
          <w:lang w:val="en-GB"/>
        </w:rPr>
      </w:pPr>
      <w:r w:rsidRPr="005D6BCE">
        <w:rPr>
          <w:rFonts w:eastAsia="Calibri"/>
          <w:color w:val="000000" w:themeColor="text1"/>
          <w:lang w:val="en-GB"/>
        </w:rPr>
        <w:t xml:space="preserve">The TEN Section </w:t>
      </w:r>
      <w:r w:rsidR="005843A4">
        <w:rPr>
          <w:rFonts w:eastAsia="Calibri"/>
          <w:color w:val="000000" w:themeColor="text1"/>
          <w:lang w:val="en-GB"/>
        </w:rPr>
        <w:t xml:space="preserve">enjoyed </w:t>
      </w:r>
      <w:r w:rsidR="008D58EF" w:rsidRPr="005D6BCE">
        <w:rPr>
          <w:rFonts w:eastAsia="Calibri"/>
          <w:color w:val="000000" w:themeColor="text1"/>
          <w:lang w:val="en-GB"/>
        </w:rPr>
        <w:t>good cooperation</w:t>
      </w:r>
      <w:r w:rsidRPr="005D6BCE">
        <w:rPr>
          <w:rFonts w:eastAsia="Calibri"/>
          <w:color w:val="000000" w:themeColor="text1"/>
          <w:lang w:val="en-GB"/>
        </w:rPr>
        <w:t xml:space="preserve"> with the </w:t>
      </w:r>
      <w:r w:rsidRPr="005D6BCE">
        <w:rPr>
          <w:rFonts w:eastAsia="Calibri"/>
          <w:b/>
          <w:bCs/>
          <w:color w:val="000000" w:themeColor="text1"/>
          <w:lang w:val="en-GB"/>
        </w:rPr>
        <w:t xml:space="preserve">rotating </w:t>
      </w:r>
      <w:r w:rsidR="008D58EF" w:rsidRPr="005D6BCE">
        <w:rPr>
          <w:rFonts w:eastAsia="Calibri"/>
          <w:b/>
          <w:bCs/>
          <w:color w:val="000000" w:themeColor="text1"/>
          <w:lang w:val="en-GB"/>
        </w:rPr>
        <w:t>p</w:t>
      </w:r>
      <w:r w:rsidRPr="005D6BCE">
        <w:rPr>
          <w:rFonts w:eastAsia="Calibri"/>
          <w:b/>
          <w:bCs/>
          <w:color w:val="000000" w:themeColor="text1"/>
          <w:lang w:val="en-GB"/>
        </w:rPr>
        <w:t>residenc</w:t>
      </w:r>
      <w:r w:rsidR="008D58EF" w:rsidRPr="005D6BCE">
        <w:rPr>
          <w:rFonts w:eastAsia="Calibri"/>
          <w:b/>
          <w:bCs/>
          <w:color w:val="000000" w:themeColor="text1"/>
          <w:lang w:val="en-GB"/>
        </w:rPr>
        <w:t>ies</w:t>
      </w:r>
      <w:r w:rsidRPr="005D6BCE">
        <w:rPr>
          <w:rFonts w:eastAsia="Calibri"/>
          <w:b/>
          <w:bCs/>
          <w:color w:val="000000" w:themeColor="text1"/>
          <w:lang w:val="en-GB"/>
        </w:rPr>
        <w:t xml:space="preserve"> of the Council of the EU</w:t>
      </w:r>
      <w:r w:rsidRPr="005D6BCE">
        <w:rPr>
          <w:rFonts w:eastAsia="Calibri"/>
          <w:color w:val="000000" w:themeColor="text1"/>
          <w:lang w:val="en-GB"/>
        </w:rPr>
        <w:t xml:space="preserve">. </w:t>
      </w:r>
      <w:r w:rsidR="008D58EF" w:rsidRPr="005D6BCE">
        <w:rPr>
          <w:rFonts w:eastAsia="Calibri"/>
          <w:color w:val="000000" w:themeColor="text1"/>
          <w:lang w:val="en-GB"/>
        </w:rPr>
        <w:t>T</w:t>
      </w:r>
      <w:r w:rsidRPr="005D6BCE">
        <w:rPr>
          <w:rFonts w:eastAsia="Calibri"/>
          <w:color w:val="000000" w:themeColor="text1"/>
          <w:lang w:val="en-GB"/>
        </w:rPr>
        <w:t xml:space="preserve">he </w:t>
      </w:r>
      <w:r w:rsidR="008D58EF" w:rsidRPr="005D6BCE">
        <w:rPr>
          <w:rFonts w:eastAsia="Calibri"/>
          <w:color w:val="000000" w:themeColor="text1"/>
          <w:lang w:val="en-GB"/>
        </w:rPr>
        <w:t xml:space="preserve">EESC </w:t>
      </w:r>
      <w:r w:rsidRPr="005D6BCE">
        <w:rPr>
          <w:rFonts w:eastAsia="Calibri"/>
          <w:color w:val="000000" w:themeColor="text1"/>
          <w:lang w:val="en-GB"/>
        </w:rPr>
        <w:t xml:space="preserve">exploratory opinion </w:t>
      </w:r>
      <w:r w:rsidR="008D58EF" w:rsidRPr="005D6BCE">
        <w:rPr>
          <w:rFonts w:eastAsia="Calibri"/>
          <w:color w:val="000000" w:themeColor="text1"/>
          <w:lang w:val="en-GB"/>
        </w:rPr>
        <w:t>on</w:t>
      </w:r>
      <w:r w:rsidRPr="005D6BCE">
        <w:rPr>
          <w:rFonts w:eastAsia="Calibri"/>
          <w:color w:val="000000" w:themeColor="text1"/>
          <w:lang w:val="en-GB"/>
        </w:rPr>
        <w:t xml:space="preserve"> </w:t>
      </w:r>
      <w:r w:rsidRPr="005D6BCE">
        <w:rPr>
          <w:rFonts w:eastAsia="Calibri"/>
          <w:i/>
          <w:iCs/>
          <w:color w:val="000000" w:themeColor="text1"/>
          <w:lang w:val="en-GB"/>
        </w:rPr>
        <w:t>The Single European Railway Area</w:t>
      </w:r>
      <w:r w:rsidR="008D58EF" w:rsidRPr="005D6BCE">
        <w:rPr>
          <w:rFonts w:eastAsia="Calibri"/>
          <w:color w:val="000000" w:themeColor="text1"/>
          <w:lang w:val="en-GB"/>
        </w:rPr>
        <w:t>, elaborated at the request of the Portuguese Presidency of the Council</w:t>
      </w:r>
      <w:r w:rsidR="0081678E" w:rsidRPr="005D6BCE">
        <w:rPr>
          <w:rFonts w:eastAsia="Calibri"/>
          <w:color w:val="000000" w:themeColor="text1"/>
          <w:lang w:val="en-GB"/>
        </w:rPr>
        <w:t>,</w:t>
      </w:r>
      <w:r w:rsidR="008D58EF" w:rsidRPr="005D6BCE">
        <w:rPr>
          <w:rFonts w:eastAsia="Calibri"/>
          <w:color w:val="000000" w:themeColor="text1"/>
          <w:lang w:val="en-GB"/>
        </w:rPr>
        <w:t xml:space="preserve"> </w:t>
      </w:r>
      <w:r w:rsidRPr="005D6BCE">
        <w:rPr>
          <w:rFonts w:eastAsia="Calibri"/>
          <w:color w:val="000000" w:themeColor="text1"/>
          <w:lang w:val="en-GB"/>
        </w:rPr>
        <w:t>was presented at the Council Working Party on Land Transport on 16 April 2021.</w:t>
      </w:r>
      <w:r w:rsidR="008D58EF" w:rsidRPr="005D6BCE">
        <w:rPr>
          <w:rFonts w:eastAsia="Calibri"/>
          <w:color w:val="000000" w:themeColor="text1"/>
          <w:lang w:val="en-GB"/>
        </w:rPr>
        <w:t xml:space="preserve"> The 2021 edition of the </w:t>
      </w:r>
      <w:r w:rsidR="007643EA" w:rsidRPr="005D6BCE">
        <w:rPr>
          <w:rFonts w:eastAsia="Calibri"/>
          <w:color w:val="000000" w:themeColor="text1"/>
          <w:lang w:val="en-GB"/>
        </w:rPr>
        <w:t>e</w:t>
      </w:r>
      <w:r w:rsidR="008D58EF" w:rsidRPr="005D6BCE">
        <w:rPr>
          <w:rFonts w:eastAsia="Calibri"/>
          <w:color w:val="000000" w:themeColor="text1"/>
          <w:lang w:val="en-GB"/>
        </w:rPr>
        <w:t xml:space="preserve">nergy poverty conference was </w:t>
      </w:r>
      <w:r w:rsidR="00E84F7F" w:rsidRPr="005D6BCE">
        <w:rPr>
          <w:rFonts w:eastAsia="Calibri"/>
          <w:color w:val="000000" w:themeColor="text1"/>
          <w:lang w:val="en-GB"/>
        </w:rPr>
        <w:t xml:space="preserve">an </w:t>
      </w:r>
      <w:r w:rsidR="008D58EF" w:rsidRPr="005D6BCE">
        <w:rPr>
          <w:rFonts w:eastAsia="Calibri"/>
          <w:color w:val="000000" w:themeColor="text1"/>
          <w:lang w:val="en-GB"/>
        </w:rPr>
        <w:t xml:space="preserve">integral part of the French Presidency </w:t>
      </w:r>
      <w:r w:rsidR="00E84F7F" w:rsidRPr="005D6BCE">
        <w:rPr>
          <w:rFonts w:eastAsia="Calibri"/>
          <w:color w:val="000000" w:themeColor="text1"/>
          <w:lang w:val="en-GB"/>
        </w:rPr>
        <w:t>programme</w:t>
      </w:r>
      <w:r w:rsidR="005843A4">
        <w:rPr>
          <w:rFonts w:eastAsia="Calibri"/>
          <w:color w:val="000000" w:themeColor="text1"/>
          <w:lang w:val="en-GB"/>
        </w:rPr>
        <w:t>,</w:t>
      </w:r>
      <w:r w:rsidR="008D58EF" w:rsidRPr="005D6BCE">
        <w:rPr>
          <w:rFonts w:eastAsia="Calibri"/>
          <w:color w:val="000000" w:themeColor="text1"/>
          <w:lang w:val="en-GB"/>
        </w:rPr>
        <w:t xml:space="preserve"> with the participation </w:t>
      </w:r>
      <w:r w:rsidR="00455500" w:rsidRPr="005D6BCE">
        <w:rPr>
          <w:rFonts w:eastAsia="Calibri"/>
          <w:color w:val="000000" w:themeColor="text1"/>
          <w:lang w:val="en-GB"/>
        </w:rPr>
        <w:t>of Emmanuelle</w:t>
      </w:r>
      <w:r w:rsidR="000F40E4" w:rsidRPr="00C54CF9">
        <w:rPr>
          <w:rFonts w:eastAsia="Calibri"/>
          <w:color w:val="000000" w:themeColor="text1"/>
          <w:lang w:val="en-GB"/>
        </w:rPr>
        <w:t xml:space="preserve"> Wargon, French Minister Delegate for Housing, attached to the Minister for Ecological Transition.</w:t>
      </w:r>
      <w:r w:rsidR="00455500" w:rsidRPr="00C54CF9">
        <w:rPr>
          <w:rFonts w:eastAsia="Calibri"/>
          <w:color w:val="000000" w:themeColor="text1"/>
          <w:lang w:val="en-GB"/>
        </w:rPr>
        <w:t xml:space="preserve"> Blaž Košorok, Slovenian State Secretary from the Ministry of Infrastructure also participated at this event on behalf of the Slovenian Presidency.</w:t>
      </w:r>
    </w:p>
    <w:p w14:paraId="72A584F1" w14:textId="77777777" w:rsidR="0081678E" w:rsidRPr="005D6BCE" w:rsidRDefault="0081678E" w:rsidP="00165EB3">
      <w:pPr>
        <w:spacing w:line="276" w:lineRule="auto"/>
        <w:rPr>
          <w:lang w:val="en-GB"/>
        </w:rPr>
      </w:pPr>
    </w:p>
    <w:p w14:paraId="06340BB1" w14:textId="1164F541" w:rsidR="007643EA" w:rsidRPr="005D6BCE" w:rsidRDefault="7227C154" w:rsidP="007643EA">
      <w:pPr>
        <w:spacing w:line="276" w:lineRule="auto"/>
        <w:rPr>
          <w:rFonts w:eastAsia="Calibri"/>
          <w:color w:val="000000" w:themeColor="text1"/>
          <w:lang w:val="en-GB"/>
        </w:rPr>
      </w:pPr>
      <w:r w:rsidRPr="005D6BCE">
        <w:rPr>
          <w:rFonts w:eastAsia="Calibri"/>
          <w:color w:val="000000" w:themeColor="text1"/>
          <w:lang w:val="en-GB"/>
        </w:rPr>
        <w:t xml:space="preserve">Regarding cooperation with the </w:t>
      </w:r>
      <w:r w:rsidRPr="005D6BCE">
        <w:rPr>
          <w:rFonts w:eastAsia="Calibri"/>
          <w:b/>
          <w:bCs/>
          <w:color w:val="000000" w:themeColor="text1"/>
          <w:lang w:val="en-GB"/>
        </w:rPr>
        <w:t>European Parliament</w:t>
      </w:r>
      <w:r w:rsidRPr="005D6BCE">
        <w:rPr>
          <w:rFonts w:eastAsia="Calibri"/>
          <w:color w:val="000000" w:themeColor="text1"/>
          <w:lang w:val="en-GB"/>
        </w:rPr>
        <w:t xml:space="preserve">, </w:t>
      </w:r>
      <w:r w:rsidR="00334E96" w:rsidRPr="005D6BCE">
        <w:rPr>
          <w:rFonts w:eastAsia="Calibri"/>
          <w:color w:val="000000" w:themeColor="text1"/>
          <w:lang w:val="en-GB"/>
        </w:rPr>
        <w:t>Mr Coulon, Rapporteur of TEN/757</w:t>
      </w:r>
      <w:r w:rsidR="00177794" w:rsidRPr="005D6BCE">
        <w:rPr>
          <w:rFonts w:eastAsia="Calibri"/>
          <w:color w:val="000000" w:themeColor="text1"/>
          <w:lang w:val="en-GB"/>
        </w:rPr>
        <w:t xml:space="preserve"> on the </w:t>
      </w:r>
      <w:r w:rsidR="00177794" w:rsidRPr="005D6BCE">
        <w:rPr>
          <w:rFonts w:eastAsia="Calibri"/>
          <w:i/>
          <w:iCs/>
          <w:color w:val="000000" w:themeColor="text1"/>
          <w:lang w:val="en-GB"/>
        </w:rPr>
        <w:t>New European Bauhaus</w:t>
      </w:r>
      <w:r w:rsidR="00177794" w:rsidRPr="005D6BCE">
        <w:rPr>
          <w:rFonts w:eastAsia="Calibri"/>
          <w:color w:val="000000" w:themeColor="text1"/>
          <w:lang w:val="en-GB"/>
        </w:rPr>
        <w:t xml:space="preserve"> (NEB)</w:t>
      </w:r>
      <w:r w:rsidR="00334E96" w:rsidRPr="005D6BCE">
        <w:rPr>
          <w:rFonts w:eastAsia="Calibri"/>
          <w:color w:val="000000" w:themeColor="text1"/>
          <w:lang w:val="en-GB"/>
        </w:rPr>
        <w:t xml:space="preserve">, presented the EESC's recommendations </w:t>
      </w:r>
      <w:r w:rsidR="00177794" w:rsidRPr="005D6BCE">
        <w:rPr>
          <w:rFonts w:eastAsia="Calibri"/>
          <w:color w:val="000000" w:themeColor="text1"/>
          <w:lang w:val="en-GB"/>
        </w:rPr>
        <w:t>on the initiative</w:t>
      </w:r>
      <w:r w:rsidR="00334E96" w:rsidRPr="005D6BCE">
        <w:rPr>
          <w:rFonts w:eastAsia="Calibri"/>
          <w:color w:val="000000" w:themeColor="text1"/>
          <w:lang w:val="en-GB"/>
        </w:rPr>
        <w:t xml:space="preserve"> in the presence of </w:t>
      </w:r>
      <w:r w:rsidR="00297615">
        <w:rPr>
          <w:rFonts w:eastAsia="Calibri"/>
          <w:color w:val="000000" w:themeColor="text1"/>
          <w:lang w:val="en-GB"/>
        </w:rPr>
        <w:t>c</w:t>
      </w:r>
      <w:r w:rsidR="00334E96" w:rsidRPr="005D6BCE">
        <w:rPr>
          <w:rFonts w:eastAsia="Calibri"/>
          <w:color w:val="000000" w:themeColor="text1"/>
          <w:lang w:val="en-GB"/>
        </w:rPr>
        <w:t xml:space="preserve">ommissioner Mariya Gabriel at the exchange of views on the NEB jointly organised by CULT and ITRE </w:t>
      </w:r>
      <w:r w:rsidR="00177794" w:rsidRPr="005D6BCE">
        <w:rPr>
          <w:rFonts w:eastAsia="Calibri"/>
          <w:color w:val="000000" w:themeColor="text1"/>
          <w:lang w:val="en-GB"/>
        </w:rPr>
        <w:t xml:space="preserve">in </w:t>
      </w:r>
      <w:r w:rsidR="00334E96" w:rsidRPr="005D6BCE">
        <w:rPr>
          <w:rFonts w:eastAsia="Calibri"/>
          <w:color w:val="000000" w:themeColor="text1"/>
          <w:lang w:val="en-GB"/>
        </w:rPr>
        <w:t>February 2021. T</w:t>
      </w:r>
      <w:r w:rsidRPr="005D6BCE">
        <w:rPr>
          <w:rFonts w:eastAsia="Calibri"/>
          <w:color w:val="000000" w:themeColor="text1"/>
          <w:lang w:val="en-GB"/>
        </w:rPr>
        <w:t xml:space="preserve">he </w:t>
      </w:r>
      <w:r w:rsidR="00177794" w:rsidRPr="005D6BCE">
        <w:rPr>
          <w:rFonts w:eastAsia="Calibri"/>
          <w:color w:val="000000" w:themeColor="text1"/>
          <w:lang w:val="en-GB"/>
        </w:rPr>
        <w:t xml:space="preserve">EESC </w:t>
      </w:r>
      <w:r w:rsidRPr="005D6BCE">
        <w:rPr>
          <w:rFonts w:eastAsia="Calibri"/>
          <w:color w:val="000000" w:themeColor="text1"/>
          <w:lang w:val="en-GB"/>
        </w:rPr>
        <w:t xml:space="preserve">opinion on the </w:t>
      </w:r>
      <w:r w:rsidRPr="005D6BCE">
        <w:rPr>
          <w:rFonts w:eastAsia="Calibri"/>
          <w:i/>
          <w:iCs/>
          <w:color w:val="000000" w:themeColor="text1"/>
          <w:lang w:val="en-GB"/>
        </w:rPr>
        <w:t>Revision of the TEN-T</w:t>
      </w:r>
      <w:r w:rsidRPr="005D6BCE">
        <w:rPr>
          <w:rFonts w:eastAsia="Calibri"/>
          <w:color w:val="000000" w:themeColor="text1"/>
          <w:lang w:val="en-GB"/>
        </w:rPr>
        <w:t xml:space="preserve"> </w:t>
      </w:r>
      <w:r w:rsidRPr="005D6BCE">
        <w:rPr>
          <w:rFonts w:eastAsia="Calibri"/>
          <w:i/>
          <w:iCs/>
          <w:color w:val="000000" w:themeColor="text1"/>
          <w:lang w:val="en-GB"/>
        </w:rPr>
        <w:t xml:space="preserve">and Rail Freight Corridor Regulation </w:t>
      </w:r>
      <w:r w:rsidRPr="005D6BCE">
        <w:rPr>
          <w:rFonts w:eastAsia="Calibri"/>
          <w:color w:val="000000" w:themeColor="text1"/>
          <w:lang w:val="en-GB"/>
        </w:rPr>
        <w:t xml:space="preserve">was presented </w:t>
      </w:r>
      <w:r w:rsidR="005843A4">
        <w:rPr>
          <w:rFonts w:eastAsia="Calibri"/>
          <w:color w:val="000000" w:themeColor="text1"/>
          <w:lang w:val="en-GB"/>
        </w:rPr>
        <w:t>at</w:t>
      </w:r>
      <w:r w:rsidR="005843A4" w:rsidRPr="005D6BCE">
        <w:rPr>
          <w:rFonts w:eastAsia="Calibri"/>
          <w:color w:val="000000" w:themeColor="text1"/>
          <w:lang w:val="en-GB"/>
        </w:rPr>
        <w:t xml:space="preserve"> </w:t>
      </w:r>
      <w:r w:rsidR="005843A4">
        <w:rPr>
          <w:rFonts w:eastAsia="Calibri"/>
          <w:color w:val="000000" w:themeColor="text1"/>
          <w:lang w:val="en-GB"/>
        </w:rPr>
        <w:t>a meeting of the</w:t>
      </w:r>
      <w:r w:rsidR="005843A4" w:rsidRPr="005D6BCE">
        <w:rPr>
          <w:rFonts w:eastAsia="Calibri"/>
          <w:color w:val="000000" w:themeColor="text1"/>
          <w:lang w:val="en-GB"/>
        </w:rPr>
        <w:t xml:space="preserve"> </w:t>
      </w:r>
      <w:r w:rsidRPr="005D6BCE">
        <w:rPr>
          <w:rFonts w:eastAsia="Calibri"/>
          <w:color w:val="000000" w:themeColor="text1"/>
          <w:lang w:val="en-GB"/>
        </w:rPr>
        <w:t xml:space="preserve">EP TRAN Committee </w:t>
      </w:r>
      <w:r w:rsidR="00177794" w:rsidRPr="005D6BCE">
        <w:rPr>
          <w:rFonts w:eastAsia="Calibri"/>
          <w:color w:val="000000" w:themeColor="text1"/>
          <w:lang w:val="en-GB"/>
        </w:rPr>
        <w:t>in</w:t>
      </w:r>
      <w:r w:rsidRPr="005D6BCE">
        <w:rPr>
          <w:rFonts w:eastAsia="Calibri"/>
          <w:color w:val="000000" w:themeColor="text1"/>
          <w:lang w:val="en-GB"/>
        </w:rPr>
        <w:t xml:space="preserve"> October 2022.</w:t>
      </w:r>
      <w:r w:rsidRPr="005D6BCE">
        <w:rPr>
          <w:lang w:val="en-GB"/>
        </w:rPr>
        <w:t xml:space="preserve"> </w:t>
      </w:r>
      <w:r w:rsidR="00334E96" w:rsidRPr="005D6BCE">
        <w:rPr>
          <w:rFonts w:eastAsia="Calibri"/>
          <w:color w:val="000000" w:themeColor="text1"/>
          <w:lang w:val="en-GB"/>
        </w:rPr>
        <w:t>Several EESC rapporteurs met with a number of MEPs of the TRAN Committee in 2021 and 2022.</w:t>
      </w:r>
      <w:r w:rsidR="007643EA" w:rsidRPr="005D6BCE">
        <w:rPr>
          <w:rFonts w:eastAsia="Calibri"/>
          <w:color w:val="000000" w:themeColor="text1"/>
          <w:lang w:val="en-GB"/>
        </w:rPr>
        <w:t xml:space="preserve"> With regard to energy, EESC members </w:t>
      </w:r>
      <w:r w:rsidR="00DC3E48">
        <w:rPr>
          <w:rFonts w:eastAsia="Calibri"/>
          <w:color w:val="000000" w:themeColor="text1"/>
          <w:lang w:val="en-GB"/>
        </w:rPr>
        <w:t>took part in</w:t>
      </w:r>
      <w:r w:rsidR="00DC3E48" w:rsidRPr="005D6BCE">
        <w:rPr>
          <w:rFonts w:eastAsia="Calibri"/>
          <w:color w:val="000000" w:themeColor="text1"/>
          <w:lang w:val="en-GB"/>
        </w:rPr>
        <w:t xml:space="preserve"> </w:t>
      </w:r>
      <w:r w:rsidR="007643EA" w:rsidRPr="005D6BCE">
        <w:rPr>
          <w:rFonts w:eastAsia="Calibri"/>
          <w:color w:val="000000" w:themeColor="text1"/>
          <w:lang w:val="en-GB"/>
        </w:rPr>
        <w:t xml:space="preserve">various key exchanges with MEPs. </w:t>
      </w:r>
      <w:r w:rsidR="00177794" w:rsidRPr="005D6BCE">
        <w:rPr>
          <w:rFonts w:eastAsia="Calibri"/>
          <w:color w:val="000000" w:themeColor="text1"/>
          <w:lang w:val="en-GB"/>
        </w:rPr>
        <w:t>More particularly,</w:t>
      </w:r>
      <w:r w:rsidR="007643EA" w:rsidRPr="005D6BCE">
        <w:rPr>
          <w:rFonts w:eastAsia="Calibri"/>
          <w:color w:val="000000" w:themeColor="text1"/>
          <w:lang w:val="en-GB"/>
        </w:rPr>
        <w:t xml:space="preserve"> MEP Ville Niinistö </w:t>
      </w:r>
      <w:r w:rsidR="00177794" w:rsidRPr="005D6BCE">
        <w:rPr>
          <w:rFonts w:eastAsia="Calibri"/>
          <w:color w:val="000000" w:themeColor="text1"/>
          <w:lang w:val="en-GB"/>
        </w:rPr>
        <w:t>took the floor at</w:t>
      </w:r>
      <w:r w:rsidR="007643EA" w:rsidRPr="005D6BCE">
        <w:rPr>
          <w:rFonts w:eastAsia="Calibri"/>
          <w:color w:val="000000" w:themeColor="text1"/>
          <w:lang w:val="en-GB"/>
        </w:rPr>
        <w:t xml:space="preserve"> the 2022 energy poverty conference</w:t>
      </w:r>
      <w:r w:rsidR="00177794" w:rsidRPr="005D6BCE">
        <w:rPr>
          <w:rFonts w:eastAsia="Calibri"/>
          <w:color w:val="000000" w:themeColor="text1"/>
          <w:lang w:val="en-GB"/>
        </w:rPr>
        <w:t xml:space="preserve"> </w:t>
      </w:r>
      <w:r w:rsidR="007643EA" w:rsidRPr="005D6BCE">
        <w:rPr>
          <w:rFonts w:eastAsia="Calibri"/>
          <w:color w:val="000000" w:themeColor="text1"/>
          <w:lang w:val="en-GB"/>
        </w:rPr>
        <w:t xml:space="preserve">and MEP Lina Gálvez Muñoz </w:t>
      </w:r>
      <w:r w:rsidR="00177794" w:rsidRPr="005D6BCE">
        <w:rPr>
          <w:rFonts w:eastAsia="Calibri"/>
          <w:color w:val="000000" w:themeColor="text1"/>
          <w:lang w:val="en-GB"/>
        </w:rPr>
        <w:t>participated at</w:t>
      </w:r>
      <w:r w:rsidR="007643EA" w:rsidRPr="005D6BCE">
        <w:rPr>
          <w:rFonts w:eastAsia="Calibri"/>
          <w:color w:val="000000" w:themeColor="text1"/>
          <w:lang w:val="en-GB"/>
        </w:rPr>
        <w:t xml:space="preserve"> the section debate on the </w:t>
      </w:r>
      <w:r w:rsidR="007643EA" w:rsidRPr="005D6BCE">
        <w:rPr>
          <w:rFonts w:eastAsia="Calibri"/>
          <w:i/>
          <w:iCs/>
          <w:color w:val="000000" w:themeColor="text1"/>
          <w:lang w:val="en-GB"/>
        </w:rPr>
        <w:t>Women in Energy Poverty</w:t>
      </w:r>
      <w:r w:rsidR="007643EA" w:rsidRPr="005D6BCE">
        <w:rPr>
          <w:rFonts w:eastAsia="Calibri"/>
          <w:color w:val="000000" w:themeColor="text1"/>
          <w:lang w:val="en-GB"/>
        </w:rPr>
        <w:t xml:space="preserve"> in November 2022. </w:t>
      </w:r>
      <w:r w:rsidR="00177794" w:rsidRPr="005D6BCE">
        <w:rPr>
          <w:rFonts w:eastAsia="Calibri"/>
          <w:color w:val="000000" w:themeColor="text1"/>
          <w:lang w:val="en-GB"/>
        </w:rPr>
        <w:t xml:space="preserve">TEN section </w:t>
      </w:r>
      <w:r w:rsidR="00DC3E48">
        <w:rPr>
          <w:rFonts w:eastAsia="Calibri"/>
          <w:color w:val="000000" w:themeColor="text1"/>
          <w:lang w:val="en-GB"/>
        </w:rPr>
        <w:t>p</w:t>
      </w:r>
      <w:r w:rsidR="007643EA" w:rsidRPr="005D6BCE">
        <w:rPr>
          <w:rFonts w:eastAsia="Calibri"/>
          <w:color w:val="000000" w:themeColor="text1"/>
          <w:lang w:val="en-GB"/>
        </w:rPr>
        <w:t>resident</w:t>
      </w:r>
      <w:r w:rsidR="00177794" w:rsidRPr="005D6BCE">
        <w:rPr>
          <w:rFonts w:eastAsia="Calibri"/>
          <w:color w:val="000000" w:themeColor="text1"/>
          <w:lang w:val="en-GB"/>
        </w:rPr>
        <w:t xml:space="preserve"> Baiba</w:t>
      </w:r>
      <w:r w:rsidR="007643EA" w:rsidRPr="005D6BCE">
        <w:rPr>
          <w:rFonts w:eastAsia="Calibri"/>
          <w:color w:val="000000" w:themeColor="text1"/>
          <w:lang w:val="en-GB"/>
        </w:rPr>
        <w:t xml:space="preserve"> Miltovica also had the occasion to discuss the priorities and future activities of the EESC with MEP Cristian-Silviu Buşoi, </w:t>
      </w:r>
      <w:r w:rsidR="00DC3E48">
        <w:rPr>
          <w:rFonts w:eastAsia="Calibri"/>
          <w:color w:val="000000" w:themeColor="text1"/>
          <w:lang w:val="en-GB"/>
        </w:rPr>
        <w:t>p</w:t>
      </w:r>
      <w:r w:rsidR="007643EA" w:rsidRPr="005D6BCE">
        <w:rPr>
          <w:rFonts w:eastAsia="Calibri"/>
          <w:color w:val="000000" w:themeColor="text1"/>
          <w:lang w:val="en-GB"/>
        </w:rPr>
        <w:t xml:space="preserve">resident of the ITRE Committee, </w:t>
      </w:r>
      <w:r w:rsidR="00DC3E48">
        <w:rPr>
          <w:rFonts w:eastAsia="Calibri"/>
          <w:color w:val="000000" w:themeColor="text1"/>
          <w:lang w:val="en-GB"/>
        </w:rPr>
        <w:t>at</w:t>
      </w:r>
      <w:r w:rsidR="00DC3E48" w:rsidRPr="005D6BCE">
        <w:rPr>
          <w:rFonts w:eastAsia="Calibri"/>
          <w:color w:val="000000" w:themeColor="text1"/>
          <w:lang w:val="en-GB"/>
        </w:rPr>
        <w:t xml:space="preserve"> </w:t>
      </w:r>
      <w:r w:rsidR="007643EA" w:rsidRPr="005D6BCE">
        <w:rPr>
          <w:rFonts w:eastAsia="Calibri"/>
          <w:color w:val="000000" w:themeColor="text1"/>
          <w:lang w:val="en-GB"/>
        </w:rPr>
        <w:t>a bilateral meeting held in October 2022.</w:t>
      </w:r>
    </w:p>
    <w:p w14:paraId="797B6210" w14:textId="77777777" w:rsidR="0081678E" w:rsidRPr="005D6BCE" w:rsidRDefault="0081678E" w:rsidP="007643EA">
      <w:pPr>
        <w:spacing w:line="276" w:lineRule="auto"/>
        <w:rPr>
          <w:rFonts w:eastAsia="Calibri"/>
          <w:color w:val="000000" w:themeColor="text1"/>
          <w:lang w:val="en-GB"/>
        </w:rPr>
      </w:pPr>
    </w:p>
    <w:p w14:paraId="3CE8CFA0" w14:textId="34160C8C" w:rsidR="004D45E7" w:rsidRPr="005D6BCE" w:rsidRDefault="005F1773" w:rsidP="00EA7BB0">
      <w:pPr>
        <w:spacing w:line="276" w:lineRule="auto"/>
        <w:rPr>
          <w:rFonts w:asciiTheme="majorHAnsi" w:hAnsiTheme="majorHAnsi" w:cstheme="minorHAnsi"/>
          <w:color w:val="0070C0"/>
          <w:sz w:val="32"/>
          <w:lang w:val="en-GB"/>
        </w:rPr>
      </w:pPr>
      <w:r>
        <w:rPr>
          <w:rFonts w:eastAsia="Calibri"/>
          <w:color w:val="000000" w:themeColor="text1"/>
          <w:lang w:val="en-GB"/>
        </w:rPr>
        <w:t>As regards</w:t>
      </w:r>
      <w:r w:rsidRPr="005D6BCE">
        <w:rPr>
          <w:rFonts w:eastAsia="Calibri"/>
          <w:color w:val="000000" w:themeColor="text1"/>
          <w:lang w:val="en-GB"/>
        </w:rPr>
        <w:t xml:space="preserve"> </w:t>
      </w:r>
      <w:r w:rsidR="7227C154" w:rsidRPr="005D6BCE">
        <w:rPr>
          <w:rFonts w:eastAsia="Calibri"/>
          <w:color w:val="000000" w:themeColor="text1"/>
          <w:lang w:val="en-GB"/>
        </w:rPr>
        <w:t xml:space="preserve">cooperation with the </w:t>
      </w:r>
      <w:r w:rsidR="7227C154" w:rsidRPr="005D6BCE">
        <w:rPr>
          <w:rFonts w:eastAsia="Calibri"/>
          <w:b/>
          <w:bCs/>
          <w:color w:val="000000" w:themeColor="text1"/>
          <w:lang w:val="en-GB"/>
        </w:rPr>
        <w:t>European Commission</w:t>
      </w:r>
      <w:r w:rsidR="7227C154" w:rsidRPr="005D6BCE">
        <w:rPr>
          <w:rFonts w:eastAsia="Calibri"/>
          <w:color w:val="000000" w:themeColor="text1"/>
          <w:lang w:val="en-GB"/>
        </w:rPr>
        <w:t xml:space="preserve">, </w:t>
      </w:r>
      <w:r w:rsidR="00725BA1" w:rsidRPr="00C54CF9">
        <w:rPr>
          <w:rFonts w:eastAsia="Calibri"/>
          <w:bCs/>
          <w:color w:val="000000" w:themeColor="text1"/>
          <w:lang w:val="en-GB"/>
        </w:rPr>
        <w:t>Executive Vice-President Valdis Dombrovskis</w:t>
      </w:r>
      <w:r w:rsidR="00725BA1" w:rsidRPr="00C54CF9">
        <w:rPr>
          <w:rFonts w:eastAsia="Calibri"/>
          <w:color w:val="000000" w:themeColor="text1"/>
          <w:lang w:val="en-GB"/>
        </w:rPr>
        <w:t xml:space="preserve"> gave a keynote speech at the TEN section meeting on 20 November 2020 and stressed the importance of the transport and energy sectors in the economic recovery, and in particular the importance of the Trans-European Networks. </w:t>
      </w:r>
      <w:r w:rsidR="005F25DC" w:rsidRPr="00C54CF9">
        <w:rPr>
          <w:rFonts w:eastAsia="Calibri"/>
          <w:color w:val="000000" w:themeColor="text1"/>
          <w:lang w:val="en-GB"/>
        </w:rPr>
        <w:t>European Commissioner for Energy</w:t>
      </w:r>
      <w:r w:rsidR="000A4CD7" w:rsidRPr="00C54CF9">
        <w:rPr>
          <w:rFonts w:eastAsia="Calibri"/>
          <w:color w:val="000000" w:themeColor="text1"/>
          <w:lang w:val="en-GB"/>
        </w:rPr>
        <w:t xml:space="preserve"> </w:t>
      </w:r>
      <w:r w:rsidRPr="00C54CF9">
        <w:rPr>
          <w:rFonts w:eastAsia="Calibri"/>
          <w:color w:val="000000" w:themeColor="text1"/>
          <w:lang w:val="en-GB"/>
        </w:rPr>
        <w:t xml:space="preserve">Kadri Simson </w:t>
      </w:r>
      <w:r w:rsidR="005F25DC" w:rsidRPr="00C54CF9">
        <w:rPr>
          <w:rFonts w:eastAsia="Calibri"/>
          <w:color w:val="000000" w:themeColor="text1"/>
          <w:lang w:val="en-GB"/>
        </w:rPr>
        <w:t xml:space="preserve">took part in EESC </w:t>
      </w:r>
      <w:r w:rsidR="000A4CD7" w:rsidRPr="00C54CF9">
        <w:rPr>
          <w:rFonts w:eastAsia="Calibri"/>
          <w:color w:val="000000" w:themeColor="text1"/>
          <w:lang w:val="en-GB"/>
        </w:rPr>
        <w:t xml:space="preserve">and TEN section </w:t>
      </w:r>
      <w:r w:rsidR="005F25DC" w:rsidRPr="00C54CF9">
        <w:rPr>
          <w:rFonts w:eastAsia="Calibri"/>
          <w:color w:val="000000" w:themeColor="text1"/>
          <w:lang w:val="en-GB"/>
        </w:rPr>
        <w:t>events on a number of occasions. She joined</w:t>
      </w:r>
      <w:r w:rsidR="00DC7016">
        <w:rPr>
          <w:rFonts w:eastAsia="Calibri"/>
          <w:color w:val="000000" w:themeColor="text1"/>
          <w:lang w:val="en-GB"/>
        </w:rPr>
        <w:t>,</w:t>
      </w:r>
      <w:r w:rsidR="005F25DC" w:rsidRPr="00C54CF9">
        <w:rPr>
          <w:rFonts w:eastAsia="Calibri"/>
          <w:color w:val="000000" w:themeColor="text1"/>
          <w:lang w:val="en-GB"/>
        </w:rPr>
        <w:t xml:space="preserve"> for instance</w:t>
      </w:r>
      <w:r w:rsidR="00DC7016">
        <w:rPr>
          <w:rFonts w:eastAsia="Calibri"/>
          <w:color w:val="000000" w:themeColor="text1"/>
          <w:lang w:val="en-GB"/>
        </w:rPr>
        <w:t>,</w:t>
      </w:r>
      <w:r w:rsidR="005F25DC" w:rsidRPr="00C54CF9">
        <w:rPr>
          <w:rFonts w:eastAsia="Calibri"/>
          <w:color w:val="000000" w:themeColor="text1"/>
          <w:lang w:val="en-GB"/>
        </w:rPr>
        <w:t xml:space="preserve"> the debate</w:t>
      </w:r>
      <w:r w:rsidR="00DC7016">
        <w:rPr>
          <w:rFonts w:eastAsia="Calibri"/>
          <w:color w:val="000000" w:themeColor="text1"/>
          <w:lang w:val="en-GB"/>
        </w:rPr>
        <w:t xml:space="preserve"> </w:t>
      </w:r>
      <w:r w:rsidR="00173AE0" w:rsidRPr="00C54CF9">
        <w:rPr>
          <w:rFonts w:eastAsia="Calibri"/>
          <w:i/>
          <w:iCs/>
          <w:color w:val="000000" w:themeColor="text1"/>
          <w:lang w:val="en-GB"/>
        </w:rPr>
        <w:t>Beyond the crisis: which way forward for the EU energy policy?</w:t>
      </w:r>
      <w:r w:rsidR="005F25DC" w:rsidRPr="00C54CF9">
        <w:rPr>
          <w:rFonts w:eastAsia="Calibri"/>
          <w:color w:val="000000" w:themeColor="text1"/>
          <w:lang w:val="en-GB"/>
        </w:rPr>
        <w:t xml:space="preserve"> in March 2023, where she exchanged with various EESC </w:t>
      </w:r>
      <w:r w:rsidR="00DC7016">
        <w:rPr>
          <w:rFonts w:eastAsia="Calibri"/>
          <w:color w:val="000000" w:themeColor="text1"/>
          <w:lang w:val="en-GB"/>
        </w:rPr>
        <w:t>m</w:t>
      </w:r>
      <w:r w:rsidR="005F25DC" w:rsidRPr="00C54CF9">
        <w:rPr>
          <w:rFonts w:eastAsia="Calibri"/>
          <w:color w:val="000000" w:themeColor="text1"/>
          <w:lang w:val="en-GB"/>
        </w:rPr>
        <w:t>embers in the framework of the discussion on opinion TEN/791</w:t>
      </w:r>
      <w:r w:rsidR="005F25DC" w:rsidRPr="005D6BCE">
        <w:rPr>
          <w:lang w:val="en-GB"/>
        </w:rPr>
        <w:t xml:space="preserve"> </w:t>
      </w:r>
      <w:r w:rsidR="005F25DC" w:rsidRPr="005D6BCE">
        <w:rPr>
          <w:rFonts w:eastAsia="Calibri"/>
          <w:i/>
          <w:iCs/>
          <w:color w:val="000000" w:themeColor="text1"/>
          <w:lang w:val="en-GB"/>
        </w:rPr>
        <w:t>State</w:t>
      </w:r>
      <w:r w:rsidR="005F25DC" w:rsidRPr="005D6BCE">
        <w:rPr>
          <w:rFonts w:eastAsia="Calibri"/>
          <w:bCs/>
          <w:i/>
          <w:iCs/>
          <w:color w:val="000000" w:themeColor="text1"/>
          <w:lang w:val="en-GB"/>
        </w:rPr>
        <w:t xml:space="preserve"> of the Energy Union 2022</w:t>
      </w:r>
      <w:r w:rsidR="005F25DC" w:rsidRPr="00C54CF9">
        <w:rPr>
          <w:rFonts w:eastAsia="Calibri"/>
          <w:color w:val="000000" w:themeColor="text1"/>
          <w:lang w:val="en-GB"/>
        </w:rPr>
        <w:t>.</w:t>
      </w:r>
      <w:r w:rsidR="000A4CD7" w:rsidRPr="00C54CF9">
        <w:rPr>
          <w:rFonts w:eastAsia="Calibri"/>
          <w:color w:val="000000" w:themeColor="text1"/>
          <w:lang w:val="en-GB"/>
        </w:rPr>
        <w:t xml:space="preserve"> She continuously manifested her support for the EESC's engagement in the fight against energy poverty by participating to the annual conferences of 2021 and 2022, and she is also set to take part </w:t>
      </w:r>
      <w:r w:rsidR="00DC7016">
        <w:rPr>
          <w:rFonts w:eastAsia="Calibri"/>
          <w:color w:val="000000" w:themeColor="text1"/>
          <w:lang w:val="en-GB"/>
        </w:rPr>
        <w:t>in</w:t>
      </w:r>
      <w:r w:rsidR="00DC7016" w:rsidRPr="00C54CF9">
        <w:rPr>
          <w:rFonts w:eastAsia="Calibri"/>
          <w:color w:val="000000" w:themeColor="text1"/>
          <w:lang w:val="en-GB"/>
        </w:rPr>
        <w:t xml:space="preserve"> </w:t>
      </w:r>
      <w:r w:rsidR="000A4CD7" w:rsidRPr="00C54CF9">
        <w:rPr>
          <w:rFonts w:eastAsia="Calibri"/>
          <w:color w:val="000000" w:themeColor="text1"/>
          <w:lang w:val="en-GB"/>
        </w:rPr>
        <w:t xml:space="preserve">the energy poverty conference taking place in July 2023. In addition, she </w:t>
      </w:r>
      <w:r w:rsidR="00173AE0" w:rsidRPr="00C54CF9">
        <w:rPr>
          <w:rFonts w:eastAsia="Calibri"/>
          <w:color w:val="000000" w:themeColor="text1"/>
          <w:lang w:val="en-GB"/>
        </w:rPr>
        <w:t xml:space="preserve">also </w:t>
      </w:r>
      <w:r w:rsidR="000A4CD7" w:rsidRPr="00C54CF9">
        <w:rPr>
          <w:rFonts w:eastAsia="Calibri"/>
          <w:color w:val="000000" w:themeColor="text1"/>
          <w:lang w:val="en-GB"/>
        </w:rPr>
        <w:t xml:space="preserve">participated </w:t>
      </w:r>
      <w:r w:rsidR="00DC7016">
        <w:rPr>
          <w:rFonts w:eastAsia="Calibri"/>
          <w:color w:val="000000" w:themeColor="text1"/>
          <w:lang w:val="en-GB"/>
        </w:rPr>
        <w:t>in</w:t>
      </w:r>
      <w:r w:rsidR="00DC7016" w:rsidRPr="00C54CF9">
        <w:rPr>
          <w:rFonts w:eastAsia="Calibri"/>
          <w:color w:val="000000" w:themeColor="text1"/>
          <w:lang w:val="en-GB"/>
        </w:rPr>
        <w:t xml:space="preserve"> </w:t>
      </w:r>
      <w:r w:rsidR="000A4CD7" w:rsidRPr="00C54CF9">
        <w:rPr>
          <w:rFonts w:eastAsia="Calibri"/>
          <w:color w:val="000000" w:themeColor="text1"/>
          <w:lang w:val="en-GB"/>
        </w:rPr>
        <w:t xml:space="preserve">the 2021 conference on the </w:t>
      </w:r>
      <w:r w:rsidR="000A4CD7" w:rsidRPr="00C54CF9">
        <w:rPr>
          <w:rFonts w:eastAsia="Calibri"/>
          <w:i/>
          <w:iCs/>
          <w:color w:val="000000" w:themeColor="text1"/>
          <w:lang w:val="en-GB"/>
        </w:rPr>
        <w:t>Geopolitics of the Green Deal</w:t>
      </w:r>
      <w:r w:rsidR="000A4CD7" w:rsidRPr="00C54CF9">
        <w:rPr>
          <w:rFonts w:eastAsia="Calibri"/>
          <w:color w:val="000000" w:themeColor="text1"/>
          <w:lang w:val="en-GB"/>
        </w:rPr>
        <w:t>, held together with the UN Sustainable Development Solutions Network</w:t>
      </w:r>
      <w:r w:rsidR="00DC7016">
        <w:rPr>
          <w:rFonts w:eastAsia="Calibri"/>
          <w:color w:val="000000" w:themeColor="text1"/>
          <w:lang w:val="en-GB"/>
        </w:rPr>
        <w:t>,</w:t>
      </w:r>
      <w:r w:rsidR="000A4CD7" w:rsidRPr="00C54CF9">
        <w:rPr>
          <w:rFonts w:eastAsia="Calibri"/>
          <w:color w:val="000000" w:themeColor="text1"/>
          <w:lang w:val="en-GB"/>
        </w:rPr>
        <w:t xml:space="preserve"> and in a number of EESC debates and exchanges, including </w:t>
      </w:r>
      <w:r w:rsidR="00DC7016">
        <w:rPr>
          <w:rFonts w:eastAsia="Calibri"/>
          <w:color w:val="000000" w:themeColor="text1"/>
          <w:lang w:val="en-GB"/>
        </w:rPr>
        <w:t>in relation to</w:t>
      </w:r>
      <w:r w:rsidR="000A4CD7" w:rsidRPr="00C54CF9">
        <w:rPr>
          <w:rFonts w:eastAsia="Calibri"/>
          <w:color w:val="000000" w:themeColor="text1"/>
          <w:lang w:val="en-GB"/>
        </w:rPr>
        <w:t xml:space="preserve"> the launch of the </w:t>
      </w:r>
      <w:r w:rsidR="000A4CD7" w:rsidRPr="00C54CF9">
        <w:rPr>
          <w:rFonts w:eastAsia="Calibri"/>
          <w:i/>
          <w:iCs/>
          <w:color w:val="000000" w:themeColor="text1"/>
          <w:lang w:val="en-GB"/>
        </w:rPr>
        <w:t>Fit for 55 package</w:t>
      </w:r>
      <w:r w:rsidR="00DC7016">
        <w:rPr>
          <w:rFonts w:eastAsia="Calibri"/>
          <w:i/>
          <w:iCs/>
          <w:color w:val="000000" w:themeColor="text1"/>
          <w:lang w:val="en-GB"/>
        </w:rPr>
        <w:t xml:space="preserve"> </w:t>
      </w:r>
      <w:r w:rsidR="00DC7016" w:rsidRPr="00C54CF9">
        <w:rPr>
          <w:rFonts w:eastAsia="Calibri"/>
          <w:color w:val="000000" w:themeColor="text1"/>
          <w:lang w:val="en-GB"/>
        </w:rPr>
        <w:t>in 2021</w:t>
      </w:r>
      <w:r w:rsidR="000A4CD7" w:rsidRPr="00C54CF9">
        <w:rPr>
          <w:rFonts w:eastAsia="Calibri"/>
          <w:color w:val="000000" w:themeColor="text1"/>
          <w:lang w:val="en-GB"/>
        </w:rPr>
        <w:t xml:space="preserve">. </w:t>
      </w:r>
      <w:r w:rsidR="005F25DC" w:rsidRPr="00C54CF9">
        <w:rPr>
          <w:rFonts w:eastAsia="Calibri"/>
          <w:color w:val="000000" w:themeColor="text1"/>
          <w:lang w:val="en-GB"/>
        </w:rPr>
        <w:t>European</w:t>
      </w:r>
      <w:r w:rsidR="7227C154" w:rsidRPr="00C54CF9">
        <w:rPr>
          <w:rFonts w:eastAsia="Calibri"/>
          <w:color w:val="000000" w:themeColor="text1"/>
          <w:lang w:val="en-GB"/>
        </w:rPr>
        <w:t xml:space="preserve"> Commissioner for Transport Adina Vălean joined the debate on the EESC's response to the </w:t>
      </w:r>
      <w:r w:rsidR="7227C154" w:rsidRPr="00C54CF9">
        <w:rPr>
          <w:rFonts w:eastAsia="Calibri"/>
          <w:i/>
          <w:iCs/>
          <w:color w:val="000000" w:themeColor="text1"/>
          <w:lang w:val="en-GB"/>
        </w:rPr>
        <w:t>Sustainable and Smart Mobility Strateg</w:t>
      </w:r>
      <w:r w:rsidR="000A4CD7" w:rsidRPr="00C54CF9">
        <w:rPr>
          <w:rFonts w:eastAsia="Calibri"/>
          <w:i/>
          <w:iCs/>
          <w:color w:val="000000" w:themeColor="text1"/>
          <w:lang w:val="en-GB"/>
        </w:rPr>
        <w:t>y</w:t>
      </w:r>
      <w:r w:rsidR="7227C154" w:rsidRPr="00C54CF9">
        <w:rPr>
          <w:rFonts w:eastAsia="Calibri"/>
          <w:color w:val="000000" w:themeColor="text1"/>
          <w:lang w:val="en-GB"/>
        </w:rPr>
        <w:t xml:space="preserve"> during the EESC's plenary session in April 2021. Another high-level Commission representative, Walter Goetz, </w:t>
      </w:r>
      <w:r w:rsidR="00DC7016">
        <w:rPr>
          <w:rFonts w:eastAsia="Calibri"/>
          <w:color w:val="000000" w:themeColor="text1"/>
          <w:lang w:val="en-GB"/>
        </w:rPr>
        <w:t>h</w:t>
      </w:r>
      <w:r w:rsidR="7227C154" w:rsidRPr="00C54CF9">
        <w:rPr>
          <w:rFonts w:eastAsia="Calibri"/>
          <w:color w:val="000000" w:themeColor="text1"/>
          <w:lang w:val="en-GB"/>
        </w:rPr>
        <w:t xml:space="preserve">ead of </w:t>
      </w:r>
      <w:r w:rsidR="00DC7016">
        <w:rPr>
          <w:rFonts w:eastAsia="Calibri"/>
          <w:color w:val="000000" w:themeColor="text1"/>
          <w:lang w:val="en-GB"/>
        </w:rPr>
        <w:t>c</w:t>
      </w:r>
      <w:r w:rsidR="7227C154" w:rsidRPr="00C54CF9">
        <w:rPr>
          <w:rFonts w:eastAsia="Calibri"/>
          <w:color w:val="000000" w:themeColor="text1"/>
          <w:lang w:val="en-GB"/>
        </w:rPr>
        <w:t xml:space="preserve">abinet of </w:t>
      </w:r>
      <w:r w:rsidR="00DC7016">
        <w:rPr>
          <w:rFonts w:eastAsia="Calibri"/>
          <w:color w:val="000000" w:themeColor="text1"/>
          <w:lang w:val="en-GB"/>
        </w:rPr>
        <w:t xml:space="preserve">the </w:t>
      </w:r>
      <w:r w:rsidR="7227C154" w:rsidRPr="00C54CF9">
        <w:rPr>
          <w:rFonts w:eastAsia="Calibri"/>
          <w:color w:val="000000" w:themeColor="text1"/>
          <w:lang w:val="en-GB"/>
        </w:rPr>
        <w:t>E</w:t>
      </w:r>
      <w:r w:rsidR="005F25DC" w:rsidRPr="00C54CF9">
        <w:rPr>
          <w:rFonts w:eastAsia="Calibri"/>
          <w:color w:val="000000" w:themeColor="text1"/>
          <w:lang w:val="en-GB"/>
        </w:rPr>
        <w:t>uropean</w:t>
      </w:r>
      <w:r w:rsidR="7227C154" w:rsidRPr="00C54CF9">
        <w:rPr>
          <w:rFonts w:eastAsia="Calibri"/>
          <w:color w:val="000000" w:themeColor="text1"/>
          <w:lang w:val="en-GB"/>
        </w:rPr>
        <w:t xml:space="preserve"> Commissioner for Transport</w:t>
      </w:r>
      <w:r w:rsidR="005F25DC" w:rsidRPr="00C54CF9">
        <w:rPr>
          <w:rFonts w:eastAsia="Calibri"/>
          <w:color w:val="000000" w:themeColor="text1"/>
          <w:lang w:val="en-GB"/>
        </w:rPr>
        <w:t>,</w:t>
      </w:r>
      <w:r w:rsidR="7227C154" w:rsidRPr="00C54CF9">
        <w:rPr>
          <w:rFonts w:eastAsia="Calibri"/>
          <w:color w:val="000000" w:themeColor="text1"/>
          <w:lang w:val="en-GB"/>
        </w:rPr>
        <w:t xml:space="preserve"> Adina Vălean, participated in </w:t>
      </w:r>
      <w:r w:rsidR="005F25DC" w:rsidRPr="00C54CF9">
        <w:rPr>
          <w:rFonts w:eastAsia="Calibri"/>
          <w:color w:val="000000" w:themeColor="text1"/>
          <w:lang w:val="en-GB"/>
        </w:rPr>
        <w:t>the</w:t>
      </w:r>
      <w:r w:rsidR="7227C154" w:rsidRPr="00C54CF9">
        <w:rPr>
          <w:rFonts w:eastAsia="Calibri"/>
          <w:color w:val="000000" w:themeColor="text1"/>
          <w:lang w:val="en-GB"/>
        </w:rPr>
        <w:t xml:space="preserve"> TEN </w:t>
      </w:r>
      <w:r w:rsidR="40CB5184" w:rsidRPr="00C54CF9">
        <w:rPr>
          <w:rFonts w:eastAsia="Calibri"/>
          <w:color w:val="000000" w:themeColor="text1"/>
          <w:lang w:val="en-GB"/>
        </w:rPr>
        <w:t>S</w:t>
      </w:r>
      <w:r w:rsidR="7227C154" w:rsidRPr="00C54CF9">
        <w:rPr>
          <w:rFonts w:eastAsia="Calibri"/>
          <w:color w:val="000000" w:themeColor="text1"/>
          <w:lang w:val="en-GB"/>
        </w:rPr>
        <w:t xml:space="preserve">ection debate on the </w:t>
      </w:r>
      <w:r w:rsidR="00725BA1" w:rsidRPr="00C54CF9">
        <w:rPr>
          <w:rFonts w:eastAsia="Calibri"/>
          <w:i/>
          <w:iCs/>
          <w:color w:val="000000" w:themeColor="text1"/>
          <w:lang w:val="en-GB"/>
        </w:rPr>
        <w:t>Fit for 55 legislative package: Opportunities and challenges for the transport, energy and building sector</w:t>
      </w:r>
      <w:r w:rsidR="00725BA1" w:rsidRPr="00C54CF9" w:rsidDel="00725BA1">
        <w:rPr>
          <w:rFonts w:eastAsia="Calibri"/>
          <w:i/>
          <w:iCs/>
          <w:color w:val="000000" w:themeColor="text1"/>
          <w:lang w:val="en-GB"/>
        </w:rPr>
        <w:t xml:space="preserve"> </w:t>
      </w:r>
      <w:r w:rsidR="7227C154" w:rsidRPr="00C54CF9">
        <w:rPr>
          <w:rFonts w:eastAsia="Calibri"/>
          <w:color w:val="000000" w:themeColor="text1"/>
          <w:lang w:val="en-GB"/>
        </w:rPr>
        <w:t>in September 2021.</w:t>
      </w:r>
      <w:r w:rsidR="00DC1230" w:rsidRPr="00C54CF9">
        <w:rPr>
          <w:rFonts w:eastAsia="Calibri"/>
          <w:color w:val="000000" w:themeColor="text1"/>
          <w:lang w:val="en-GB"/>
        </w:rPr>
        <w:t xml:space="preserve"> </w:t>
      </w:r>
    </w:p>
    <w:p w14:paraId="297BB3F3" w14:textId="0C8432DB" w:rsidR="00007CAC" w:rsidRPr="005D6BCE" w:rsidRDefault="00007CAC" w:rsidP="003C5B4E">
      <w:pPr>
        <w:spacing w:line="240" w:lineRule="auto"/>
        <w:rPr>
          <w:rFonts w:asciiTheme="majorHAnsi" w:hAnsiTheme="majorHAnsi" w:cstheme="minorHAnsi"/>
          <w:color w:val="0070C0"/>
          <w:sz w:val="32"/>
          <w:lang w:val="en-GB"/>
        </w:rPr>
      </w:pPr>
    </w:p>
    <w:p w14:paraId="469FA212" w14:textId="77777777" w:rsidR="00EA7BB0" w:rsidRPr="005D6BCE" w:rsidRDefault="00EA7BB0" w:rsidP="003C5B4E">
      <w:pPr>
        <w:spacing w:line="240" w:lineRule="auto"/>
        <w:rPr>
          <w:rFonts w:asciiTheme="majorHAnsi" w:hAnsiTheme="majorHAnsi" w:cstheme="minorHAnsi"/>
          <w:color w:val="0070C0"/>
          <w:sz w:val="32"/>
          <w:lang w:val="en-GB"/>
        </w:rPr>
      </w:pPr>
    </w:p>
    <w:p w14:paraId="782437C6" w14:textId="57D80A19" w:rsidR="00374803" w:rsidRPr="005D6BCE" w:rsidRDefault="00131A9C" w:rsidP="00F366AB">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Communication achievements</w:t>
      </w:r>
    </w:p>
    <w:p w14:paraId="14AE1EF3" w14:textId="7774E24F" w:rsidR="00ED01B0" w:rsidRPr="005D6BCE" w:rsidRDefault="00131A9C" w:rsidP="00DC0750">
      <w:pPr>
        <w:spacing w:line="240" w:lineRule="auto"/>
        <w:rPr>
          <w:rFonts w:asciiTheme="majorHAnsi" w:hAnsiTheme="majorHAnsi" w:cstheme="minorHAnsi"/>
          <w:color w:val="0070C0"/>
          <w:sz w:val="32"/>
          <w:lang w:val="en-GB"/>
        </w:rPr>
      </w:pPr>
      <w:r w:rsidRPr="003A37FC">
        <w:rPr>
          <w:rFonts w:asciiTheme="majorHAnsi" w:hAnsiTheme="majorHAnsi" w:cstheme="minorHAnsi"/>
          <w:noProof/>
          <w:color w:val="0070C0"/>
          <w:sz w:val="32"/>
        </w:rPr>
        <mc:AlternateContent>
          <mc:Choice Requires="wps">
            <w:drawing>
              <wp:anchor distT="0" distB="0" distL="114300" distR="114300" simplePos="0" relativeHeight="251678720" behindDoc="0" locked="0" layoutInCell="1" allowOverlap="1" wp14:anchorId="3513463B" wp14:editId="3F7A1B60">
                <wp:simplePos x="0" y="0"/>
                <wp:positionH relativeFrom="column">
                  <wp:posOffset>13969</wp:posOffset>
                </wp:positionH>
                <wp:positionV relativeFrom="paragraph">
                  <wp:posOffset>50027</wp:posOffset>
                </wp:positionV>
                <wp:extent cx="56613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6F6EA"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kuwEAAMcDAAAOAAAAZHJzL2Uyb0RvYy54bWysU9uO0zAQfUfiHyy/01xWW7F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t+t1c9PecSbprrm9q28y&#10;Z/UMDhjTR/CW5U3PjXZZuujE8VNM59RrCuFyM+fyZZdOBnKycV9BkRwq2BR0GSTYGWRHQSMgpASX&#10;mkvpkp1hShuzAOu/Ay/5GQplyP4FvCBKZe/SArbaefxT9TRfW1bn/KsDZ93Zgic/nMrDFGtoWoq5&#10;l8nO4/gyLvDn/2/7Ew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JHMv6S7AQAAxwMAAA4AAAAAAAAAAAAAAAAALgIAAGRy&#10;cy9lMm9Eb2MueG1sUEsBAi0AFAAGAAgAAAAhAJGmzvbeAAAABgEAAA8AAAAAAAAAAAAAAAAAFQQA&#10;AGRycy9kb3ducmV2LnhtbFBLBQYAAAAABAAEAPMAAAAgBQAAAAA=&#10;" strokecolor="#5b9bd5 [3204]" strokeweight=".5pt">
                <v:stroke joinstyle="miter"/>
              </v:line>
            </w:pict>
          </mc:Fallback>
        </mc:AlternateContent>
      </w:r>
    </w:p>
    <w:p w14:paraId="253EF5C2" w14:textId="7BADBD39" w:rsidR="00C412EC" w:rsidRPr="00C54CF9" w:rsidRDefault="00DC0750" w:rsidP="00DC0750">
      <w:pPr>
        <w:spacing w:line="276" w:lineRule="auto"/>
        <w:rPr>
          <w:lang w:val="en-GB"/>
        </w:rPr>
      </w:pPr>
      <w:r w:rsidRPr="00C54CF9">
        <w:rPr>
          <w:lang w:val="en-GB"/>
        </w:rPr>
        <w:t xml:space="preserve">Besides </w:t>
      </w:r>
      <w:r w:rsidR="00C412EC" w:rsidRPr="00C54CF9">
        <w:rPr>
          <w:lang w:val="en-GB"/>
        </w:rPr>
        <w:t xml:space="preserve">high-level </w:t>
      </w:r>
      <w:r w:rsidRPr="00C54CF9">
        <w:rPr>
          <w:lang w:val="en-GB"/>
        </w:rPr>
        <w:t>conferences</w:t>
      </w:r>
      <w:r w:rsidR="00C412EC" w:rsidRPr="00C54CF9">
        <w:rPr>
          <w:lang w:val="en-GB"/>
        </w:rPr>
        <w:t xml:space="preserve">, public and expert </w:t>
      </w:r>
      <w:r w:rsidRPr="00C54CF9">
        <w:rPr>
          <w:lang w:val="en-GB"/>
        </w:rPr>
        <w:t>hearings</w:t>
      </w:r>
      <w:r w:rsidR="0005041C" w:rsidRPr="00C54CF9">
        <w:rPr>
          <w:lang w:val="en-GB"/>
        </w:rPr>
        <w:t>,</w:t>
      </w:r>
      <w:r w:rsidRPr="00C54CF9">
        <w:rPr>
          <w:lang w:val="en-GB"/>
        </w:rPr>
        <w:t xml:space="preserve"> the TEN Section has organised significant moments of reflection, in the form of discussions and </w:t>
      </w:r>
      <w:r w:rsidR="00C412EC" w:rsidRPr="00C54CF9">
        <w:rPr>
          <w:lang w:val="en-GB"/>
        </w:rPr>
        <w:t xml:space="preserve">thematic </w:t>
      </w:r>
      <w:r w:rsidRPr="00C54CF9">
        <w:rPr>
          <w:lang w:val="en-GB"/>
        </w:rPr>
        <w:t xml:space="preserve">debates, involving high-level EU officials, academics and witnesses (e.g. </w:t>
      </w:r>
      <w:r w:rsidR="00C412EC" w:rsidRPr="00C54CF9">
        <w:rPr>
          <w:lang w:val="en-GB"/>
        </w:rPr>
        <w:t>D</w:t>
      </w:r>
      <w:r w:rsidRPr="00C54CF9">
        <w:rPr>
          <w:lang w:val="en-GB"/>
        </w:rPr>
        <w:t xml:space="preserve">ebate on </w:t>
      </w:r>
      <w:r w:rsidR="0069577A">
        <w:rPr>
          <w:lang w:val="en-GB"/>
        </w:rPr>
        <w:t>Russia's</w:t>
      </w:r>
      <w:r w:rsidR="0069577A" w:rsidRPr="00C54CF9">
        <w:rPr>
          <w:lang w:val="en-GB"/>
        </w:rPr>
        <w:t xml:space="preserve"> </w:t>
      </w:r>
      <w:r w:rsidRPr="00C54CF9">
        <w:rPr>
          <w:lang w:val="en-GB"/>
        </w:rPr>
        <w:t xml:space="preserve">aggression </w:t>
      </w:r>
      <w:r w:rsidR="0069577A">
        <w:rPr>
          <w:lang w:val="en-GB"/>
        </w:rPr>
        <w:t>against</w:t>
      </w:r>
      <w:r w:rsidR="0069577A" w:rsidRPr="00C54CF9">
        <w:rPr>
          <w:lang w:val="en-GB"/>
        </w:rPr>
        <w:t xml:space="preserve"> </w:t>
      </w:r>
      <w:r w:rsidRPr="00C54CF9">
        <w:rPr>
          <w:lang w:val="en-GB"/>
        </w:rPr>
        <w:t>Ukraine in March</w:t>
      </w:r>
      <w:r w:rsidR="00C412EC" w:rsidRPr="00C54CF9">
        <w:rPr>
          <w:lang w:val="en-GB"/>
        </w:rPr>
        <w:t>;</w:t>
      </w:r>
      <w:r w:rsidRPr="00C54CF9">
        <w:rPr>
          <w:lang w:val="en-GB"/>
        </w:rPr>
        <w:t xml:space="preserve"> </w:t>
      </w:r>
      <w:r w:rsidR="00C412EC" w:rsidRPr="00C54CF9">
        <w:rPr>
          <w:lang w:val="en-GB"/>
        </w:rPr>
        <w:t>D</w:t>
      </w:r>
      <w:r w:rsidRPr="00C54CF9">
        <w:rPr>
          <w:lang w:val="en-GB"/>
        </w:rPr>
        <w:t xml:space="preserve">iscussion of the priorities of the new Energy Taskforce with </w:t>
      </w:r>
      <w:r w:rsidR="0069577A">
        <w:t>deputy director-general</w:t>
      </w:r>
      <w:r w:rsidR="0069577A" w:rsidRPr="00C54CF9" w:rsidDel="0069577A">
        <w:rPr>
          <w:lang w:val="en-GB"/>
        </w:rPr>
        <w:t xml:space="preserve"> </w:t>
      </w:r>
      <w:r w:rsidRPr="00C54CF9">
        <w:rPr>
          <w:lang w:val="en-GB"/>
        </w:rPr>
        <w:t>Matthew Baldwin in June</w:t>
      </w:r>
      <w:r w:rsidR="00C412EC" w:rsidRPr="00C54CF9">
        <w:rPr>
          <w:lang w:val="en-GB"/>
        </w:rPr>
        <w:t xml:space="preserve"> 2022; D</w:t>
      </w:r>
      <w:r w:rsidRPr="00C54CF9">
        <w:rPr>
          <w:lang w:val="en-GB"/>
        </w:rPr>
        <w:t>ebate on Energy Regulation with Prof. L. Meeus in September</w:t>
      </w:r>
      <w:r w:rsidR="00C412EC" w:rsidRPr="00C54CF9">
        <w:rPr>
          <w:lang w:val="en-GB"/>
        </w:rPr>
        <w:t xml:space="preserve"> 2022</w:t>
      </w:r>
      <w:r w:rsidR="0005041C" w:rsidRPr="00C54CF9">
        <w:rPr>
          <w:lang w:val="en-GB"/>
        </w:rPr>
        <w:t xml:space="preserve">). </w:t>
      </w:r>
    </w:p>
    <w:p w14:paraId="753CB94C" w14:textId="77777777" w:rsidR="0081678E" w:rsidRPr="00C54CF9" w:rsidRDefault="0081678E" w:rsidP="00DC0750">
      <w:pPr>
        <w:spacing w:line="276" w:lineRule="auto"/>
        <w:rPr>
          <w:lang w:val="en-GB"/>
        </w:rPr>
      </w:pPr>
    </w:p>
    <w:p w14:paraId="36FD1826" w14:textId="53413E2C" w:rsidR="00466640" w:rsidRPr="005D6BCE" w:rsidRDefault="00466640" w:rsidP="00DC0750">
      <w:pPr>
        <w:spacing w:line="276" w:lineRule="auto"/>
        <w:rPr>
          <w:rFonts w:eastAsia="Calibri"/>
          <w:color w:val="000000" w:themeColor="text1"/>
          <w:lang w:val="en-GB"/>
        </w:rPr>
      </w:pPr>
      <w:r w:rsidRPr="005D6BCE">
        <w:rPr>
          <w:rFonts w:eastAsia="Calibri"/>
          <w:color w:val="000000" w:themeColor="text1"/>
          <w:lang w:val="en-GB"/>
        </w:rPr>
        <w:t xml:space="preserve">In November 2021, </w:t>
      </w:r>
      <w:r w:rsidR="53AC71B6" w:rsidRPr="005D6BCE">
        <w:rPr>
          <w:rFonts w:eastAsia="Calibri"/>
          <w:color w:val="000000" w:themeColor="text1"/>
          <w:lang w:val="en-GB"/>
        </w:rPr>
        <w:t xml:space="preserve">the TEN Section </w:t>
      </w:r>
      <w:r w:rsidRPr="005D6BCE">
        <w:rPr>
          <w:rFonts w:eastAsia="Calibri"/>
          <w:color w:val="000000" w:themeColor="text1"/>
          <w:lang w:val="en-GB"/>
        </w:rPr>
        <w:t>held an event</w:t>
      </w:r>
      <w:r w:rsidR="53AC71B6" w:rsidRPr="005D6BCE">
        <w:rPr>
          <w:rFonts w:eastAsia="Calibri"/>
          <w:color w:val="000000" w:themeColor="text1"/>
          <w:lang w:val="en-GB"/>
        </w:rPr>
        <w:t xml:space="preserve"> </w:t>
      </w:r>
      <w:r w:rsidRPr="005D6BCE">
        <w:rPr>
          <w:rFonts w:eastAsia="Calibri"/>
          <w:color w:val="000000" w:themeColor="text1"/>
          <w:lang w:val="en-GB"/>
        </w:rPr>
        <w:t xml:space="preserve">promoting the European year dedicated to rail and explaining its potential to become a fully sustainable and competitive transport option, thereby helping to achieve the Green Deal targets. </w:t>
      </w:r>
      <w:r w:rsidR="00E75D95" w:rsidRPr="005D6BCE">
        <w:rPr>
          <w:rFonts w:eastAsia="Calibri"/>
          <w:color w:val="000000" w:themeColor="text1"/>
          <w:lang w:val="en-GB"/>
        </w:rPr>
        <w:t>H</w:t>
      </w:r>
      <w:r w:rsidR="53AC71B6" w:rsidRPr="005D6BCE">
        <w:rPr>
          <w:rFonts w:eastAsia="Calibri"/>
          <w:color w:val="000000" w:themeColor="text1"/>
          <w:lang w:val="en-GB"/>
        </w:rPr>
        <w:t xml:space="preserve">igh-level speakers from </w:t>
      </w:r>
      <w:r w:rsidR="00007CAC" w:rsidRPr="005D6BCE">
        <w:rPr>
          <w:rFonts w:eastAsia="Calibri"/>
          <w:color w:val="000000" w:themeColor="text1"/>
          <w:lang w:val="en-GB"/>
        </w:rPr>
        <w:t>c</w:t>
      </w:r>
      <w:r w:rsidR="53AC71B6" w:rsidRPr="005D6BCE">
        <w:rPr>
          <w:rFonts w:eastAsia="Calibri"/>
          <w:color w:val="000000" w:themeColor="text1"/>
          <w:lang w:val="en-GB"/>
        </w:rPr>
        <w:t xml:space="preserve">ivil </w:t>
      </w:r>
      <w:r w:rsidR="00007CAC" w:rsidRPr="005D6BCE">
        <w:rPr>
          <w:rFonts w:eastAsia="Calibri"/>
          <w:color w:val="000000" w:themeColor="text1"/>
          <w:lang w:val="en-GB"/>
        </w:rPr>
        <w:t>s</w:t>
      </w:r>
      <w:r w:rsidR="53AC71B6" w:rsidRPr="005D6BCE">
        <w:rPr>
          <w:rFonts w:eastAsia="Calibri"/>
          <w:color w:val="000000" w:themeColor="text1"/>
          <w:lang w:val="en-GB"/>
        </w:rPr>
        <w:t xml:space="preserve">ociety and politicians shared their views on the subject, including </w:t>
      </w:r>
      <w:r w:rsidRPr="005D6BCE">
        <w:rPr>
          <w:rFonts w:eastAsia="Calibri"/>
          <w:color w:val="000000" w:themeColor="text1"/>
          <w:lang w:val="en-GB"/>
        </w:rPr>
        <w:t xml:space="preserve">Tālis Linkaits, Latvian Minister </w:t>
      </w:r>
      <w:r w:rsidR="008560DE">
        <w:rPr>
          <w:rFonts w:eastAsia="Calibri"/>
          <w:color w:val="000000" w:themeColor="text1"/>
          <w:lang w:val="en-GB"/>
        </w:rPr>
        <w:t>for</w:t>
      </w:r>
      <w:r w:rsidR="008560DE" w:rsidRPr="005D6BCE">
        <w:rPr>
          <w:rFonts w:eastAsia="Calibri"/>
          <w:color w:val="000000" w:themeColor="text1"/>
          <w:lang w:val="en-GB"/>
        </w:rPr>
        <w:t xml:space="preserve"> </w:t>
      </w:r>
      <w:r w:rsidRPr="005D6BCE">
        <w:rPr>
          <w:rFonts w:eastAsia="Calibri"/>
          <w:color w:val="000000" w:themeColor="text1"/>
          <w:lang w:val="en-GB"/>
        </w:rPr>
        <w:t>Transport</w:t>
      </w:r>
      <w:r w:rsidR="53AC71B6" w:rsidRPr="005D6BCE">
        <w:rPr>
          <w:rFonts w:eastAsia="Calibri"/>
          <w:color w:val="000000" w:themeColor="text1"/>
          <w:lang w:val="en-GB"/>
        </w:rPr>
        <w:t xml:space="preserve">, </w:t>
      </w:r>
      <w:r w:rsidRPr="005D6BCE">
        <w:rPr>
          <w:rFonts w:eastAsia="Calibri"/>
          <w:color w:val="000000" w:themeColor="text1"/>
          <w:lang w:val="en-GB"/>
        </w:rPr>
        <w:t>Aleš Mihelič, State Secretary, Slovenian Ministry of Infrastructure and</w:t>
      </w:r>
      <w:r w:rsidR="53AC71B6" w:rsidRPr="005D6BCE">
        <w:rPr>
          <w:rFonts w:eastAsia="Calibri"/>
          <w:color w:val="000000" w:themeColor="text1"/>
          <w:lang w:val="en-GB"/>
        </w:rPr>
        <w:t xml:space="preserve"> </w:t>
      </w:r>
      <w:r w:rsidRPr="005D6BCE">
        <w:rPr>
          <w:rFonts w:eastAsia="Calibri"/>
          <w:color w:val="000000" w:themeColor="text1"/>
          <w:lang w:val="en-GB"/>
        </w:rPr>
        <w:t>Barbara Thaler, MEP.</w:t>
      </w:r>
      <w:r w:rsidR="53AC71B6" w:rsidRPr="005D6BCE">
        <w:rPr>
          <w:rFonts w:eastAsia="Calibri"/>
          <w:color w:val="000000" w:themeColor="text1"/>
          <w:lang w:val="en-GB"/>
        </w:rPr>
        <w:t xml:space="preserve"> </w:t>
      </w:r>
      <w:r w:rsidRPr="005D6BCE">
        <w:rPr>
          <w:rFonts w:eastAsia="Calibri"/>
          <w:color w:val="000000" w:themeColor="text1"/>
          <w:lang w:val="en-GB"/>
        </w:rPr>
        <w:t xml:space="preserve">The event also included a presentation of the historical "Women in Rail" agreement, signed by the Community of European Railway and Infrastructure Companies (CER) and the European Transport Workers' Federation (ETF) on 5 November 2021. </w:t>
      </w:r>
    </w:p>
    <w:p w14:paraId="78E281FB" w14:textId="77777777" w:rsidR="0081678E" w:rsidRPr="005D6BCE" w:rsidRDefault="0081678E" w:rsidP="00DC0750">
      <w:pPr>
        <w:spacing w:line="276" w:lineRule="auto"/>
        <w:rPr>
          <w:rFonts w:eastAsia="Calibri"/>
          <w:color w:val="000000" w:themeColor="text1"/>
          <w:lang w:val="en-GB"/>
        </w:rPr>
      </w:pPr>
    </w:p>
    <w:p w14:paraId="7C0C47E6" w14:textId="08FB119A" w:rsidR="009F65CA" w:rsidRPr="005D6BCE" w:rsidRDefault="009F65CA" w:rsidP="00DC0750">
      <w:pPr>
        <w:spacing w:line="276" w:lineRule="auto"/>
        <w:rPr>
          <w:rFonts w:eastAsia="Calibri"/>
          <w:color w:val="000000" w:themeColor="text1"/>
          <w:lang w:val="en-GB"/>
        </w:rPr>
      </w:pPr>
      <w:r w:rsidRPr="005D6BCE">
        <w:rPr>
          <w:rFonts w:eastAsia="Calibri"/>
          <w:color w:val="000000" w:themeColor="text1"/>
          <w:lang w:val="en-GB"/>
        </w:rPr>
        <w:t>In September 2022, the TEN section organi</w:t>
      </w:r>
      <w:r w:rsidR="008560DE">
        <w:rPr>
          <w:rFonts w:eastAsia="Calibri"/>
          <w:color w:val="000000" w:themeColor="text1"/>
          <w:lang w:val="en-GB"/>
        </w:rPr>
        <w:t>s</w:t>
      </w:r>
      <w:r w:rsidRPr="005D6BCE">
        <w:rPr>
          <w:rFonts w:eastAsia="Calibri"/>
          <w:color w:val="000000" w:themeColor="text1"/>
          <w:lang w:val="en-GB"/>
        </w:rPr>
        <w:t xml:space="preserve">ed with the University of Debrecen a high-level, prestigious international scientific-professional conference on </w:t>
      </w:r>
      <w:r w:rsidRPr="005D6BCE">
        <w:rPr>
          <w:rFonts w:eastAsia="Calibri"/>
          <w:i/>
          <w:iCs/>
          <w:color w:val="000000" w:themeColor="text1"/>
          <w:lang w:val="en-GB"/>
        </w:rPr>
        <w:t>Co-creation and services of general interest in the field of health and well-being</w:t>
      </w:r>
      <w:r w:rsidRPr="005D6BCE">
        <w:rPr>
          <w:rFonts w:eastAsia="Calibri"/>
          <w:color w:val="000000" w:themeColor="text1"/>
          <w:lang w:val="en-GB"/>
        </w:rPr>
        <w:t xml:space="preserve"> in Debrecen, Hungary. The event received a</w:t>
      </w:r>
      <w:r w:rsidR="00ED5187" w:rsidRPr="005D6BCE">
        <w:rPr>
          <w:rFonts w:eastAsia="Calibri"/>
          <w:color w:val="000000" w:themeColor="text1"/>
          <w:lang w:val="en-GB"/>
        </w:rPr>
        <w:t xml:space="preserve">n excellent </w:t>
      </w:r>
      <w:r w:rsidRPr="005D6BCE">
        <w:rPr>
          <w:rFonts w:eastAsia="Calibri"/>
          <w:color w:val="000000" w:themeColor="text1"/>
          <w:lang w:val="en-GB"/>
        </w:rPr>
        <w:t xml:space="preserve">coverage in local media. </w:t>
      </w:r>
    </w:p>
    <w:p w14:paraId="60236DAE" w14:textId="77777777" w:rsidR="0081678E" w:rsidRPr="005D6BCE" w:rsidRDefault="0081678E" w:rsidP="00DC0750">
      <w:pPr>
        <w:spacing w:line="276" w:lineRule="auto"/>
        <w:rPr>
          <w:rFonts w:eastAsia="Calibri"/>
          <w:color w:val="000000" w:themeColor="text1"/>
          <w:lang w:val="en-GB"/>
        </w:rPr>
      </w:pPr>
    </w:p>
    <w:p w14:paraId="7D9F8568" w14:textId="22DEFED7" w:rsidR="003E7F4E" w:rsidRPr="005D6BCE" w:rsidRDefault="008560DE" w:rsidP="00DC0750">
      <w:pPr>
        <w:spacing w:line="276" w:lineRule="auto"/>
        <w:rPr>
          <w:rFonts w:eastAsia="Calibri"/>
          <w:color w:val="000000" w:themeColor="text1"/>
          <w:lang w:val="en-GB"/>
        </w:rPr>
      </w:pPr>
      <w:r>
        <w:rPr>
          <w:rFonts w:eastAsia="Calibri"/>
          <w:color w:val="000000" w:themeColor="text1"/>
          <w:lang w:val="en-GB"/>
        </w:rPr>
        <w:t>On</w:t>
      </w:r>
      <w:r w:rsidRPr="005D6BCE">
        <w:rPr>
          <w:rFonts w:eastAsia="Calibri"/>
          <w:color w:val="000000" w:themeColor="text1"/>
          <w:lang w:val="en-GB"/>
        </w:rPr>
        <w:t xml:space="preserve"> </w:t>
      </w:r>
      <w:r w:rsidR="003E7F4E" w:rsidRPr="005D6BCE">
        <w:rPr>
          <w:rFonts w:eastAsia="Calibri"/>
          <w:color w:val="000000" w:themeColor="text1"/>
          <w:lang w:val="en-GB"/>
        </w:rPr>
        <w:t xml:space="preserve">the occasion of the 2021 conference on </w:t>
      </w:r>
      <w:r w:rsidR="003E7F4E" w:rsidRPr="005D6BCE">
        <w:rPr>
          <w:rFonts w:eastAsia="Calibri"/>
          <w:i/>
          <w:iCs/>
          <w:color w:val="000000" w:themeColor="text1"/>
          <w:lang w:val="en-GB"/>
        </w:rPr>
        <w:t>Energy poverty at the crossroads of the European Pillar of Social Rights and the European Green Deal</w:t>
      </w:r>
      <w:r w:rsidR="003E7F4E" w:rsidRPr="005D6BCE">
        <w:rPr>
          <w:rFonts w:eastAsia="Calibri"/>
          <w:color w:val="000000" w:themeColor="text1"/>
          <w:lang w:val="en-GB"/>
        </w:rPr>
        <w:t xml:space="preserve">, an </w:t>
      </w:r>
      <w:r w:rsidR="00ED5187" w:rsidRPr="005D6BCE">
        <w:rPr>
          <w:rFonts w:eastAsia="Calibri"/>
          <w:color w:val="000000" w:themeColor="text1"/>
          <w:lang w:val="en-GB"/>
        </w:rPr>
        <w:t>EESC</w:t>
      </w:r>
      <w:r w:rsidR="003E7F4E" w:rsidRPr="005D6BCE">
        <w:rPr>
          <w:rFonts w:eastAsia="Calibri"/>
          <w:color w:val="000000" w:themeColor="text1"/>
          <w:lang w:val="en-GB"/>
        </w:rPr>
        <w:t xml:space="preserve"> </w:t>
      </w:r>
      <w:hyperlink r:id="rId22" w:anchor="downloads" w:history="1">
        <w:r w:rsidR="003E7F4E" w:rsidRPr="005D6BCE">
          <w:rPr>
            <w:rStyle w:val="Hyperlink"/>
            <w:rFonts w:eastAsia="Calibri"/>
            <w:lang w:val="en-GB"/>
          </w:rPr>
          <w:t>report</w:t>
        </w:r>
      </w:hyperlink>
      <w:r w:rsidR="003E7F4E" w:rsidRPr="005D6BCE">
        <w:rPr>
          <w:rFonts w:eastAsia="Calibri"/>
          <w:color w:val="000000" w:themeColor="text1"/>
          <w:lang w:val="en-GB"/>
        </w:rPr>
        <w:t xml:space="preserve"> was published on the context, objectives and outcomes of the conference.</w:t>
      </w:r>
    </w:p>
    <w:p w14:paraId="4F6C6C83" w14:textId="6AA4B61C" w:rsidR="00B81E4F" w:rsidRPr="005D6BCE" w:rsidRDefault="00007CAC" w:rsidP="00DC0750">
      <w:pPr>
        <w:spacing w:line="276" w:lineRule="auto"/>
        <w:rPr>
          <w:lang w:val="en-GB"/>
        </w:rPr>
      </w:pPr>
      <w:r w:rsidRPr="00C54CF9">
        <w:rPr>
          <w:bCs/>
          <w:lang w:val="en-GB"/>
        </w:rPr>
        <w:t xml:space="preserve">The TEN section carried out a study on </w:t>
      </w:r>
      <w:r w:rsidRPr="00C54CF9">
        <w:rPr>
          <w:bCs/>
          <w:i/>
          <w:iCs/>
          <w:lang w:val="en-GB"/>
        </w:rPr>
        <w:t>Minimum Energy Performance Standards (MEPS) in the residential sector</w:t>
      </w:r>
      <w:r w:rsidRPr="00C54CF9">
        <w:rPr>
          <w:bCs/>
          <w:lang w:val="en-GB"/>
        </w:rPr>
        <w:t xml:space="preserve"> in order to assess the introduction of MEPS in different types of buildings, with the focus on the residential sector, and the impact on consumers experiencing energy poverty or in a vulnerable situation. </w:t>
      </w:r>
      <w:r w:rsidRPr="005D6BCE">
        <w:rPr>
          <w:lang w:val="en-GB"/>
        </w:rPr>
        <w:t xml:space="preserve">A study on </w:t>
      </w:r>
      <w:r w:rsidRPr="005D6BCE">
        <w:rPr>
          <w:i/>
          <w:iCs/>
          <w:lang w:val="en-GB"/>
        </w:rPr>
        <w:t>Gender-disaggregated data on energy poverty</w:t>
      </w:r>
      <w:r w:rsidRPr="005D6BCE">
        <w:rPr>
          <w:lang w:val="en-GB"/>
        </w:rPr>
        <w:t xml:space="preserve"> was also launched in January 2023.</w:t>
      </w:r>
    </w:p>
    <w:p w14:paraId="49BE04B1" w14:textId="7A1816FB" w:rsidR="003E7F4E" w:rsidRPr="005D6BCE" w:rsidRDefault="003E7F4E" w:rsidP="003C5B4E">
      <w:pPr>
        <w:spacing w:line="240" w:lineRule="auto"/>
        <w:rPr>
          <w:rFonts w:asciiTheme="majorHAnsi" w:hAnsiTheme="majorHAnsi" w:cstheme="minorHAnsi"/>
          <w:color w:val="0070C0"/>
          <w:sz w:val="32"/>
          <w:lang w:val="en-GB"/>
        </w:rPr>
      </w:pPr>
    </w:p>
    <w:p w14:paraId="09368B21" w14:textId="77777777" w:rsidR="00EA7BB0" w:rsidRPr="005D6BCE" w:rsidRDefault="00EA7BB0" w:rsidP="003C5B4E">
      <w:pPr>
        <w:spacing w:line="240" w:lineRule="auto"/>
        <w:rPr>
          <w:rFonts w:asciiTheme="majorHAnsi" w:hAnsiTheme="majorHAnsi" w:cstheme="minorHAnsi"/>
          <w:color w:val="0070C0"/>
          <w:sz w:val="32"/>
          <w:lang w:val="en-GB"/>
        </w:rPr>
      </w:pPr>
    </w:p>
    <w:p w14:paraId="680AE1C5" w14:textId="6D3EB11D" w:rsidR="003C5B4E" w:rsidRPr="005D6BCE" w:rsidRDefault="003C5B4E" w:rsidP="003C5B4E">
      <w:pPr>
        <w:spacing w:line="240" w:lineRule="auto"/>
        <w:rPr>
          <w:rFonts w:asciiTheme="majorHAnsi" w:hAnsiTheme="majorHAnsi" w:cstheme="minorHAnsi"/>
          <w:color w:val="0070C0"/>
          <w:sz w:val="32"/>
          <w:lang w:val="en-GB"/>
        </w:rPr>
      </w:pPr>
      <w:r w:rsidRPr="005D6BCE">
        <w:rPr>
          <w:rFonts w:asciiTheme="majorHAnsi" w:hAnsiTheme="majorHAnsi" w:cstheme="minorHAnsi"/>
          <w:color w:val="0070C0"/>
          <w:sz w:val="32"/>
          <w:lang w:val="en-GB"/>
        </w:rPr>
        <w:t xml:space="preserve">Perspective/outlook </w:t>
      </w:r>
    </w:p>
    <w:p w14:paraId="27D838DE" w14:textId="1830E087" w:rsidR="222E42F8" w:rsidRPr="005D6BCE" w:rsidRDefault="003C5B4E" w:rsidP="00E30811">
      <w:pPr>
        <w:spacing w:line="240" w:lineRule="auto"/>
        <w:rPr>
          <w:rFonts w:asciiTheme="majorHAnsi" w:hAnsiTheme="majorHAnsi" w:cstheme="minorHAnsi"/>
          <w:color w:val="0070C0"/>
          <w:sz w:val="32"/>
          <w:lang w:val="en-GB"/>
        </w:rPr>
      </w:pPr>
      <w:r w:rsidRPr="00C54CF9">
        <w:rPr>
          <w:rFonts w:asciiTheme="majorHAnsi" w:hAnsiTheme="majorHAnsi" w:cstheme="minorHAnsi"/>
          <w:noProof/>
          <w:color w:val="0070C0"/>
          <w:sz w:val="32"/>
        </w:rPr>
        <mc:AlternateContent>
          <mc:Choice Requires="wps">
            <w:drawing>
              <wp:anchor distT="0" distB="0" distL="114300" distR="114300" simplePos="0" relativeHeight="251670528" behindDoc="0" locked="0" layoutInCell="1" allowOverlap="1" wp14:anchorId="4A7918D3" wp14:editId="22BA4686">
                <wp:simplePos x="0" y="0"/>
                <wp:positionH relativeFrom="column">
                  <wp:posOffset>13969</wp:posOffset>
                </wp:positionH>
                <wp:positionV relativeFrom="paragraph">
                  <wp:posOffset>50027</wp:posOffset>
                </wp:positionV>
                <wp:extent cx="5661329" cy="15903"/>
                <wp:effectExtent l="0" t="0" r="34925" b="22225"/>
                <wp:wrapNone/>
                <wp:docPr id="11" name="Straight Connector 11"/>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0F1E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2vQ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" strokecolor="#5b9bd5 [3204]" strokeweight=".5pt">
                <v:stroke joinstyle="miter"/>
              </v:line>
            </w:pict>
          </mc:Fallback>
        </mc:AlternateContent>
      </w:r>
    </w:p>
    <w:p w14:paraId="3BF4A7C2" w14:textId="5FE332EE" w:rsidR="005D04CC" w:rsidRDefault="005D04CC" w:rsidP="005D04CC">
      <w:pPr>
        <w:rPr>
          <w:rFonts w:eastAsia="Calibri"/>
          <w:color w:val="000000" w:themeColor="text1"/>
          <w:lang w:val="en-GB"/>
        </w:rPr>
      </w:pPr>
      <w:r w:rsidRPr="005D6BCE">
        <w:rPr>
          <w:rFonts w:eastAsia="Calibri"/>
          <w:color w:val="000000" w:themeColor="text1"/>
          <w:lang w:val="en-GB"/>
        </w:rPr>
        <w:t xml:space="preserve">The energy market reform will remain high on the agenda of the TEN section following the 2023 Commission work program. </w:t>
      </w:r>
      <w:r w:rsidR="00606BA6" w:rsidRPr="005D6BCE">
        <w:rPr>
          <w:rFonts w:eastAsia="Calibri"/>
          <w:color w:val="000000" w:themeColor="text1"/>
          <w:lang w:val="en-GB"/>
        </w:rPr>
        <w:t xml:space="preserve">The EESC is currently working on two opinions on the topic and will hold a thematic debate </w:t>
      </w:r>
      <w:r w:rsidR="003E7F4E" w:rsidRPr="005D6BCE">
        <w:rPr>
          <w:rFonts w:eastAsia="Calibri"/>
          <w:color w:val="000000" w:themeColor="text1"/>
          <w:lang w:val="en-GB"/>
        </w:rPr>
        <w:t xml:space="preserve">at the TEN section meeting in April 2023 </w:t>
      </w:r>
      <w:r w:rsidR="00606BA6" w:rsidRPr="005D6BCE">
        <w:rPr>
          <w:rFonts w:eastAsia="Calibri"/>
          <w:color w:val="000000" w:themeColor="text1"/>
          <w:lang w:val="en-GB"/>
        </w:rPr>
        <w:t xml:space="preserve">on </w:t>
      </w:r>
      <w:r w:rsidR="00606BA6" w:rsidRPr="00C54CF9">
        <w:rPr>
          <w:rFonts w:eastAsia="Calibri"/>
          <w:i/>
          <w:iCs/>
          <w:color w:val="000000" w:themeColor="text1"/>
          <w:lang w:val="en-GB"/>
        </w:rPr>
        <w:t>Reforming the EU's electricity market</w:t>
      </w:r>
      <w:r w:rsidR="00606BA6" w:rsidRPr="00C54CF9">
        <w:rPr>
          <w:rFonts w:eastAsia="Calibri"/>
          <w:color w:val="000000" w:themeColor="text1"/>
          <w:lang w:val="en-GB"/>
        </w:rPr>
        <w:t xml:space="preserve"> </w:t>
      </w:r>
      <w:r w:rsidR="00606BA6" w:rsidRPr="005D6BCE">
        <w:rPr>
          <w:rFonts w:eastAsia="Calibri"/>
          <w:color w:val="000000" w:themeColor="text1"/>
          <w:lang w:val="en-GB"/>
        </w:rPr>
        <w:t xml:space="preserve">with the participation of Commission representatives as well as external stakeholders. </w:t>
      </w:r>
      <w:r w:rsidRPr="005D6BCE">
        <w:rPr>
          <w:rFonts w:eastAsia="Calibri"/>
          <w:color w:val="000000" w:themeColor="text1"/>
          <w:lang w:val="en-GB"/>
        </w:rPr>
        <w:t xml:space="preserve">Tackling energy poverty and protecting vulnerable households </w:t>
      </w:r>
      <w:r w:rsidR="006943A6" w:rsidRPr="005D6BCE">
        <w:rPr>
          <w:rFonts w:eastAsia="Calibri"/>
          <w:color w:val="000000" w:themeColor="text1"/>
          <w:lang w:val="en-GB"/>
        </w:rPr>
        <w:t xml:space="preserve">will </w:t>
      </w:r>
      <w:r w:rsidRPr="005D6BCE">
        <w:rPr>
          <w:rFonts w:eastAsia="Calibri"/>
          <w:color w:val="000000" w:themeColor="text1"/>
          <w:lang w:val="en-GB"/>
        </w:rPr>
        <w:t xml:space="preserve">remain </w:t>
      </w:r>
      <w:r w:rsidR="006943A6" w:rsidRPr="005D6BCE">
        <w:rPr>
          <w:rFonts w:eastAsia="Calibri"/>
          <w:color w:val="000000" w:themeColor="text1"/>
          <w:lang w:val="en-GB"/>
        </w:rPr>
        <w:t>a</w:t>
      </w:r>
      <w:r w:rsidRPr="005D6BCE">
        <w:rPr>
          <w:rFonts w:eastAsia="Calibri"/>
          <w:color w:val="000000" w:themeColor="text1"/>
          <w:lang w:val="en-GB"/>
        </w:rPr>
        <w:t xml:space="preserve"> priority topic in </w:t>
      </w:r>
      <w:r w:rsidR="008560DE">
        <w:rPr>
          <w:rFonts w:eastAsia="Calibri"/>
          <w:color w:val="000000" w:themeColor="text1"/>
          <w:lang w:val="en-GB"/>
        </w:rPr>
        <w:t xml:space="preserve">the </w:t>
      </w:r>
      <w:r w:rsidRPr="005D6BCE">
        <w:rPr>
          <w:rFonts w:eastAsia="Calibri"/>
          <w:color w:val="000000" w:themeColor="text1"/>
          <w:lang w:val="en-GB"/>
        </w:rPr>
        <w:t>TEN section</w:t>
      </w:r>
      <w:r w:rsidR="008560DE">
        <w:rPr>
          <w:rFonts w:eastAsia="Calibri"/>
          <w:color w:val="000000" w:themeColor="text1"/>
          <w:lang w:val="en-GB"/>
        </w:rPr>
        <w:t>,</w:t>
      </w:r>
      <w:r w:rsidRPr="005D6BCE">
        <w:rPr>
          <w:rFonts w:eastAsia="Calibri"/>
          <w:color w:val="000000" w:themeColor="text1"/>
          <w:lang w:val="en-GB"/>
        </w:rPr>
        <w:t xml:space="preserve"> and the third edition of </w:t>
      </w:r>
      <w:r w:rsidR="003E7F4E" w:rsidRPr="005D6BCE">
        <w:rPr>
          <w:rFonts w:eastAsia="Calibri"/>
          <w:color w:val="000000" w:themeColor="text1"/>
          <w:lang w:val="en-GB"/>
        </w:rPr>
        <w:t>the</w:t>
      </w:r>
      <w:r w:rsidRPr="005D6BCE">
        <w:rPr>
          <w:rFonts w:eastAsia="Calibri"/>
          <w:color w:val="000000" w:themeColor="text1"/>
          <w:lang w:val="en-GB"/>
        </w:rPr>
        <w:t xml:space="preserve"> </w:t>
      </w:r>
      <w:r w:rsidR="003E7F4E" w:rsidRPr="005D6BCE">
        <w:rPr>
          <w:rFonts w:eastAsia="Calibri"/>
          <w:color w:val="000000" w:themeColor="text1"/>
          <w:lang w:val="en-GB"/>
        </w:rPr>
        <w:t xml:space="preserve">energy poverty </w:t>
      </w:r>
      <w:r w:rsidRPr="005D6BCE">
        <w:rPr>
          <w:rFonts w:eastAsia="Calibri"/>
          <w:color w:val="000000" w:themeColor="text1"/>
          <w:lang w:val="en-GB"/>
        </w:rPr>
        <w:t>conference will be organi</w:t>
      </w:r>
      <w:r w:rsidR="008560DE">
        <w:rPr>
          <w:rFonts w:eastAsia="Calibri"/>
          <w:color w:val="000000" w:themeColor="text1"/>
          <w:lang w:val="en-GB"/>
        </w:rPr>
        <w:t>s</w:t>
      </w:r>
      <w:r w:rsidRPr="005D6BCE">
        <w:rPr>
          <w:rFonts w:eastAsia="Calibri"/>
          <w:color w:val="000000" w:themeColor="text1"/>
          <w:lang w:val="en-GB"/>
        </w:rPr>
        <w:t xml:space="preserve">ed in July 2023 under the Spanish </w:t>
      </w:r>
      <w:r w:rsidR="003E7F4E" w:rsidRPr="005D6BCE">
        <w:rPr>
          <w:rFonts w:eastAsia="Calibri"/>
          <w:color w:val="000000" w:themeColor="text1"/>
          <w:lang w:val="en-GB"/>
        </w:rPr>
        <w:t>P</w:t>
      </w:r>
      <w:r w:rsidRPr="005D6BCE">
        <w:rPr>
          <w:rFonts w:eastAsia="Calibri"/>
          <w:color w:val="000000" w:themeColor="text1"/>
          <w:lang w:val="en-GB"/>
        </w:rPr>
        <w:t>residency.</w:t>
      </w:r>
    </w:p>
    <w:p w14:paraId="6B415A83" w14:textId="77777777" w:rsidR="008560DE" w:rsidRPr="005D6BCE" w:rsidRDefault="008560DE" w:rsidP="005D04CC">
      <w:pPr>
        <w:rPr>
          <w:rFonts w:eastAsia="Calibri"/>
          <w:color w:val="000000" w:themeColor="text1"/>
          <w:lang w:val="en-GB"/>
        </w:rPr>
      </w:pPr>
    </w:p>
    <w:p w14:paraId="2A43AE02" w14:textId="591A7428" w:rsidR="15B6AC11" w:rsidRPr="005D6BCE" w:rsidRDefault="15B6AC11" w:rsidP="222E42F8">
      <w:pPr>
        <w:rPr>
          <w:rFonts w:eastAsia="Calibri"/>
          <w:color w:val="000000" w:themeColor="text1"/>
          <w:lang w:val="en-GB"/>
        </w:rPr>
      </w:pPr>
      <w:r w:rsidRPr="005D6BCE">
        <w:rPr>
          <w:rFonts w:eastAsia="Calibri"/>
          <w:color w:val="000000" w:themeColor="text1"/>
          <w:lang w:val="en-GB"/>
        </w:rPr>
        <w:t xml:space="preserve">In the context of the European Green Deal and building on the previous efforts in the field of sustainable mobility, the TEN </w:t>
      </w:r>
      <w:r w:rsidR="006943A6" w:rsidRPr="005D6BCE">
        <w:rPr>
          <w:rFonts w:eastAsia="Calibri"/>
          <w:color w:val="000000" w:themeColor="text1"/>
          <w:lang w:val="en-GB"/>
        </w:rPr>
        <w:t>s</w:t>
      </w:r>
      <w:r w:rsidRPr="005D6BCE">
        <w:rPr>
          <w:rFonts w:eastAsia="Calibri"/>
          <w:color w:val="000000" w:themeColor="text1"/>
          <w:lang w:val="en-GB"/>
        </w:rPr>
        <w:t xml:space="preserve">ection will focus on cutting greenhouse gas emissions and on investments into new green technologies for </w:t>
      </w:r>
      <w:r w:rsidR="00641EE5" w:rsidRPr="005D6BCE">
        <w:rPr>
          <w:rFonts w:eastAsia="Calibri"/>
          <w:color w:val="000000" w:themeColor="text1"/>
          <w:lang w:val="en-GB"/>
        </w:rPr>
        <w:t>t</w:t>
      </w:r>
      <w:r w:rsidRPr="005D6BCE">
        <w:rPr>
          <w:rFonts w:eastAsia="Calibri"/>
          <w:color w:val="000000" w:themeColor="text1"/>
          <w:lang w:val="en-GB"/>
        </w:rPr>
        <w:t xml:space="preserve">ransport. </w:t>
      </w:r>
    </w:p>
    <w:p w14:paraId="66E713F8" w14:textId="77777777" w:rsidR="0081678E" w:rsidRPr="005D6BCE" w:rsidRDefault="0081678E" w:rsidP="222E42F8">
      <w:pPr>
        <w:rPr>
          <w:lang w:val="en-GB"/>
        </w:rPr>
      </w:pPr>
    </w:p>
    <w:p w14:paraId="1E1FFF8C" w14:textId="49F61172" w:rsidR="15B6AC11" w:rsidRPr="005D6BCE" w:rsidRDefault="15B6AC11" w:rsidP="222E42F8">
      <w:pPr>
        <w:rPr>
          <w:rFonts w:eastAsia="Calibri"/>
          <w:color w:val="000000" w:themeColor="text1"/>
          <w:lang w:val="en-GB"/>
        </w:rPr>
      </w:pPr>
      <w:r w:rsidRPr="005D6BCE">
        <w:rPr>
          <w:rFonts w:eastAsia="Calibri"/>
          <w:color w:val="000000" w:themeColor="text1"/>
          <w:lang w:val="en-GB"/>
        </w:rPr>
        <w:t xml:space="preserve">In the field of mobility, digitalisation is the key to seamless multimodality and improved sustainability. A common European mobility data space will boost the digitalisation of the mobility sector and encourage innovative solutions. To prepare for emerging mobility solutions, </w:t>
      </w:r>
      <w:r w:rsidR="006943A6" w:rsidRPr="005D6BCE">
        <w:rPr>
          <w:rFonts w:eastAsia="Calibri"/>
          <w:color w:val="000000" w:themeColor="text1"/>
          <w:lang w:val="en-GB"/>
        </w:rPr>
        <w:t>the section</w:t>
      </w:r>
      <w:r w:rsidRPr="005D6BCE">
        <w:rPr>
          <w:rFonts w:eastAsia="Calibri"/>
          <w:color w:val="000000" w:themeColor="text1"/>
          <w:lang w:val="en-GB"/>
        </w:rPr>
        <w:t xml:space="preserve"> will follow attentively the proposals for an EU regulatory framework for hyperloop, a high-speed</w:t>
      </w:r>
      <w:r w:rsidR="006943A6" w:rsidRPr="005D6BCE">
        <w:rPr>
          <w:rFonts w:eastAsia="Calibri"/>
          <w:color w:val="000000" w:themeColor="text1"/>
          <w:lang w:val="en-GB"/>
        </w:rPr>
        <w:t xml:space="preserve"> and</w:t>
      </w:r>
      <w:r w:rsidRPr="005D6BCE">
        <w:rPr>
          <w:rFonts w:eastAsia="Calibri"/>
          <w:color w:val="000000" w:themeColor="text1"/>
          <w:lang w:val="en-GB"/>
        </w:rPr>
        <w:t xml:space="preserve"> low-carbon transport solution.</w:t>
      </w:r>
    </w:p>
    <w:p w14:paraId="00082207" w14:textId="77777777" w:rsidR="0081678E" w:rsidRPr="005D6BCE" w:rsidRDefault="0081678E" w:rsidP="222E42F8">
      <w:pPr>
        <w:rPr>
          <w:rFonts w:eastAsia="Calibri"/>
          <w:color w:val="000000" w:themeColor="text1"/>
          <w:lang w:val="en-GB"/>
        </w:rPr>
      </w:pPr>
    </w:p>
    <w:p w14:paraId="15890A47" w14:textId="1ADC2B22" w:rsidR="005D04CC" w:rsidRPr="00C54CF9" w:rsidRDefault="005D04CC" w:rsidP="222E42F8">
      <w:pPr>
        <w:rPr>
          <w:rFonts w:eastAsia="Calibri"/>
          <w:color w:val="000000" w:themeColor="text1"/>
          <w:lang w:val="en-GB"/>
        </w:rPr>
      </w:pPr>
      <w:r w:rsidRPr="00C54CF9">
        <w:rPr>
          <w:rFonts w:eastAsia="Calibri"/>
          <w:color w:val="000000" w:themeColor="text1"/>
          <w:lang w:val="en-GB"/>
        </w:rPr>
        <w:t xml:space="preserve">Following the successful conference on </w:t>
      </w:r>
      <w:r w:rsidR="006943A6" w:rsidRPr="00C54CF9">
        <w:rPr>
          <w:rFonts w:eastAsia="Calibri"/>
          <w:color w:val="000000" w:themeColor="text1"/>
          <w:lang w:val="en-GB"/>
        </w:rPr>
        <w:t>services of general interest (</w:t>
      </w:r>
      <w:r w:rsidRPr="00C54CF9">
        <w:rPr>
          <w:rFonts w:eastAsia="Calibri"/>
          <w:color w:val="000000" w:themeColor="text1"/>
          <w:lang w:val="en-GB"/>
        </w:rPr>
        <w:t>SGIs</w:t>
      </w:r>
      <w:r w:rsidR="006943A6" w:rsidRPr="00C54CF9">
        <w:rPr>
          <w:rFonts w:eastAsia="Calibri"/>
          <w:color w:val="000000" w:themeColor="text1"/>
          <w:lang w:val="en-GB"/>
        </w:rPr>
        <w:t>)</w:t>
      </w:r>
      <w:r w:rsidRPr="00C54CF9">
        <w:rPr>
          <w:rFonts w:eastAsia="Calibri"/>
          <w:color w:val="000000" w:themeColor="text1"/>
          <w:lang w:val="en-GB"/>
        </w:rPr>
        <w:t xml:space="preserve"> in the field of public health and well-being in September 2022 in Debrecen, as well as the steps taken by the Czech EU Council Presidency towards </w:t>
      </w:r>
      <w:r w:rsidR="003E7F4E" w:rsidRPr="00C54CF9">
        <w:rPr>
          <w:rFonts w:eastAsia="Calibri"/>
          <w:color w:val="000000" w:themeColor="text1"/>
          <w:lang w:val="en-GB"/>
        </w:rPr>
        <w:t>an</w:t>
      </w:r>
      <w:r w:rsidRPr="00C54CF9">
        <w:rPr>
          <w:rFonts w:eastAsia="Calibri"/>
          <w:color w:val="000000" w:themeColor="text1"/>
          <w:lang w:val="en-GB"/>
        </w:rPr>
        <w:t xml:space="preserve"> EU strategy for rare diseases, the TEN section</w:t>
      </w:r>
      <w:r w:rsidR="006943A6" w:rsidRPr="00C54CF9">
        <w:rPr>
          <w:rFonts w:eastAsia="Calibri"/>
          <w:color w:val="000000" w:themeColor="text1"/>
          <w:lang w:val="en-GB"/>
        </w:rPr>
        <w:t xml:space="preserve"> </w:t>
      </w:r>
      <w:r w:rsidRPr="00C54CF9">
        <w:rPr>
          <w:rFonts w:eastAsia="Calibri"/>
          <w:color w:val="000000" w:themeColor="text1"/>
          <w:lang w:val="en-GB"/>
        </w:rPr>
        <w:t>will organise a conference on the topic during the Spanish Presidency. The conference will aim to bring together local, regional, national and European actors to encourage the setting up of a European policy framework for rare diseases, bring together a concerted strategy across research, digital, healthcare, social welfare complementing existing legislation and encourage continued investment in the field of rare diseases at both European and national levels.</w:t>
      </w:r>
    </w:p>
    <w:p w14:paraId="0B6F81C2" w14:textId="4FD1B11D" w:rsidR="0081678E" w:rsidRPr="00C54CF9" w:rsidRDefault="0081678E" w:rsidP="222E42F8">
      <w:pPr>
        <w:rPr>
          <w:rFonts w:eastAsia="Calibri"/>
          <w:color w:val="000000" w:themeColor="text1"/>
          <w:lang w:val="en-GB"/>
        </w:rPr>
      </w:pPr>
    </w:p>
    <w:p w14:paraId="3A8483DF" w14:textId="3E31E0FD" w:rsidR="0081678E" w:rsidRPr="00C54CF9" w:rsidRDefault="001B2F1F" w:rsidP="222E42F8">
      <w:pPr>
        <w:rPr>
          <w:rFonts w:eastAsia="Calibri"/>
          <w:color w:val="000000" w:themeColor="text1"/>
          <w:lang w:val="en-GB"/>
        </w:rPr>
      </w:pPr>
      <w:r w:rsidRPr="005D6BCE">
        <w:rPr>
          <w:rFonts w:eastAsia="Calibri"/>
          <w:color w:val="000000" w:themeColor="text1"/>
          <w:lang w:val="en-GB"/>
        </w:rPr>
        <w:t xml:space="preserve">Building upon the previous EESC opinions which tackle different aspects of the increased use of </w:t>
      </w:r>
      <w:r w:rsidR="00AB672B" w:rsidRPr="005D6BCE">
        <w:rPr>
          <w:rFonts w:eastAsia="Calibri"/>
          <w:color w:val="000000" w:themeColor="text1"/>
          <w:lang w:val="en-GB"/>
        </w:rPr>
        <w:t xml:space="preserve"> </w:t>
      </w:r>
      <w:r w:rsidRPr="005D6BCE">
        <w:rPr>
          <w:rFonts w:eastAsia="Calibri"/>
          <w:color w:val="000000" w:themeColor="text1"/>
          <w:lang w:val="en-GB"/>
        </w:rPr>
        <w:t xml:space="preserve"> remotely piloted aircraft systems, the EESC will formulate recommendations in an own-initiative opinion on the </w:t>
      </w:r>
      <w:r w:rsidRPr="005D6BCE">
        <w:rPr>
          <w:rFonts w:eastAsia="Calibri"/>
          <w:i/>
          <w:iCs/>
          <w:color w:val="000000" w:themeColor="text1"/>
          <w:lang w:val="en-GB"/>
        </w:rPr>
        <w:t>European Drone strategy 2.0</w:t>
      </w:r>
      <w:r w:rsidRPr="005D6BCE">
        <w:rPr>
          <w:rFonts w:eastAsia="Calibri"/>
          <w:color w:val="000000" w:themeColor="text1"/>
          <w:lang w:val="en-GB"/>
        </w:rPr>
        <w:t xml:space="preserve"> in light of the European Green Deal, Smart and Sustainable Mobility Strategy and Digital Strategy. The Committee will assess the strategy from the overall perspective of civil society trying to find a common ground for the civilian and non-civilian industry, consumers and citizens in general, paying particular attention to environmental and health aspects of drone deployment.</w:t>
      </w:r>
    </w:p>
    <w:p w14:paraId="24FDBBAC" w14:textId="5B7ADB6C" w:rsidR="0081678E" w:rsidRPr="00C54CF9" w:rsidRDefault="0081678E" w:rsidP="222E42F8">
      <w:pPr>
        <w:rPr>
          <w:rFonts w:eastAsia="Calibri"/>
          <w:color w:val="000000" w:themeColor="text1"/>
          <w:lang w:val="en-GB"/>
        </w:rPr>
      </w:pPr>
    </w:p>
    <w:p w14:paraId="5FDDA2C4" w14:textId="1A911344" w:rsidR="00416A4E" w:rsidRPr="00C54CF9" w:rsidRDefault="00416A4E" w:rsidP="00416A4E">
      <w:pPr>
        <w:rPr>
          <w:rFonts w:eastAsia="Calibri"/>
          <w:color w:val="000000" w:themeColor="text1"/>
          <w:lang w:val="en-GB"/>
        </w:rPr>
      </w:pPr>
      <w:r w:rsidRPr="00C54CF9">
        <w:rPr>
          <w:rFonts w:eastAsia="Calibri"/>
          <w:color w:val="000000" w:themeColor="text1"/>
          <w:lang w:val="en-GB"/>
        </w:rPr>
        <w:t xml:space="preserve">In 2023 the TEN section will concentrate on the next </w:t>
      </w:r>
      <w:r w:rsidRPr="00C54CF9">
        <w:rPr>
          <w:rFonts w:eastAsia="Calibri"/>
          <w:i/>
          <w:iCs/>
          <w:color w:val="000000" w:themeColor="text1"/>
          <w:lang w:val="en-GB"/>
        </w:rPr>
        <w:t>New Radio Spectrum Policy Program (RSPP)</w:t>
      </w:r>
      <w:r w:rsidRPr="00C54CF9">
        <w:rPr>
          <w:rFonts w:eastAsia="Calibri"/>
          <w:color w:val="000000" w:themeColor="text1"/>
          <w:lang w:val="en-GB"/>
        </w:rPr>
        <w:t xml:space="preserve"> legislative initiative, which will concern very important and strategic aspects of radio spectrum management and the harmonisation of its use in the European Union. The section will also continue to focus on telecommunications infrastructure, including 5G deployment and the legislative negotiation of the </w:t>
      </w:r>
      <w:r w:rsidRPr="00C54CF9">
        <w:rPr>
          <w:rFonts w:eastAsia="Calibri"/>
          <w:i/>
          <w:iCs/>
          <w:color w:val="000000" w:themeColor="text1"/>
          <w:lang w:val="en-GB"/>
        </w:rPr>
        <w:t>Gigabit Infrastructure Act</w:t>
      </w:r>
      <w:r w:rsidRPr="00C54CF9">
        <w:rPr>
          <w:rFonts w:eastAsia="Calibri"/>
          <w:color w:val="000000" w:themeColor="text1"/>
          <w:lang w:val="en-GB"/>
        </w:rPr>
        <w:t>, while continuing to monitor EU policies in the field of cybersecurity and resilience of critical entities.</w:t>
      </w:r>
    </w:p>
    <w:p w14:paraId="66851D9B" w14:textId="77777777" w:rsidR="0081678E" w:rsidRPr="00C54CF9" w:rsidRDefault="0081678E" w:rsidP="222E42F8">
      <w:pPr>
        <w:rPr>
          <w:rFonts w:eastAsia="Calibri"/>
          <w:color w:val="000000" w:themeColor="text1"/>
          <w:lang w:val="en-GB"/>
        </w:rPr>
      </w:pPr>
    </w:p>
    <w:p w14:paraId="61B2164D" w14:textId="4A9CEAE0" w:rsidR="005D04CC" w:rsidRPr="005D6BCE" w:rsidRDefault="005D04CC" w:rsidP="005D04CC">
      <w:pPr>
        <w:rPr>
          <w:rFonts w:eastAsia="Calibri"/>
          <w:color w:val="000000" w:themeColor="text1"/>
          <w:lang w:val="en-GB"/>
        </w:rPr>
      </w:pPr>
      <w:r w:rsidRPr="005D6BCE">
        <w:rPr>
          <w:rFonts w:eastAsia="Calibri"/>
          <w:color w:val="000000" w:themeColor="text1"/>
          <w:lang w:val="en-GB"/>
        </w:rPr>
        <w:t xml:space="preserve">The </w:t>
      </w:r>
      <w:r w:rsidR="006943A6" w:rsidRPr="005D6BCE">
        <w:rPr>
          <w:rFonts w:eastAsia="Calibri"/>
          <w:color w:val="000000" w:themeColor="text1"/>
          <w:lang w:val="en-GB"/>
        </w:rPr>
        <w:t xml:space="preserve">TEN </w:t>
      </w:r>
      <w:r w:rsidRPr="005D6BCE">
        <w:rPr>
          <w:rFonts w:eastAsia="Calibri"/>
          <w:color w:val="000000" w:themeColor="text1"/>
          <w:lang w:val="en-GB"/>
        </w:rPr>
        <w:t xml:space="preserve">section will progress with a study on the </w:t>
      </w:r>
      <w:r w:rsidRPr="005D6BCE">
        <w:rPr>
          <w:rFonts w:eastAsia="Calibri"/>
          <w:i/>
          <w:iCs/>
          <w:color w:val="000000" w:themeColor="text1"/>
          <w:lang w:val="en-GB"/>
        </w:rPr>
        <w:t>EU space policy and involvement of civil society</w:t>
      </w:r>
      <w:r w:rsidRPr="005D6BCE">
        <w:rPr>
          <w:rFonts w:eastAsia="Calibri"/>
          <w:color w:val="000000" w:themeColor="text1"/>
          <w:lang w:val="en-GB"/>
        </w:rPr>
        <w:t xml:space="preserve">, which will look in particular at the roles of the three main players responsible for the space sector: the new </w:t>
      </w:r>
      <w:r w:rsidR="00C140D7">
        <w:rPr>
          <w:rFonts w:eastAsia="Calibri"/>
          <w:color w:val="000000" w:themeColor="text1"/>
          <w:lang w:val="en-GB"/>
        </w:rPr>
        <w:t>European Commission</w:t>
      </w:r>
      <w:r w:rsidR="00C140D7" w:rsidRPr="005D6BCE">
        <w:rPr>
          <w:rFonts w:eastAsia="Calibri"/>
          <w:color w:val="000000" w:themeColor="text1"/>
          <w:lang w:val="en-GB"/>
        </w:rPr>
        <w:t xml:space="preserve"> </w:t>
      </w:r>
      <w:r w:rsidRPr="005D6BCE">
        <w:rPr>
          <w:rFonts w:eastAsia="Calibri"/>
          <w:color w:val="000000" w:themeColor="text1"/>
          <w:lang w:val="en-GB"/>
        </w:rPr>
        <w:t>Directorate-General for the Defence Industry and Space (DG DEFIS), the European Union Agency for the Space Programme (EUSPA) and the European Space Agency (ESA).</w:t>
      </w:r>
      <w:r w:rsidR="00EA7BB0" w:rsidRPr="005D6BCE">
        <w:rPr>
          <w:rFonts w:eastAsia="Calibri"/>
          <w:color w:val="000000" w:themeColor="text1"/>
          <w:lang w:val="en-GB"/>
        </w:rPr>
        <w:t xml:space="preserve"> </w:t>
      </w:r>
    </w:p>
    <w:p w14:paraId="0A7911F2" w14:textId="77777777" w:rsidR="005D04CC" w:rsidRPr="00C54CF9" w:rsidRDefault="005D04CC" w:rsidP="222E42F8">
      <w:pPr>
        <w:rPr>
          <w:rFonts w:eastAsia="Calibri"/>
          <w:color w:val="000000" w:themeColor="text1"/>
          <w:lang w:val="en-GB"/>
        </w:rPr>
      </w:pPr>
    </w:p>
    <w:p w14:paraId="797AF97E" w14:textId="77777777" w:rsidR="005D04CC" w:rsidRPr="005D6BCE" w:rsidRDefault="005D04CC" w:rsidP="222E42F8">
      <w:pPr>
        <w:rPr>
          <w:lang w:val="en-GB"/>
        </w:rPr>
      </w:pPr>
    </w:p>
    <w:p w14:paraId="1E5B00DD" w14:textId="77777777" w:rsidR="007F3152" w:rsidRPr="005D6BCE" w:rsidRDefault="007F3152">
      <w:pPr>
        <w:spacing w:after="160" w:line="259" w:lineRule="auto"/>
        <w:jc w:val="left"/>
        <w:rPr>
          <w:rFonts w:asciiTheme="majorHAnsi" w:hAnsiTheme="majorHAnsi" w:cstheme="minorHAnsi"/>
          <w:color w:val="0070C0"/>
          <w:sz w:val="32"/>
          <w:lang w:val="en-GB"/>
        </w:rPr>
      </w:pPr>
      <w:r w:rsidRPr="005D6BCE">
        <w:rPr>
          <w:rFonts w:asciiTheme="majorHAnsi" w:hAnsiTheme="majorHAnsi" w:cstheme="minorHAnsi"/>
          <w:color w:val="0070C0"/>
          <w:sz w:val="32"/>
          <w:lang w:val="en-GB"/>
        </w:rPr>
        <w:br w:type="page"/>
      </w:r>
    </w:p>
    <w:p w14:paraId="373A5945" w14:textId="77777777" w:rsidR="00604AE1" w:rsidRPr="005D6BCE" w:rsidRDefault="00604AE1" w:rsidP="00604AE1">
      <w:pPr>
        <w:spacing w:line="240" w:lineRule="auto"/>
        <w:rPr>
          <w:rFonts w:ascii="Calibri Light" w:hAnsi="Calibri Light" w:cs="Calibri"/>
          <w:color w:val="0070C0"/>
          <w:sz w:val="32"/>
          <w:lang w:val="en-GB"/>
        </w:rPr>
      </w:pPr>
      <w:r w:rsidRPr="005D6BCE">
        <w:rPr>
          <w:rFonts w:ascii="Calibri Light" w:hAnsi="Calibri Light" w:cs="Calibri"/>
          <w:color w:val="0070C0"/>
          <w:sz w:val="32"/>
          <w:lang w:val="en-GB"/>
        </w:rPr>
        <w:t xml:space="preserve">Appendix – Key statistics </w:t>
      </w:r>
    </w:p>
    <w:p w14:paraId="547F85FB" w14:textId="77777777" w:rsidR="00604AE1" w:rsidRPr="005D6BCE" w:rsidRDefault="00604AE1" w:rsidP="00604AE1">
      <w:pPr>
        <w:spacing w:line="240" w:lineRule="auto"/>
        <w:rPr>
          <w:rFonts w:ascii="Calibri Light" w:hAnsi="Calibri Light" w:cs="Calibri"/>
          <w:color w:val="0070C0"/>
          <w:sz w:val="32"/>
          <w:lang w:val="en-GB"/>
        </w:rPr>
      </w:pPr>
      <w:r w:rsidRPr="00C54CF9">
        <w:rPr>
          <w:rFonts w:ascii="Calibri Light" w:hAnsi="Calibri Light" w:cs="Calibri"/>
          <w:noProof/>
          <w:color w:val="0070C0"/>
          <w:sz w:val="32"/>
        </w:rPr>
        <mc:AlternateContent>
          <mc:Choice Requires="wps">
            <w:drawing>
              <wp:anchor distT="0" distB="0" distL="114300" distR="114300" simplePos="0" relativeHeight="251680768" behindDoc="0" locked="0" layoutInCell="1" allowOverlap="1" wp14:anchorId="74E8EC1E" wp14:editId="26B72D3E">
                <wp:simplePos x="0" y="0"/>
                <wp:positionH relativeFrom="column">
                  <wp:posOffset>13969</wp:posOffset>
                </wp:positionH>
                <wp:positionV relativeFrom="paragraph">
                  <wp:posOffset>50027</wp:posOffset>
                </wp:positionV>
                <wp:extent cx="5661329" cy="15903"/>
                <wp:effectExtent l="0" t="0" r="34925" b="22225"/>
                <wp:wrapNone/>
                <wp:docPr id="12" name="Straight Connector 12"/>
                <wp:cNvGraphicFramePr/>
                <a:graphic xmlns:a="http://schemas.openxmlformats.org/drawingml/2006/main">
                  <a:graphicData uri="http://schemas.microsoft.com/office/word/2010/wordprocessingShape">
                    <wps:wsp>
                      <wps:cNvCnPr/>
                      <wps:spPr>
                        <a:xfrm>
                          <a:off x="0" y="0"/>
                          <a:ext cx="5661329" cy="1590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4795458"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" strokecolor="#4472c4" strokeweight=".5pt">
                <v:stroke joinstyle="miter"/>
              </v:line>
            </w:pict>
          </mc:Fallback>
        </mc:AlternateContent>
      </w:r>
    </w:p>
    <w:tbl>
      <w:tblPr>
        <w:tblStyle w:val="TableGrid"/>
        <w:tblW w:w="9061" w:type="dxa"/>
        <w:tblLook w:val="04A0" w:firstRow="1" w:lastRow="0" w:firstColumn="1" w:lastColumn="0" w:noHBand="0" w:noVBand="1"/>
      </w:tblPr>
      <w:tblGrid>
        <w:gridCol w:w="3219"/>
        <w:gridCol w:w="1213"/>
        <w:gridCol w:w="1175"/>
        <w:gridCol w:w="1055"/>
        <w:gridCol w:w="1265"/>
        <w:gridCol w:w="1134"/>
      </w:tblGrid>
      <w:tr w:rsidR="00604AE1" w:rsidRPr="00C54CF9" w14:paraId="09C86E84" w14:textId="77777777" w:rsidTr="0064296A">
        <w:tc>
          <w:tcPr>
            <w:tcW w:w="3219" w:type="dxa"/>
            <w:tcBorders>
              <w:bottom w:val="single" w:sz="4" w:space="0" w:color="auto"/>
            </w:tcBorders>
            <w:shd w:val="clear" w:color="auto" w:fill="0070C0"/>
          </w:tcPr>
          <w:p w14:paraId="3B43C6D3" w14:textId="77777777" w:rsidR="00604AE1" w:rsidRPr="005D6BCE" w:rsidRDefault="00604AE1" w:rsidP="00604AE1">
            <w:pPr>
              <w:jc w:val="center"/>
              <w:rPr>
                <w:rFonts w:ascii="Calibri" w:hAnsi="Calibri"/>
                <w:b/>
                <w:color w:val="FFFFFF"/>
                <w:lang w:val="en-GB"/>
              </w:rPr>
            </w:pPr>
          </w:p>
        </w:tc>
        <w:tc>
          <w:tcPr>
            <w:tcW w:w="1213" w:type="dxa"/>
            <w:shd w:val="clear" w:color="auto" w:fill="0070C0"/>
          </w:tcPr>
          <w:p w14:paraId="322F61EC" w14:textId="77777777" w:rsidR="00604AE1" w:rsidRPr="005D6BCE" w:rsidRDefault="00604AE1" w:rsidP="00604AE1">
            <w:pPr>
              <w:jc w:val="center"/>
              <w:rPr>
                <w:rFonts w:ascii="Calibri" w:hAnsi="Calibri"/>
                <w:b/>
                <w:color w:val="FFFFFF"/>
                <w:lang w:val="en-GB"/>
              </w:rPr>
            </w:pPr>
            <w:r w:rsidRPr="005D6BCE">
              <w:rPr>
                <w:rFonts w:ascii="Calibri" w:hAnsi="Calibri"/>
                <w:b/>
                <w:color w:val="FFFFFF"/>
                <w:lang w:val="en-GB"/>
              </w:rPr>
              <w:t>As of 29 October 2020</w:t>
            </w:r>
          </w:p>
        </w:tc>
        <w:tc>
          <w:tcPr>
            <w:tcW w:w="1175" w:type="dxa"/>
            <w:shd w:val="clear" w:color="auto" w:fill="0070C0"/>
          </w:tcPr>
          <w:p w14:paraId="5ECC6955" w14:textId="77777777" w:rsidR="00604AE1" w:rsidRPr="005D6BCE" w:rsidRDefault="00604AE1" w:rsidP="00604AE1">
            <w:pPr>
              <w:jc w:val="center"/>
              <w:rPr>
                <w:rFonts w:ascii="Calibri" w:hAnsi="Calibri"/>
                <w:b/>
                <w:color w:val="FFFFFF"/>
                <w:lang w:val="en-GB"/>
              </w:rPr>
            </w:pPr>
            <w:r w:rsidRPr="005D6BCE">
              <w:rPr>
                <w:rFonts w:ascii="Calibri" w:hAnsi="Calibri"/>
                <w:b/>
                <w:color w:val="FFFFFF"/>
                <w:lang w:val="en-GB"/>
              </w:rPr>
              <w:t>2021</w:t>
            </w:r>
          </w:p>
        </w:tc>
        <w:tc>
          <w:tcPr>
            <w:tcW w:w="1055" w:type="dxa"/>
            <w:shd w:val="clear" w:color="auto" w:fill="0070C0"/>
          </w:tcPr>
          <w:p w14:paraId="62F1D079" w14:textId="77777777" w:rsidR="00604AE1" w:rsidRPr="005D6BCE" w:rsidRDefault="00604AE1" w:rsidP="00604AE1">
            <w:pPr>
              <w:jc w:val="center"/>
              <w:rPr>
                <w:rFonts w:ascii="Calibri" w:hAnsi="Calibri"/>
                <w:b/>
                <w:color w:val="FFFFFF"/>
                <w:lang w:val="en-GB"/>
              </w:rPr>
            </w:pPr>
            <w:r w:rsidRPr="005D6BCE">
              <w:rPr>
                <w:rFonts w:ascii="Calibri" w:hAnsi="Calibri"/>
                <w:b/>
                <w:color w:val="FFFFFF"/>
                <w:lang w:val="en-GB"/>
              </w:rPr>
              <w:t>2022</w:t>
            </w:r>
          </w:p>
        </w:tc>
        <w:tc>
          <w:tcPr>
            <w:tcW w:w="1265" w:type="dxa"/>
            <w:shd w:val="clear" w:color="auto" w:fill="0070C0"/>
          </w:tcPr>
          <w:p w14:paraId="71D78FB1" w14:textId="77777777" w:rsidR="00604AE1" w:rsidRPr="005D6BCE" w:rsidRDefault="00604AE1" w:rsidP="00604AE1">
            <w:pPr>
              <w:jc w:val="center"/>
              <w:rPr>
                <w:rFonts w:ascii="Calibri" w:hAnsi="Calibri"/>
                <w:b/>
                <w:color w:val="FFFFFF"/>
                <w:lang w:val="en-GB"/>
              </w:rPr>
            </w:pPr>
            <w:r w:rsidRPr="005D6BCE">
              <w:rPr>
                <w:rFonts w:ascii="Calibri" w:hAnsi="Calibri"/>
                <w:b/>
                <w:color w:val="FFFFFF"/>
                <w:lang w:val="en-GB"/>
              </w:rPr>
              <w:t>Until 25 April 2023</w:t>
            </w:r>
          </w:p>
        </w:tc>
        <w:tc>
          <w:tcPr>
            <w:tcW w:w="1134" w:type="dxa"/>
            <w:shd w:val="clear" w:color="auto" w:fill="0070C0"/>
          </w:tcPr>
          <w:p w14:paraId="75B05C0E" w14:textId="77777777" w:rsidR="00604AE1" w:rsidRPr="005D6BCE" w:rsidRDefault="00604AE1" w:rsidP="00604AE1">
            <w:pPr>
              <w:jc w:val="center"/>
              <w:rPr>
                <w:rFonts w:ascii="Calibri" w:hAnsi="Calibri"/>
                <w:b/>
                <w:color w:val="FFFFFF"/>
                <w:lang w:val="en-GB"/>
              </w:rPr>
            </w:pPr>
            <w:r w:rsidRPr="005D6BCE">
              <w:rPr>
                <w:rFonts w:ascii="Calibri" w:hAnsi="Calibri"/>
                <w:b/>
                <w:color w:val="FFFFFF"/>
                <w:lang w:val="en-GB"/>
              </w:rPr>
              <w:t>Total</w:t>
            </w:r>
          </w:p>
        </w:tc>
      </w:tr>
      <w:tr w:rsidR="00604AE1" w:rsidRPr="00C54CF9" w14:paraId="6348AA35" w14:textId="77777777" w:rsidTr="0064296A">
        <w:tc>
          <w:tcPr>
            <w:tcW w:w="3219" w:type="dxa"/>
            <w:shd w:val="clear" w:color="auto" w:fill="auto"/>
          </w:tcPr>
          <w:p w14:paraId="694460F1" w14:textId="77777777" w:rsidR="00604AE1" w:rsidRPr="005D6BCE" w:rsidRDefault="00604AE1" w:rsidP="00604AE1">
            <w:pPr>
              <w:jc w:val="left"/>
              <w:rPr>
                <w:rFonts w:ascii="Calibri" w:hAnsi="Calibri" w:cs="Calibri"/>
                <w:b/>
                <w:lang w:val="en-GB"/>
              </w:rPr>
            </w:pPr>
            <w:r w:rsidRPr="005D6BCE">
              <w:rPr>
                <w:rFonts w:ascii="Calibri" w:hAnsi="Calibri" w:cs="Calibri"/>
                <w:b/>
                <w:lang w:val="en-GB"/>
              </w:rPr>
              <w:t>Section meetings</w:t>
            </w:r>
          </w:p>
        </w:tc>
        <w:tc>
          <w:tcPr>
            <w:tcW w:w="1213" w:type="dxa"/>
            <w:vAlign w:val="center"/>
          </w:tcPr>
          <w:p w14:paraId="7F47F715"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175" w:type="dxa"/>
            <w:vAlign w:val="center"/>
          </w:tcPr>
          <w:p w14:paraId="06DED24D" w14:textId="77777777" w:rsidR="00604AE1" w:rsidRPr="005D6BCE" w:rsidRDefault="00604AE1" w:rsidP="00604AE1">
            <w:pPr>
              <w:jc w:val="right"/>
              <w:rPr>
                <w:rFonts w:ascii="Calibri" w:hAnsi="Calibri" w:cs="Calibri"/>
                <w:lang w:val="en-GB"/>
              </w:rPr>
            </w:pPr>
            <w:r w:rsidRPr="005D6BCE">
              <w:rPr>
                <w:rFonts w:ascii="Calibri" w:hAnsi="Calibri" w:cs="Calibri"/>
                <w:lang w:val="en-GB"/>
              </w:rPr>
              <w:t>9</w:t>
            </w:r>
          </w:p>
        </w:tc>
        <w:tc>
          <w:tcPr>
            <w:tcW w:w="1055" w:type="dxa"/>
            <w:vAlign w:val="center"/>
          </w:tcPr>
          <w:p w14:paraId="2D367637" w14:textId="77777777" w:rsidR="00604AE1" w:rsidRPr="005D6BCE" w:rsidRDefault="00604AE1" w:rsidP="00604AE1">
            <w:pPr>
              <w:jc w:val="right"/>
              <w:rPr>
                <w:rFonts w:ascii="Calibri" w:hAnsi="Calibri" w:cs="Calibri"/>
                <w:lang w:val="en-GB"/>
              </w:rPr>
            </w:pPr>
            <w:r w:rsidRPr="005D6BCE">
              <w:rPr>
                <w:rFonts w:ascii="Calibri" w:hAnsi="Calibri" w:cs="Calibri"/>
                <w:lang w:val="en-GB"/>
              </w:rPr>
              <w:t>9</w:t>
            </w:r>
          </w:p>
        </w:tc>
        <w:tc>
          <w:tcPr>
            <w:tcW w:w="1265" w:type="dxa"/>
            <w:vAlign w:val="center"/>
          </w:tcPr>
          <w:p w14:paraId="1D61F632"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134" w:type="dxa"/>
            <w:vAlign w:val="center"/>
          </w:tcPr>
          <w:p w14:paraId="522EAA50" w14:textId="77777777" w:rsidR="00604AE1" w:rsidRPr="005D6BCE" w:rsidRDefault="00604AE1" w:rsidP="00604AE1">
            <w:pPr>
              <w:jc w:val="right"/>
              <w:rPr>
                <w:rFonts w:ascii="Calibri" w:hAnsi="Calibri" w:cs="Calibri"/>
                <w:lang w:val="en-GB"/>
              </w:rPr>
            </w:pPr>
            <w:r w:rsidRPr="005D6BCE">
              <w:rPr>
                <w:rFonts w:ascii="Calibri" w:hAnsi="Calibri" w:cs="Calibri"/>
                <w:lang w:val="en-GB"/>
              </w:rPr>
              <w:t>23</w:t>
            </w:r>
          </w:p>
        </w:tc>
      </w:tr>
      <w:tr w:rsidR="00604AE1" w:rsidRPr="00C54CF9" w14:paraId="17055ACD" w14:textId="77777777" w:rsidTr="0064296A">
        <w:tc>
          <w:tcPr>
            <w:tcW w:w="3219" w:type="dxa"/>
            <w:shd w:val="clear" w:color="auto" w:fill="auto"/>
          </w:tcPr>
          <w:p w14:paraId="75B6A9B6" w14:textId="00EB5EAF"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Section </w:t>
            </w:r>
            <w:r w:rsidR="00297615">
              <w:rPr>
                <w:rFonts w:ascii="Calibri" w:hAnsi="Calibri" w:cs="Calibri"/>
                <w:b/>
                <w:lang w:val="en-GB"/>
              </w:rPr>
              <w:t>b</w:t>
            </w:r>
            <w:r w:rsidRPr="005D6BCE">
              <w:rPr>
                <w:rFonts w:ascii="Calibri" w:hAnsi="Calibri" w:cs="Calibri"/>
                <w:b/>
                <w:lang w:val="en-GB"/>
              </w:rPr>
              <w:t>ureau meetings</w:t>
            </w:r>
          </w:p>
        </w:tc>
        <w:tc>
          <w:tcPr>
            <w:tcW w:w="1213" w:type="dxa"/>
            <w:vAlign w:val="center"/>
          </w:tcPr>
          <w:p w14:paraId="7B99B1FC"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175" w:type="dxa"/>
            <w:vAlign w:val="center"/>
          </w:tcPr>
          <w:p w14:paraId="524E0EF3" w14:textId="77777777" w:rsidR="00604AE1" w:rsidRPr="005D6BCE" w:rsidRDefault="00604AE1" w:rsidP="00604AE1">
            <w:pPr>
              <w:jc w:val="right"/>
              <w:rPr>
                <w:rFonts w:ascii="Calibri" w:hAnsi="Calibri" w:cs="Calibri"/>
                <w:lang w:val="en-GB"/>
              </w:rPr>
            </w:pPr>
            <w:r w:rsidRPr="005D6BCE">
              <w:rPr>
                <w:rFonts w:ascii="Calibri" w:hAnsi="Calibri" w:cs="Calibri"/>
                <w:lang w:val="en-GB"/>
              </w:rPr>
              <w:t>11</w:t>
            </w:r>
          </w:p>
        </w:tc>
        <w:tc>
          <w:tcPr>
            <w:tcW w:w="1055" w:type="dxa"/>
            <w:vAlign w:val="center"/>
          </w:tcPr>
          <w:p w14:paraId="17A06A9A" w14:textId="77777777" w:rsidR="00604AE1" w:rsidRPr="005D6BCE" w:rsidRDefault="00604AE1" w:rsidP="00604AE1">
            <w:pPr>
              <w:jc w:val="right"/>
              <w:rPr>
                <w:rFonts w:ascii="Calibri" w:hAnsi="Calibri" w:cs="Calibri"/>
                <w:lang w:val="en-GB"/>
              </w:rPr>
            </w:pPr>
            <w:r w:rsidRPr="005D6BCE">
              <w:rPr>
                <w:rFonts w:ascii="Calibri" w:hAnsi="Calibri" w:cs="Calibri"/>
                <w:lang w:val="en-GB"/>
              </w:rPr>
              <w:t>12</w:t>
            </w:r>
          </w:p>
        </w:tc>
        <w:tc>
          <w:tcPr>
            <w:tcW w:w="1265" w:type="dxa"/>
            <w:vAlign w:val="center"/>
          </w:tcPr>
          <w:p w14:paraId="0026661F"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134" w:type="dxa"/>
            <w:vAlign w:val="center"/>
          </w:tcPr>
          <w:p w14:paraId="5C28745F" w14:textId="77777777" w:rsidR="00604AE1" w:rsidRPr="005D6BCE" w:rsidRDefault="00604AE1" w:rsidP="00604AE1">
            <w:pPr>
              <w:jc w:val="right"/>
              <w:rPr>
                <w:rFonts w:ascii="Calibri" w:hAnsi="Calibri" w:cs="Calibri"/>
                <w:lang w:val="en-GB"/>
              </w:rPr>
            </w:pPr>
            <w:r w:rsidRPr="005D6BCE">
              <w:rPr>
                <w:rFonts w:ascii="Calibri" w:hAnsi="Calibri" w:cs="Calibri"/>
                <w:lang w:val="en-GB"/>
              </w:rPr>
              <w:t>28</w:t>
            </w:r>
          </w:p>
        </w:tc>
      </w:tr>
      <w:tr w:rsidR="00604AE1" w:rsidRPr="00C54CF9" w14:paraId="3673564D" w14:textId="77777777" w:rsidTr="0064296A">
        <w:tc>
          <w:tcPr>
            <w:tcW w:w="3219" w:type="dxa"/>
            <w:shd w:val="clear" w:color="auto" w:fill="auto"/>
          </w:tcPr>
          <w:p w14:paraId="437916C1" w14:textId="609C01BD"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Study </w:t>
            </w:r>
            <w:r w:rsidR="00297615">
              <w:rPr>
                <w:rFonts w:ascii="Calibri" w:hAnsi="Calibri" w:cs="Calibri"/>
                <w:b/>
                <w:lang w:val="en-GB"/>
              </w:rPr>
              <w:t>g</w:t>
            </w:r>
            <w:r w:rsidRPr="005D6BCE">
              <w:rPr>
                <w:rFonts w:ascii="Calibri" w:hAnsi="Calibri" w:cs="Calibri"/>
                <w:b/>
                <w:lang w:val="en-GB"/>
              </w:rPr>
              <w:t>roup meetings</w:t>
            </w:r>
          </w:p>
        </w:tc>
        <w:tc>
          <w:tcPr>
            <w:tcW w:w="1213" w:type="dxa"/>
            <w:vAlign w:val="center"/>
          </w:tcPr>
          <w:p w14:paraId="176AD15E" w14:textId="77777777" w:rsidR="00604AE1" w:rsidRPr="005D6BCE" w:rsidRDefault="00604AE1" w:rsidP="00604AE1">
            <w:pPr>
              <w:jc w:val="right"/>
              <w:rPr>
                <w:rFonts w:ascii="Calibri" w:hAnsi="Calibri" w:cs="Calibri"/>
                <w:lang w:val="en-GB"/>
              </w:rPr>
            </w:pPr>
            <w:r w:rsidRPr="005D6BCE">
              <w:rPr>
                <w:rFonts w:ascii="Calibri" w:hAnsi="Calibri" w:cs="Calibri"/>
                <w:lang w:val="en-GB"/>
              </w:rPr>
              <w:t>5</w:t>
            </w:r>
          </w:p>
        </w:tc>
        <w:tc>
          <w:tcPr>
            <w:tcW w:w="1175" w:type="dxa"/>
            <w:vAlign w:val="center"/>
          </w:tcPr>
          <w:p w14:paraId="77EEC229" w14:textId="77777777" w:rsidR="00604AE1" w:rsidRPr="005D6BCE" w:rsidRDefault="00604AE1" w:rsidP="00604AE1">
            <w:pPr>
              <w:jc w:val="right"/>
              <w:rPr>
                <w:rFonts w:ascii="Calibri" w:hAnsi="Calibri" w:cs="Calibri"/>
                <w:lang w:val="en-GB"/>
              </w:rPr>
            </w:pPr>
            <w:r w:rsidRPr="005D6BCE">
              <w:rPr>
                <w:rFonts w:ascii="Calibri" w:hAnsi="Calibri" w:cs="Calibri"/>
                <w:lang w:val="en-GB"/>
              </w:rPr>
              <w:t>40</w:t>
            </w:r>
          </w:p>
        </w:tc>
        <w:tc>
          <w:tcPr>
            <w:tcW w:w="1055" w:type="dxa"/>
            <w:vAlign w:val="center"/>
          </w:tcPr>
          <w:p w14:paraId="1D9B95E2" w14:textId="77777777" w:rsidR="00604AE1" w:rsidRPr="005D6BCE" w:rsidRDefault="00604AE1" w:rsidP="00604AE1">
            <w:pPr>
              <w:jc w:val="right"/>
              <w:rPr>
                <w:rFonts w:ascii="Calibri" w:hAnsi="Calibri" w:cs="Calibri"/>
                <w:lang w:val="en-GB"/>
              </w:rPr>
            </w:pPr>
            <w:r w:rsidRPr="005D6BCE">
              <w:rPr>
                <w:rFonts w:ascii="Calibri" w:hAnsi="Calibri" w:cs="Calibri"/>
                <w:lang w:val="en-GB"/>
              </w:rPr>
              <w:t>40</w:t>
            </w:r>
          </w:p>
        </w:tc>
        <w:tc>
          <w:tcPr>
            <w:tcW w:w="1265" w:type="dxa"/>
            <w:vAlign w:val="center"/>
          </w:tcPr>
          <w:p w14:paraId="74D1C3A8" w14:textId="77777777" w:rsidR="00604AE1" w:rsidRPr="005D6BCE" w:rsidRDefault="00604AE1" w:rsidP="00604AE1">
            <w:pPr>
              <w:jc w:val="right"/>
              <w:rPr>
                <w:rFonts w:ascii="Calibri" w:hAnsi="Calibri" w:cs="Calibri"/>
                <w:lang w:val="en-GB"/>
              </w:rPr>
            </w:pPr>
            <w:r w:rsidRPr="005D6BCE">
              <w:rPr>
                <w:rFonts w:ascii="Calibri" w:hAnsi="Calibri" w:cs="Calibri"/>
                <w:lang w:val="en-GB"/>
              </w:rPr>
              <w:t>17</w:t>
            </w:r>
          </w:p>
        </w:tc>
        <w:tc>
          <w:tcPr>
            <w:tcW w:w="1134" w:type="dxa"/>
            <w:vAlign w:val="center"/>
          </w:tcPr>
          <w:p w14:paraId="2E4C0BF4" w14:textId="77777777" w:rsidR="00604AE1" w:rsidRPr="005D6BCE" w:rsidRDefault="00604AE1" w:rsidP="00604AE1">
            <w:pPr>
              <w:jc w:val="right"/>
              <w:rPr>
                <w:rFonts w:ascii="Calibri" w:hAnsi="Calibri" w:cs="Calibri"/>
                <w:lang w:val="en-GB"/>
              </w:rPr>
            </w:pPr>
            <w:r w:rsidRPr="005D6BCE">
              <w:rPr>
                <w:rFonts w:ascii="Calibri" w:hAnsi="Calibri" w:cs="Calibri"/>
                <w:lang w:val="en-GB"/>
              </w:rPr>
              <w:t>102</w:t>
            </w:r>
          </w:p>
        </w:tc>
      </w:tr>
      <w:tr w:rsidR="00604AE1" w:rsidRPr="00C54CF9" w14:paraId="20D8DF37" w14:textId="77777777" w:rsidTr="0064296A">
        <w:tc>
          <w:tcPr>
            <w:tcW w:w="3219" w:type="dxa"/>
            <w:shd w:val="clear" w:color="auto" w:fill="auto"/>
          </w:tcPr>
          <w:p w14:paraId="01C28678" w14:textId="609999CD"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Permanent </w:t>
            </w:r>
            <w:r w:rsidR="00297615">
              <w:rPr>
                <w:rFonts w:ascii="Calibri" w:hAnsi="Calibri" w:cs="Calibri"/>
                <w:b/>
                <w:lang w:val="en-GB"/>
              </w:rPr>
              <w:t>s</w:t>
            </w:r>
            <w:r w:rsidRPr="005D6BCE">
              <w:rPr>
                <w:rFonts w:ascii="Calibri" w:hAnsi="Calibri" w:cs="Calibri"/>
                <w:b/>
                <w:lang w:val="en-GB"/>
              </w:rPr>
              <w:t xml:space="preserve">tudy </w:t>
            </w:r>
            <w:r w:rsidR="00297615">
              <w:rPr>
                <w:rFonts w:ascii="Calibri" w:hAnsi="Calibri" w:cs="Calibri"/>
                <w:b/>
                <w:lang w:val="en-GB"/>
              </w:rPr>
              <w:t>g</w:t>
            </w:r>
            <w:r w:rsidRPr="005D6BCE">
              <w:rPr>
                <w:rFonts w:ascii="Calibri" w:hAnsi="Calibri" w:cs="Calibri"/>
                <w:b/>
                <w:lang w:val="en-GB"/>
              </w:rPr>
              <w:t>roup meetings</w:t>
            </w:r>
          </w:p>
        </w:tc>
        <w:tc>
          <w:tcPr>
            <w:tcW w:w="1213" w:type="dxa"/>
            <w:vAlign w:val="center"/>
          </w:tcPr>
          <w:p w14:paraId="1EAD4971"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78E72F18" w14:textId="77777777" w:rsidR="00604AE1" w:rsidRPr="005D6BCE" w:rsidRDefault="00604AE1" w:rsidP="00604AE1">
            <w:pPr>
              <w:jc w:val="right"/>
              <w:rPr>
                <w:rFonts w:ascii="Calibri" w:hAnsi="Calibri" w:cs="Calibri"/>
                <w:lang w:val="en-GB"/>
              </w:rPr>
            </w:pPr>
            <w:r w:rsidRPr="005D6BCE">
              <w:rPr>
                <w:rFonts w:ascii="Calibri" w:hAnsi="Calibri" w:cs="Calibri"/>
                <w:lang w:val="en-GB"/>
              </w:rPr>
              <w:t>6</w:t>
            </w:r>
          </w:p>
        </w:tc>
        <w:tc>
          <w:tcPr>
            <w:tcW w:w="1055" w:type="dxa"/>
            <w:vAlign w:val="center"/>
          </w:tcPr>
          <w:p w14:paraId="5806A1A8" w14:textId="77777777" w:rsidR="00604AE1" w:rsidRPr="005D6BCE" w:rsidRDefault="00604AE1" w:rsidP="00604AE1">
            <w:pPr>
              <w:jc w:val="right"/>
              <w:rPr>
                <w:rFonts w:ascii="Calibri" w:hAnsi="Calibri" w:cs="Calibri"/>
                <w:lang w:val="en-GB"/>
              </w:rPr>
            </w:pPr>
            <w:r w:rsidRPr="005D6BCE">
              <w:rPr>
                <w:rFonts w:ascii="Calibri" w:hAnsi="Calibri" w:cs="Calibri"/>
                <w:lang w:val="en-GB"/>
              </w:rPr>
              <w:t>7</w:t>
            </w:r>
          </w:p>
        </w:tc>
        <w:tc>
          <w:tcPr>
            <w:tcW w:w="1265" w:type="dxa"/>
            <w:vAlign w:val="center"/>
          </w:tcPr>
          <w:p w14:paraId="11748047"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134" w:type="dxa"/>
            <w:vAlign w:val="center"/>
          </w:tcPr>
          <w:p w14:paraId="3D69D9E4" w14:textId="77777777" w:rsidR="00604AE1" w:rsidRPr="005D6BCE" w:rsidRDefault="00604AE1" w:rsidP="00604AE1">
            <w:pPr>
              <w:jc w:val="right"/>
              <w:rPr>
                <w:rFonts w:ascii="Calibri" w:hAnsi="Calibri" w:cs="Calibri"/>
                <w:lang w:val="en-GB"/>
              </w:rPr>
            </w:pPr>
            <w:r w:rsidRPr="005D6BCE">
              <w:rPr>
                <w:rFonts w:ascii="Calibri" w:hAnsi="Calibri" w:cs="Calibri"/>
                <w:lang w:val="en-GB"/>
              </w:rPr>
              <w:t>14</w:t>
            </w:r>
          </w:p>
        </w:tc>
      </w:tr>
      <w:tr w:rsidR="00604AE1" w:rsidRPr="00C54CF9" w14:paraId="6899E88A" w14:textId="77777777" w:rsidTr="0064296A">
        <w:tc>
          <w:tcPr>
            <w:tcW w:w="3219" w:type="dxa"/>
            <w:shd w:val="clear" w:color="auto" w:fill="auto"/>
          </w:tcPr>
          <w:p w14:paraId="7A615E27" w14:textId="77777777" w:rsidR="00604AE1" w:rsidRPr="005D6BCE" w:rsidRDefault="00604AE1" w:rsidP="00604AE1">
            <w:pPr>
              <w:jc w:val="left"/>
              <w:rPr>
                <w:rFonts w:ascii="Calibri" w:hAnsi="Calibri" w:cs="Calibri"/>
                <w:b/>
                <w:lang w:val="en-GB"/>
              </w:rPr>
            </w:pPr>
            <w:r w:rsidRPr="005D6BCE">
              <w:rPr>
                <w:rFonts w:ascii="Calibri" w:hAnsi="Calibri" w:cs="Calibri"/>
                <w:b/>
                <w:lang w:val="en-GB"/>
              </w:rPr>
              <w:t>Opinions</w:t>
            </w:r>
          </w:p>
        </w:tc>
        <w:tc>
          <w:tcPr>
            <w:tcW w:w="1213" w:type="dxa"/>
            <w:vAlign w:val="center"/>
          </w:tcPr>
          <w:p w14:paraId="04660019"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175" w:type="dxa"/>
            <w:vAlign w:val="center"/>
          </w:tcPr>
          <w:p w14:paraId="581E715C" w14:textId="77777777" w:rsidR="00604AE1" w:rsidRPr="005D6BCE" w:rsidRDefault="00604AE1" w:rsidP="00604AE1">
            <w:pPr>
              <w:jc w:val="right"/>
              <w:rPr>
                <w:rFonts w:ascii="Calibri" w:hAnsi="Calibri" w:cs="Calibri"/>
                <w:lang w:val="en-GB"/>
              </w:rPr>
            </w:pPr>
            <w:r w:rsidRPr="005D6BCE">
              <w:rPr>
                <w:rFonts w:ascii="Calibri" w:hAnsi="Calibri" w:cs="Calibri"/>
                <w:lang w:val="en-GB"/>
              </w:rPr>
              <w:t>33</w:t>
            </w:r>
          </w:p>
        </w:tc>
        <w:tc>
          <w:tcPr>
            <w:tcW w:w="1055" w:type="dxa"/>
            <w:vAlign w:val="center"/>
          </w:tcPr>
          <w:p w14:paraId="22EFABB1" w14:textId="77777777" w:rsidR="00604AE1" w:rsidRPr="005D6BCE" w:rsidRDefault="00604AE1" w:rsidP="00604AE1">
            <w:pPr>
              <w:jc w:val="right"/>
              <w:rPr>
                <w:rFonts w:ascii="Calibri" w:hAnsi="Calibri" w:cs="Calibri"/>
                <w:lang w:val="en-GB"/>
              </w:rPr>
            </w:pPr>
            <w:r w:rsidRPr="005D6BCE">
              <w:rPr>
                <w:rFonts w:ascii="Calibri" w:hAnsi="Calibri" w:cs="Calibri"/>
                <w:lang w:val="en-GB"/>
              </w:rPr>
              <w:t>34</w:t>
            </w:r>
          </w:p>
        </w:tc>
        <w:tc>
          <w:tcPr>
            <w:tcW w:w="1265" w:type="dxa"/>
            <w:vAlign w:val="center"/>
          </w:tcPr>
          <w:p w14:paraId="5F9A73E6"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134" w:type="dxa"/>
            <w:vAlign w:val="center"/>
          </w:tcPr>
          <w:p w14:paraId="435D2D26" w14:textId="77777777" w:rsidR="00604AE1" w:rsidRPr="005D6BCE" w:rsidRDefault="00604AE1" w:rsidP="00604AE1">
            <w:pPr>
              <w:jc w:val="right"/>
              <w:rPr>
                <w:rFonts w:ascii="Calibri" w:hAnsi="Calibri" w:cs="Calibri"/>
                <w:lang w:val="en-GB"/>
              </w:rPr>
            </w:pPr>
            <w:r w:rsidRPr="005D6BCE">
              <w:rPr>
                <w:rFonts w:ascii="Calibri" w:hAnsi="Calibri" w:cs="Calibri"/>
                <w:lang w:val="en-GB"/>
              </w:rPr>
              <w:t>73</w:t>
            </w:r>
          </w:p>
        </w:tc>
      </w:tr>
      <w:tr w:rsidR="00604AE1" w:rsidRPr="00C54CF9" w14:paraId="716ED14F" w14:textId="77777777" w:rsidTr="0064296A">
        <w:tc>
          <w:tcPr>
            <w:tcW w:w="3219" w:type="dxa"/>
            <w:shd w:val="clear" w:color="auto" w:fill="auto"/>
          </w:tcPr>
          <w:p w14:paraId="737AD8E3" w14:textId="5744D25D" w:rsidR="00604AE1" w:rsidRPr="005D6BCE" w:rsidRDefault="00604AE1" w:rsidP="00FA0E60">
            <w:pPr>
              <w:ind w:left="142"/>
              <w:jc w:val="left"/>
              <w:rPr>
                <w:rFonts w:ascii="Calibri" w:hAnsi="Calibri" w:cs="Calibri"/>
                <w:lang w:val="en-GB"/>
              </w:rPr>
            </w:pPr>
            <w:r w:rsidRPr="005D6BCE">
              <w:rPr>
                <w:rFonts w:ascii="Calibri" w:hAnsi="Calibri" w:cs="Calibri"/>
                <w:lang w:val="en-GB"/>
              </w:rPr>
              <w:t>Referrals</w:t>
            </w:r>
          </w:p>
        </w:tc>
        <w:tc>
          <w:tcPr>
            <w:tcW w:w="1213" w:type="dxa"/>
            <w:vAlign w:val="center"/>
          </w:tcPr>
          <w:p w14:paraId="4ADF65BD"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175" w:type="dxa"/>
            <w:vAlign w:val="center"/>
          </w:tcPr>
          <w:p w14:paraId="774EE570" w14:textId="77777777" w:rsidR="00604AE1" w:rsidRPr="005D6BCE" w:rsidRDefault="00604AE1" w:rsidP="00604AE1">
            <w:pPr>
              <w:jc w:val="right"/>
              <w:rPr>
                <w:rFonts w:ascii="Calibri" w:hAnsi="Calibri" w:cs="Calibri"/>
                <w:lang w:val="en-GB"/>
              </w:rPr>
            </w:pPr>
            <w:r w:rsidRPr="005D6BCE">
              <w:rPr>
                <w:rFonts w:ascii="Calibri" w:hAnsi="Calibri" w:cs="Calibri"/>
                <w:lang w:val="en-GB"/>
              </w:rPr>
              <w:t>30</w:t>
            </w:r>
          </w:p>
        </w:tc>
        <w:tc>
          <w:tcPr>
            <w:tcW w:w="1055" w:type="dxa"/>
            <w:vAlign w:val="center"/>
          </w:tcPr>
          <w:p w14:paraId="28C4FB77" w14:textId="77777777" w:rsidR="00604AE1" w:rsidRPr="005D6BCE" w:rsidRDefault="00604AE1" w:rsidP="00604AE1">
            <w:pPr>
              <w:jc w:val="right"/>
              <w:rPr>
                <w:rFonts w:ascii="Calibri" w:hAnsi="Calibri" w:cs="Calibri"/>
                <w:lang w:val="en-GB"/>
              </w:rPr>
            </w:pPr>
            <w:r w:rsidRPr="005D6BCE">
              <w:rPr>
                <w:rFonts w:ascii="Calibri" w:hAnsi="Calibri" w:cs="Calibri"/>
                <w:lang w:val="en-GB"/>
              </w:rPr>
              <w:t>26</w:t>
            </w:r>
          </w:p>
        </w:tc>
        <w:tc>
          <w:tcPr>
            <w:tcW w:w="1265" w:type="dxa"/>
            <w:vAlign w:val="center"/>
          </w:tcPr>
          <w:p w14:paraId="27EFCEC9"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134" w:type="dxa"/>
            <w:vAlign w:val="center"/>
          </w:tcPr>
          <w:p w14:paraId="35DCC498" w14:textId="77777777" w:rsidR="00604AE1" w:rsidRPr="005D6BCE" w:rsidRDefault="00604AE1" w:rsidP="00604AE1">
            <w:pPr>
              <w:jc w:val="right"/>
              <w:rPr>
                <w:rFonts w:ascii="Calibri" w:hAnsi="Calibri" w:cs="Calibri"/>
                <w:lang w:val="en-GB"/>
              </w:rPr>
            </w:pPr>
            <w:r w:rsidRPr="005D6BCE">
              <w:rPr>
                <w:rFonts w:ascii="Calibri" w:hAnsi="Calibri" w:cs="Calibri"/>
                <w:lang w:val="en-GB"/>
              </w:rPr>
              <w:t>61</w:t>
            </w:r>
          </w:p>
        </w:tc>
      </w:tr>
      <w:tr w:rsidR="00604AE1" w:rsidRPr="00C54CF9" w14:paraId="27D022E3" w14:textId="77777777" w:rsidTr="0064296A">
        <w:tc>
          <w:tcPr>
            <w:tcW w:w="3219" w:type="dxa"/>
            <w:shd w:val="clear" w:color="auto" w:fill="auto"/>
          </w:tcPr>
          <w:p w14:paraId="4360B896" w14:textId="06471906" w:rsidR="00604AE1" w:rsidRPr="005D6BCE" w:rsidRDefault="00604AE1" w:rsidP="00FA0E60">
            <w:pPr>
              <w:ind w:left="142"/>
              <w:jc w:val="left"/>
              <w:rPr>
                <w:rFonts w:ascii="Calibri" w:hAnsi="Calibri" w:cs="Calibri"/>
                <w:lang w:val="en-GB"/>
              </w:rPr>
            </w:pPr>
            <w:r w:rsidRPr="005D6BCE">
              <w:rPr>
                <w:rFonts w:ascii="Calibri" w:hAnsi="Calibri" w:cs="Calibri"/>
                <w:lang w:val="en-GB"/>
              </w:rPr>
              <w:t>Exploratory opinions</w:t>
            </w:r>
          </w:p>
        </w:tc>
        <w:tc>
          <w:tcPr>
            <w:tcW w:w="1213" w:type="dxa"/>
            <w:vAlign w:val="center"/>
          </w:tcPr>
          <w:p w14:paraId="70963A1E"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4E4072C1"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055" w:type="dxa"/>
            <w:vAlign w:val="center"/>
          </w:tcPr>
          <w:p w14:paraId="197F38A6"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265" w:type="dxa"/>
            <w:vAlign w:val="center"/>
          </w:tcPr>
          <w:p w14:paraId="40ACE650"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134" w:type="dxa"/>
            <w:vAlign w:val="center"/>
          </w:tcPr>
          <w:p w14:paraId="440C52C5" w14:textId="77777777" w:rsidR="00604AE1" w:rsidRPr="005D6BCE" w:rsidRDefault="00604AE1" w:rsidP="00604AE1">
            <w:pPr>
              <w:jc w:val="right"/>
              <w:rPr>
                <w:rFonts w:ascii="Calibri" w:hAnsi="Calibri" w:cs="Calibri"/>
                <w:lang w:val="en-GB"/>
              </w:rPr>
            </w:pPr>
            <w:r w:rsidRPr="005D6BCE">
              <w:rPr>
                <w:rFonts w:ascii="Calibri" w:hAnsi="Calibri" w:cs="Calibri"/>
                <w:lang w:val="en-GB"/>
              </w:rPr>
              <w:t>4</w:t>
            </w:r>
          </w:p>
        </w:tc>
      </w:tr>
      <w:tr w:rsidR="00604AE1" w:rsidRPr="00C54CF9" w14:paraId="41B8955E" w14:textId="77777777" w:rsidTr="0064296A">
        <w:tc>
          <w:tcPr>
            <w:tcW w:w="3219" w:type="dxa"/>
            <w:shd w:val="clear" w:color="auto" w:fill="auto"/>
          </w:tcPr>
          <w:p w14:paraId="76D737B4" w14:textId="7097A97C" w:rsidR="00604AE1" w:rsidRPr="005D6BCE" w:rsidRDefault="00604AE1" w:rsidP="00FA0E60">
            <w:pPr>
              <w:ind w:left="142"/>
              <w:jc w:val="left"/>
              <w:rPr>
                <w:rFonts w:ascii="Calibri" w:hAnsi="Calibri" w:cs="Calibri"/>
                <w:lang w:val="en-GB"/>
              </w:rPr>
            </w:pPr>
            <w:r w:rsidRPr="005D6BCE">
              <w:rPr>
                <w:rFonts w:ascii="Calibri" w:hAnsi="Calibri" w:cs="Calibri"/>
                <w:lang w:val="en-GB"/>
              </w:rPr>
              <w:t>Own-initiative opinions</w:t>
            </w:r>
          </w:p>
        </w:tc>
        <w:tc>
          <w:tcPr>
            <w:tcW w:w="1213" w:type="dxa"/>
            <w:vAlign w:val="center"/>
          </w:tcPr>
          <w:p w14:paraId="3980DB0B"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1F600925"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055" w:type="dxa"/>
            <w:vAlign w:val="center"/>
          </w:tcPr>
          <w:p w14:paraId="424B833E" w14:textId="77777777" w:rsidR="00604AE1" w:rsidRPr="005D6BCE" w:rsidRDefault="00604AE1" w:rsidP="00604AE1">
            <w:pPr>
              <w:jc w:val="right"/>
              <w:rPr>
                <w:rFonts w:ascii="Calibri" w:hAnsi="Calibri" w:cs="Calibri"/>
                <w:lang w:val="en-GB"/>
              </w:rPr>
            </w:pPr>
            <w:r w:rsidRPr="005D6BCE">
              <w:rPr>
                <w:rFonts w:ascii="Calibri" w:hAnsi="Calibri" w:cs="Calibri"/>
                <w:lang w:val="en-GB"/>
              </w:rPr>
              <w:t>6</w:t>
            </w:r>
          </w:p>
        </w:tc>
        <w:tc>
          <w:tcPr>
            <w:tcW w:w="1265" w:type="dxa"/>
            <w:vAlign w:val="center"/>
          </w:tcPr>
          <w:p w14:paraId="65F6C134"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465EE65F" w14:textId="77777777" w:rsidR="00604AE1" w:rsidRPr="005D6BCE" w:rsidRDefault="00604AE1" w:rsidP="00604AE1">
            <w:pPr>
              <w:jc w:val="right"/>
              <w:rPr>
                <w:rFonts w:ascii="Calibri" w:hAnsi="Calibri" w:cs="Calibri"/>
                <w:lang w:val="en-GB"/>
              </w:rPr>
            </w:pPr>
            <w:r w:rsidRPr="005D6BCE">
              <w:rPr>
                <w:rFonts w:ascii="Calibri" w:hAnsi="Calibri" w:cs="Calibri"/>
                <w:lang w:val="en-GB"/>
              </w:rPr>
              <w:t>8</w:t>
            </w:r>
          </w:p>
        </w:tc>
      </w:tr>
      <w:tr w:rsidR="00604AE1" w:rsidRPr="00C54CF9" w14:paraId="19D4C010" w14:textId="77777777" w:rsidTr="0064296A">
        <w:tc>
          <w:tcPr>
            <w:tcW w:w="3219" w:type="dxa"/>
            <w:shd w:val="clear" w:color="auto" w:fill="auto"/>
          </w:tcPr>
          <w:p w14:paraId="6146FC3B" w14:textId="054DDDA1" w:rsidR="00604AE1" w:rsidRPr="005D6BCE" w:rsidRDefault="00604AE1" w:rsidP="00FA0E60">
            <w:pPr>
              <w:ind w:left="142"/>
              <w:jc w:val="left"/>
              <w:rPr>
                <w:rFonts w:ascii="Calibri" w:hAnsi="Calibri" w:cs="Calibri"/>
                <w:lang w:val="en-GB"/>
              </w:rPr>
            </w:pPr>
            <w:r w:rsidRPr="005D6BCE">
              <w:rPr>
                <w:rFonts w:ascii="Calibri" w:hAnsi="Calibri" w:cs="Calibri"/>
                <w:lang w:val="en-GB"/>
              </w:rPr>
              <w:t xml:space="preserve">Information reports </w:t>
            </w:r>
          </w:p>
        </w:tc>
        <w:tc>
          <w:tcPr>
            <w:tcW w:w="1213" w:type="dxa"/>
            <w:vAlign w:val="center"/>
          </w:tcPr>
          <w:p w14:paraId="7B474F67"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79BE18CD"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055" w:type="dxa"/>
            <w:vAlign w:val="center"/>
          </w:tcPr>
          <w:p w14:paraId="0CCA7061"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265" w:type="dxa"/>
            <w:vAlign w:val="center"/>
          </w:tcPr>
          <w:p w14:paraId="4D45EF1C"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0EF2F604"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r>
      <w:tr w:rsidR="00604AE1" w:rsidRPr="00C54CF9" w14:paraId="5D66213E" w14:textId="77777777" w:rsidTr="0064296A">
        <w:tc>
          <w:tcPr>
            <w:tcW w:w="3219" w:type="dxa"/>
            <w:shd w:val="clear" w:color="auto" w:fill="auto"/>
          </w:tcPr>
          <w:p w14:paraId="11D8D9AB" w14:textId="173C2C67" w:rsidR="00604AE1" w:rsidRPr="005D6BCE" w:rsidRDefault="00604AE1" w:rsidP="00FA0E60">
            <w:pPr>
              <w:ind w:left="142"/>
              <w:jc w:val="left"/>
              <w:rPr>
                <w:rFonts w:ascii="Calibri" w:hAnsi="Calibri" w:cs="Calibri"/>
                <w:lang w:val="en-GB"/>
              </w:rPr>
            </w:pPr>
            <w:r w:rsidRPr="005D6BCE">
              <w:rPr>
                <w:rFonts w:ascii="Calibri" w:hAnsi="Calibri" w:cs="Calibri"/>
                <w:lang w:val="en-GB"/>
              </w:rPr>
              <w:t>Evaluation reports</w:t>
            </w:r>
          </w:p>
        </w:tc>
        <w:tc>
          <w:tcPr>
            <w:tcW w:w="1213" w:type="dxa"/>
            <w:vAlign w:val="center"/>
          </w:tcPr>
          <w:p w14:paraId="47231CE8"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2918DB6E"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055" w:type="dxa"/>
            <w:vAlign w:val="center"/>
          </w:tcPr>
          <w:p w14:paraId="39A6DB0F"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265" w:type="dxa"/>
            <w:vAlign w:val="center"/>
          </w:tcPr>
          <w:p w14:paraId="512EAEF5"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06FAC50C"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r>
      <w:tr w:rsidR="00604AE1" w:rsidRPr="00C54CF9" w14:paraId="69EA871F" w14:textId="77777777" w:rsidTr="0064296A">
        <w:tc>
          <w:tcPr>
            <w:tcW w:w="3219" w:type="dxa"/>
            <w:shd w:val="clear" w:color="auto" w:fill="auto"/>
          </w:tcPr>
          <w:p w14:paraId="32163718" w14:textId="77777777" w:rsidR="00604AE1" w:rsidRPr="005D6BCE" w:rsidRDefault="00604AE1" w:rsidP="00604AE1">
            <w:pPr>
              <w:jc w:val="left"/>
              <w:rPr>
                <w:rFonts w:ascii="Calibri" w:hAnsi="Calibri" w:cs="Calibri"/>
                <w:b/>
                <w:lang w:val="en-GB"/>
              </w:rPr>
            </w:pPr>
            <w:r w:rsidRPr="005D6BCE">
              <w:rPr>
                <w:rFonts w:ascii="Calibri" w:hAnsi="Calibri" w:cs="Calibri"/>
                <w:b/>
                <w:lang w:val="en-GB"/>
              </w:rPr>
              <w:t>Studies</w:t>
            </w:r>
          </w:p>
        </w:tc>
        <w:tc>
          <w:tcPr>
            <w:tcW w:w="1213" w:type="dxa"/>
            <w:vAlign w:val="center"/>
          </w:tcPr>
          <w:p w14:paraId="194C58F5"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20FD5C30"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055" w:type="dxa"/>
            <w:vAlign w:val="center"/>
          </w:tcPr>
          <w:p w14:paraId="32C66538"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265" w:type="dxa"/>
            <w:vAlign w:val="center"/>
          </w:tcPr>
          <w:p w14:paraId="0025EFA3"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4A66EEF8"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r>
      <w:tr w:rsidR="00604AE1" w:rsidRPr="00C54CF9" w14:paraId="0EA3EF36" w14:textId="77777777" w:rsidTr="0064296A">
        <w:tc>
          <w:tcPr>
            <w:tcW w:w="3219" w:type="dxa"/>
            <w:shd w:val="clear" w:color="auto" w:fill="auto"/>
          </w:tcPr>
          <w:p w14:paraId="654E8F1E" w14:textId="77777777"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Fact-finding missions </w:t>
            </w:r>
          </w:p>
        </w:tc>
        <w:tc>
          <w:tcPr>
            <w:tcW w:w="1213" w:type="dxa"/>
            <w:vAlign w:val="center"/>
          </w:tcPr>
          <w:p w14:paraId="11D57075"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4447E3F6"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055" w:type="dxa"/>
            <w:vAlign w:val="center"/>
          </w:tcPr>
          <w:p w14:paraId="15013BB2" w14:textId="77777777" w:rsidR="00604AE1" w:rsidRPr="005D6BCE" w:rsidRDefault="00604AE1" w:rsidP="00604AE1">
            <w:pPr>
              <w:jc w:val="right"/>
              <w:rPr>
                <w:rFonts w:ascii="Calibri" w:hAnsi="Calibri" w:cs="Calibri"/>
                <w:lang w:val="en-GB"/>
              </w:rPr>
            </w:pPr>
            <w:r w:rsidRPr="005D6BCE">
              <w:rPr>
                <w:rFonts w:ascii="Calibri" w:hAnsi="Calibri" w:cs="Calibri"/>
                <w:lang w:val="en-GB"/>
              </w:rPr>
              <w:t>10</w:t>
            </w:r>
          </w:p>
        </w:tc>
        <w:tc>
          <w:tcPr>
            <w:tcW w:w="1265" w:type="dxa"/>
            <w:vAlign w:val="center"/>
          </w:tcPr>
          <w:p w14:paraId="6B5BE1A5"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134" w:type="dxa"/>
            <w:vAlign w:val="center"/>
          </w:tcPr>
          <w:p w14:paraId="3EEC69CF" w14:textId="77777777" w:rsidR="00604AE1" w:rsidRPr="005D6BCE" w:rsidRDefault="00604AE1" w:rsidP="00604AE1">
            <w:pPr>
              <w:jc w:val="right"/>
              <w:rPr>
                <w:rFonts w:ascii="Calibri" w:hAnsi="Calibri" w:cs="Calibri"/>
                <w:lang w:val="en-GB"/>
              </w:rPr>
            </w:pPr>
            <w:r w:rsidRPr="005D6BCE">
              <w:rPr>
                <w:rFonts w:ascii="Calibri" w:hAnsi="Calibri" w:cs="Calibri"/>
                <w:lang w:val="en-GB"/>
              </w:rPr>
              <w:t>11</w:t>
            </w:r>
          </w:p>
        </w:tc>
      </w:tr>
      <w:tr w:rsidR="00604AE1" w:rsidRPr="00C54CF9" w14:paraId="34E4397F" w14:textId="77777777" w:rsidTr="0064296A">
        <w:tc>
          <w:tcPr>
            <w:tcW w:w="3219" w:type="dxa"/>
            <w:tcBorders>
              <w:bottom w:val="single" w:sz="4" w:space="0" w:color="auto"/>
            </w:tcBorders>
            <w:shd w:val="clear" w:color="auto" w:fill="auto"/>
          </w:tcPr>
          <w:p w14:paraId="421CA942" w14:textId="7FAE3039"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Conferences and hearings organized by the </w:t>
            </w:r>
            <w:r w:rsidR="00297615">
              <w:rPr>
                <w:rFonts w:ascii="Calibri" w:hAnsi="Calibri" w:cs="Calibri"/>
                <w:b/>
                <w:lang w:val="en-GB"/>
              </w:rPr>
              <w:t>s</w:t>
            </w:r>
            <w:r w:rsidRPr="005D6BCE">
              <w:rPr>
                <w:rFonts w:ascii="Calibri" w:hAnsi="Calibri" w:cs="Calibri"/>
                <w:b/>
                <w:lang w:val="en-GB"/>
              </w:rPr>
              <w:t>ection</w:t>
            </w:r>
          </w:p>
        </w:tc>
        <w:tc>
          <w:tcPr>
            <w:tcW w:w="1213" w:type="dxa"/>
            <w:tcBorders>
              <w:bottom w:val="single" w:sz="4" w:space="0" w:color="auto"/>
            </w:tcBorders>
            <w:vAlign w:val="center"/>
          </w:tcPr>
          <w:p w14:paraId="60961D1F"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175" w:type="dxa"/>
            <w:tcBorders>
              <w:bottom w:val="single" w:sz="4" w:space="0" w:color="auto"/>
            </w:tcBorders>
            <w:vAlign w:val="center"/>
          </w:tcPr>
          <w:p w14:paraId="79E8076C" w14:textId="77777777" w:rsidR="00604AE1" w:rsidRPr="005D6BCE" w:rsidRDefault="00604AE1" w:rsidP="00604AE1">
            <w:pPr>
              <w:jc w:val="right"/>
              <w:rPr>
                <w:rFonts w:ascii="Calibri" w:hAnsi="Calibri" w:cs="Calibri"/>
                <w:lang w:val="en-GB"/>
              </w:rPr>
            </w:pPr>
            <w:r w:rsidRPr="005D6BCE">
              <w:rPr>
                <w:rFonts w:ascii="Calibri" w:hAnsi="Calibri" w:cs="Calibri"/>
                <w:lang w:val="en-GB"/>
              </w:rPr>
              <w:t>7</w:t>
            </w:r>
          </w:p>
        </w:tc>
        <w:tc>
          <w:tcPr>
            <w:tcW w:w="1055" w:type="dxa"/>
            <w:tcBorders>
              <w:bottom w:val="single" w:sz="4" w:space="0" w:color="auto"/>
            </w:tcBorders>
            <w:vAlign w:val="center"/>
          </w:tcPr>
          <w:p w14:paraId="5571C048" w14:textId="77777777" w:rsidR="00604AE1" w:rsidRPr="005D6BCE" w:rsidRDefault="00604AE1" w:rsidP="00604AE1">
            <w:pPr>
              <w:jc w:val="right"/>
              <w:rPr>
                <w:rFonts w:ascii="Calibri" w:hAnsi="Calibri" w:cs="Calibri"/>
                <w:lang w:val="en-GB"/>
              </w:rPr>
            </w:pPr>
            <w:r w:rsidRPr="005D6BCE">
              <w:rPr>
                <w:rFonts w:ascii="Calibri" w:hAnsi="Calibri" w:cs="Calibri"/>
                <w:lang w:val="en-GB"/>
              </w:rPr>
              <w:t>10</w:t>
            </w:r>
          </w:p>
        </w:tc>
        <w:tc>
          <w:tcPr>
            <w:tcW w:w="1265" w:type="dxa"/>
            <w:tcBorders>
              <w:bottom w:val="single" w:sz="4" w:space="0" w:color="auto"/>
            </w:tcBorders>
            <w:vAlign w:val="center"/>
          </w:tcPr>
          <w:p w14:paraId="07EA625A" w14:textId="77777777" w:rsidR="00604AE1" w:rsidRPr="005D6BCE" w:rsidRDefault="00604AE1" w:rsidP="00604AE1">
            <w:pPr>
              <w:jc w:val="right"/>
              <w:rPr>
                <w:rFonts w:ascii="Calibri" w:hAnsi="Calibri" w:cs="Calibri"/>
                <w:lang w:val="en-GB"/>
              </w:rPr>
            </w:pPr>
            <w:r w:rsidRPr="005D6BCE">
              <w:rPr>
                <w:rFonts w:ascii="Calibri" w:hAnsi="Calibri" w:cs="Calibri"/>
                <w:lang w:val="en-GB"/>
              </w:rPr>
              <w:t>6</w:t>
            </w:r>
          </w:p>
        </w:tc>
        <w:tc>
          <w:tcPr>
            <w:tcW w:w="1134" w:type="dxa"/>
            <w:tcBorders>
              <w:bottom w:val="single" w:sz="4" w:space="0" w:color="auto"/>
            </w:tcBorders>
            <w:vAlign w:val="center"/>
          </w:tcPr>
          <w:p w14:paraId="45CBC227" w14:textId="77777777" w:rsidR="00604AE1" w:rsidRPr="005D6BCE" w:rsidRDefault="00604AE1" w:rsidP="00604AE1">
            <w:pPr>
              <w:jc w:val="right"/>
              <w:rPr>
                <w:rFonts w:ascii="Calibri" w:hAnsi="Calibri" w:cs="Calibri"/>
                <w:lang w:val="en-GB"/>
              </w:rPr>
            </w:pPr>
            <w:r w:rsidRPr="005D6BCE">
              <w:rPr>
                <w:rFonts w:ascii="Calibri" w:hAnsi="Calibri" w:cs="Calibri"/>
                <w:lang w:val="en-GB"/>
              </w:rPr>
              <w:t>24</w:t>
            </w:r>
          </w:p>
        </w:tc>
      </w:tr>
      <w:tr w:rsidR="00604AE1" w:rsidRPr="00C54CF9" w14:paraId="3447BD79" w14:textId="77777777" w:rsidTr="0064296A">
        <w:tc>
          <w:tcPr>
            <w:tcW w:w="3219" w:type="dxa"/>
            <w:shd w:val="clear" w:color="auto" w:fill="auto"/>
          </w:tcPr>
          <w:p w14:paraId="327E831F" w14:textId="587D0A58" w:rsidR="00604AE1" w:rsidRPr="005D6BCE" w:rsidRDefault="00604AE1" w:rsidP="00604AE1">
            <w:pPr>
              <w:jc w:val="left"/>
              <w:rPr>
                <w:rFonts w:ascii="Calibri" w:hAnsi="Calibri" w:cs="Calibri"/>
                <w:b/>
                <w:lang w:val="en-GB"/>
              </w:rPr>
            </w:pPr>
            <w:r w:rsidRPr="005D6BCE">
              <w:rPr>
                <w:rFonts w:ascii="Calibri" w:hAnsi="Calibri"/>
                <w:b/>
                <w:lang w:val="en-GB"/>
              </w:rPr>
              <w:t xml:space="preserve">Participation of </w:t>
            </w:r>
            <w:r w:rsidR="00297615">
              <w:rPr>
                <w:rFonts w:ascii="Calibri" w:hAnsi="Calibri"/>
                <w:b/>
                <w:lang w:val="en-GB"/>
              </w:rPr>
              <w:t>m</w:t>
            </w:r>
            <w:r w:rsidRPr="005D6BCE">
              <w:rPr>
                <w:rFonts w:ascii="Calibri" w:hAnsi="Calibri"/>
                <w:b/>
                <w:lang w:val="en-GB"/>
              </w:rPr>
              <w:t>embers in meetings/events/conferences</w:t>
            </w:r>
          </w:p>
        </w:tc>
        <w:tc>
          <w:tcPr>
            <w:tcW w:w="1213" w:type="dxa"/>
            <w:vAlign w:val="center"/>
          </w:tcPr>
          <w:p w14:paraId="3A7908C4" w14:textId="77777777" w:rsidR="00604AE1" w:rsidRPr="005D6BCE" w:rsidRDefault="00604AE1" w:rsidP="00604AE1">
            <w:pPr>
              <w:jc w:val="right"/>
              <w:rPr>
                <w:rFonts w:ascii="Calibri" w:hAnsi="Calibri" w:cs="Calibri"/>
                <w:lang w:val="en-GB"/>
              </w:rPr>
            </w:pPr>
            <w:r w:rsidRPr="005D6BCE">
              <w:rPr>
                <w:rFonts w:ascii="Calibri" w:hAnsi="Calibri" w:cs="Calibri"/>
                <w:lang w:val="en-GB"/>
              </w:rPr>
              <w:t>1</w:t>
            </w:r>
          </w:p>
        </w:tc>
        <w:tc>
          <w:tcPr>
            <w:tcW w:w="1175" w:type="dxa"/>
            <w:vAlign w:val="center"/>
          </w:tcPr>
          <w:p w14:paraId="50520C23" w14:textId="77777777" w:rsidR="00604AE1" w:rsidRPr="005D6BCE" w:rsidRDefault="00604AE1" w:rsidP="00604AE1">
            <w:pPr>
              <w:jc w:val="right"/>
              <w:rPr>
                <w:rFonts w:ascii="Calibri" w:hAnsi="Calibri" w:cs="Calibri"/>
                <w:lang w:val="en-GB"/>
              </w:rPr>
            </w:pPr>
            <w:r w:rsidRPr="005D6BCE">
              <w:rPr>
                <w:rFonts w:ascii="Calibri" w:hAnsi="Calibri" w:cs="Calibri"/>
                <w:lang w:val="en-GB"/>
              </w:rPr>
              <w:t>16</w:t>
            </w:r>
          </w:p>
        </w:tc>
        <w:tc>
          <w:tcPr>
            <w:tcW w:w="1055" w:type="dxa"/>
            <w:vAlign w:val="center"/>
          </w:tcPr>
          <w:p w14:paraId="76A878BF" w14:textId="77777777" w:rsidR="00604AE1" w:rsidRPr="005D6BCE" w:rsidRDefault="00604AE1" w:rsidP="00604AE1">
            <w:pPr>
              <w:jc w:val="right"/>
              <w:rPr>
                <w:rFonts w:ascii="Calibri" w:hAnsi="Calibri" w:cs="Calibri"/>
                <w:lang w:val="en-GB"/>
              </w:rPr>
            </w:pPr>
            <w:r w:rsidRPr="005D6BCE">
              <w:rPr>
                <w:rFonts w:ascii="Calibri" w:hAnsi="Calibri" w:cs="Calibri"/>
                <w:lang w:val="en-GB"/>
              </w:rPr>
              <w:t>31</w:t>
            </w:r>
          </w:p>
        </w:tc>
        <w:tc>
          <w:tcPr>
            <w:tcW w:w="1265" w:type="dxa"/>
            <w:vAlign w:val="center"/>
          </w:tcPr>
          <w:p w14:paraId="382D3604" w14:textId="77777777" w:rsidR="00604AE1" w:rsidRPr="005D6BCE" w:rsidRDefault="00604AE1" w:rsidP="00604AE1">
            <w:pPr>
              <w:jc w:val="right"/>
              <w:rPr>
                <w:rFonts w:ascii="Calibri" w:hAnsi="Calibri" w:cs="Calibri"/>
                <w:lang w:val="en-GB"/>
              </w:rPr>
            </w:pPr>
            <w:r w:rsidRPr="005D6BCE">
              <w:rPr>
                <w:rFonts w:ascii="Calibri" w:hAnsi="Calibri" w:cs="Calibri"/>
                <w:lang w:val="en-GB"/>
              </w:rPr>
              <w:t>7</w:t>
            </w:r>
          </w:p>
        </w:tc>
        <w:tc>
          <w:tcPr>
            <w:tcW w:w="1134" w:type="dxa"/>
            <w:vAlign w:val="center"/>
          </w:tcPr>
          <w:p w14:paraId="397E1065" w14:textId="77777777" w:rsidR="00604AE1" w:rsidRPr="005D6BCE" w:rsidRDefault="00604AE1" w:rsidP="00604AE1">
            <w:pPr>
              <w:jc w:val="right"/>
              <w:rPr>
                <w:rFonts w:ascii="Calibri" w:hAnsi="Calibri" w:cs="Calibri"/>
                <w:lang w:val="en-GB"/>
              </w:rPr>
            </w:pPr>
            <w:r w:rsidRPr="005D6BCE">
              <w:rPr>
                <w:rFonts w:ascii="Calibri" w:hAnsi="Calibri" w:cs="Calibri"/>
                <w:lang w:val="en-GB"/>
              </w:rPr>
              <w:t>55</w:t>
            </w:r>
          </w:p>
        </w:tc>
      </w:tr>
      <w:tr w:rsidR="00604AE1" w:rsidRPr="00C54CF9" w14:paraId="68A32704" w14:textId="77777777" w:rsidTr="0064296A">
        <w:tc>
          <w:tcPr>
            <w:tcW w:w="3219" w:type="dxa"/>
            <w:shd w:val="clear" w:color="auto" w:fill="auto"/>
          </w:tcPr>
          <w:p w14:paraId="3F3C8913" w14:textId="1DA20B5D" w:rsidR="00604AE1" w:rsidRPr="005D6BCE" w:rsidRDefault="00604AE1" w:rsidP="00604AE1">
            <w:pPr>
              <w:jc w:val="left"/>
              <w:rPr>
                <w:rFonts w:ascii="Calibri" w:hAnsi="Calibri" w:cs="Calibri"/>
                <w:b/>
                <w:lang w:val="en-GB"/>
              </w:rPr>
            </w:pPr>
            <w:r w:rsidRPr="005D6BCE">
              <w:rPr>
                <w:rFonts w:ascii="Calibri" w:hAnsi="Calibri" w:cs="Calibri"/>
                <w:b/>
                <w:lang w:val="en-GB"/>
              </w:rPr>
              <w:t xml:space="preserve">Meetings between EESC/EP rapporteurs or </w:t>
            </w:r>
            <w:r w:rsidR="00297615">
              <w:rPr>
                <w:rFonts w:ascii="Calibri" w:hAnsi="Calibri" w:cs="Calibri"/>
                <w:b/>
                <w:lang w:val="en-GB"/>
              </w:rPr>
              <w:t>s</w:t>
            </w:r>
            <w:r w:rsidRPr="005D6BCE">
              <w:rPr>
                <w:rFonts w:ascii="Calibri" w:hAnsi="Calibri" w:cs="Calibri"/>
                <w:b/>
                <w:lang w:val="en-GB"/>
              </w:rPr>
              <w:t>ection/EP Committee presidents</w:t>
            </w:r>
          </w:p>
        </w:tc>
        <w:tc>
          <w:tcPr>
            <w:tcW w:w="1213" w:type="dxa"/>
            <w:vAlign w:val="center"/>
          </w:tcPr>
          <w:p w14:paraId="106367A3"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508B8180"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055" w:type="dxa"/>
            <w:vAlign w:val="center"/>
          </w:tcPr>
          <w:p w14:paraId="12F3E890"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265" w:type="dxa"/>
            <w:vAlign w:val="center"/>
          </w:tcPr>
          <w:p w14:paraId="322DA6B8"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1C61A27C" w14:textId="77777777" w:rsidR="00604AE1" w:rsidRPr="005D6BCE" w:rsidRDefault="00604AE1" w:rsidP="00604AE1">
            <w:pPr>
              <w:jc w:val="right"/>
              <w:rPr>
                <w:rFonts w:ascii="Calibri" w:hAnsi="Calibri" w:cs="Calibri"/>
                <w:lang w:val="en-GB"/>
              </w:rPr>
            </w:pPr>
            <w:r w:rsidRPr="005D6BCE">
              <w:rPr>
                <w:rFonts w:ascii="Calibri" w:hAnsi="Calibri" w:cs="Calibri"/>
                <w:lang w:val="en-GB"/>
              </w:rPr>
              <w:t>5</w:t>
            </w:r>
          </w:p>
        </w:tc>
      </w:tr>
      <w:tr w:rsidR="00604AE1" w:rsidRPr="00C54CF9" w14:paraId="17A5E3DD" w14:textId="77777777" w:rsidTr="0064296A">
        <w:tc>
          <w:tcPr>
            <w:tcW w:w="3219" w:type="dxa"/>
            <w:shd w:val="clear" w:color="auto" w:fill="auto"/>
          </w:tcPr>
          <w:p w14:paraId="561CB897" w14:textId="77777777" w:rsidR="00604AE1" w:rsidRPr="00C54CF9" w:rsidRDefault="00604AE1" w:rsidP="00604AE1">
            <w:pPr>
              <w:jc w:val="left"/>
              <w:rPr>
                <w:rFonts w:ascii="Calibri" w:hAnsi="Calibri" w:cs="Calibri"/>
                <w:b/>
                <w:lang w:val="en-GB"/>
              </w:rPr>
            </w:pPr>
            <w:r w:rsidRPr="00C54CF9">
              <w:rPr>
                <w:rFonts w:ascii="Calibri" w:hAnsi="Calibri" w:cs="Calibri"/>
                <w:b/>
                <w:lang w:val="en-GB"/>
              </w:rPr>
              <w:t>Meetings of EESC members with Commissioners, members of Cabinet, Commission directors-general or directors</w:t>
            </w:r>
          </w:p>
        </w:tc>
        <w:tc>
          <w:tcPr>
            <w:tcW w:w="1213" w:type="dxa"/>
            <w:vAlign w:val="center"/>
          </w:tcPr>
          <w:p w14:paraId="26E26787" w14:textId="77777777" w:rsidR="00604AE1" w:rsidRPr="00C54CF9" w:rsidRDefault="00604AE1" w:rsidP="00604AE1">
            <w:pPr>
              <w:jc w:val="right"/>
              <w:rPr>
                <w:rFonts w:ascii="Calibri" w:hAnsi="Calibri" w:cs="Calibri"/>
                <w:lang w:val="en-GB"/>
              </w:rPr>
            </w:pPr>
            <w:r w:rsidRPr="00C54CF9">
              <w:rPr>
                <w:rFonts w:ascii="Calibri" w:hAnsi="Calibri" w:cs="Calibri"/>
                <w:lang w:val="en-GB"/>
              </w:rPr>
              <w:t>-</w:t>
            </w:r>
          </w:p>
        </w:tc>
        <w:tc>
          <w:tcPr>
            <w:tcW w:w="1175" w:type="dxa"/>
            <w:vAlign w:val="center"/>
          </w:tcPr>
          <w:p w14:paraId="56AA6462" w14:textId="77777777" w:rsidR="00604AE1" w:rsidRPr="00C54CF9" w:rsidRDefault="00604AE1" w:rsidP="00604AE1">
            <w:pPr>
              <w:jc w:val="right"/>
              <w:rPr>
                <w:rFonts w:ascii="Calibri" w:hAnsi="Calibri" w:cs="Calibri"/>
                <w:lang w:val="en-GB"/>
              </w:rPr>
            </w:pPr>
            <w:r w:rsidRPr="00C54CF9">
              <w:rPr>
                <w:rFonts w:ascii="Calibri" w:hAnsi="Calibri" w:cs="Calibri"/>
                <w:lang w:val="en-GB"/>
              </w:rPr>
              <w:t>-</w:t>
            </w:r>
          </w:p>
        </w:tc>
        <w:tc>
          <w:tcPr>
            <w:tcW w:w="1055" w:type="dxa"/>
            <w:vAlign w:val="center"/>
          </w:tcPr>
          <w:p w14:paraId="61D9E23C" w14:textId="77777777" w:rsidR="00604AE1" w:rsidRPr="00C54CF9" w:rsidRDefault="00604AE1" w:rsidP="00604AE1">
            <w:pPr>
              <w:jc w:val="right"/>
              <w:rPr>
                <w:rFonts w:ascii="Calibri" w:hAnsi="Calibri" w:cs="Calibri"/>
                <w:lang w:val="en-GB"/>
              </w:rPr>
            </w:pPr>
            <w:r w:rsidRPr="00C54CF9">
              <w:rPr>
                <w:rFonts w:ascii="Calibri" w:hAnsi="Calibri" w:cs="Calibri"/>
                <w:lang w:val="en-GB"/>
              </w:rPr>
              <w:t>-</w:t>
            </w:r>
          </w:p>
        </w:tc>
        <w:tc>
          <w:tcPr>
            <w:tcW w:w="1265" w:type="dxa"/>
            <w:vAlign w:val="center"/>
          </w:tcPr>
          <w:p w14:paraId="7EC90171" w14:textId="77777777" w:rsidR="00604AE1" w:rsidRPr="00C54CF9" w:rsidRDefault="00604AE1" w:rsidP="00604AE1">
            <w:pPr>
              <w:jc w:val="right"/>
              <w:rPr>
                <w:rFonts w:ascii="Calibri" w:hAnsi="Calibri" w:cs="Calibri"/>
                <w:lang w:val="en-GB"/>
              </w:rPr>
            </w:pPr>
            <w:r w:rsidRPr="00C54CF9">
              <w:rPr>
                <w:rFonts w:ascii="Calibri" w:hAnsi="Calibri" w:cs="Calibri"/>
                <w:lang w:val="en-GB"/>
              </w:rPr>
              <w:t>-</w:t>
            </w:r>
          </w:p>
        </w:tc>
        <w:tc>
          <w:tcPr>
            <w:tcW w:w="1134" w:type="dxa"/>
            <w:vAlign w:val="center"/>
          </w:tcPr>
          <w:p w14:paraId="0049509A" w14:textId="77777777" w:rsidR="00604AE1" w:rsidRPr="00C54CF9" w:rsidRDefault="00604AE1" w:rsidP="00604AE1">
            <w:pPr>
              <w:jc w:val="right"/>
              <w:rPr>
                <w:rFonts w:ascii="Calibri" w:hAnsi="Calibri" w:cs="Calibri"/>
                <w:lang w:val="en-GB"/>
              </w:rPr>
            </w:pPr>
            <w:r w:rsidRPr="00C54CF9">
              <w:rPr>
                <w:rFonts w:ascii="Calibri" w:hAnsi="Calibri" w:cs="Calibri"/>
                <w:lang w:val="en-GB"/>
              </w:rPr>
              <w:t>-</w:t>
            </w:r>
          </w:p>
        </w:tc>
      </w:tr>
      <w:tr w:rsidR="00604AE1" w:rsidRPr="00C54CF9" w14:paraId="627021A7" w14:textId="77777777" w:rsidTr="0064296A">
        <w:tc>
          <w:tcPr>
            <w:tcW w:w="3219" w:type="dxa"/>
            <w:shd w:val="clear" w:color="auto" w:fill="auto"/>
          </w:tcPr>
          <w:p w14:paraId="52234670" w14:textId="77777777" w:rsidR="00604AE1" w:rsidRPr="005D6BCE" w:rsidRDefault="00604AE1" w:rsidP="00604AE1">
            <w:pPr>
              <w:jc w:val="left"/>
              <w:rPr>
                <w:rFonts w:ascii="Calibri" w:hAnsi="Calibri" w:cs="Calibri"/>
                <w:b/>
                <w:lang w:val="en-GB"/>
              </w:rPr>
            </w:pPr>
            <w:r w:rsidRPr="005D6BCE">
              <w:rPr>
                <w:rFonts w:ascii="Calibri" w:hAnsi="Calibri" w:cs="Calibri"/>
                <w:b/>
                <w:lang w:val="en-GB"/>
              </w:rPr>
              <w:t>Meetings of EESC members with Council representatives, permanent representatives or EU presidency representatives</w:t>
            </w:r>
          </w:p>
        </w:tc>
        <w:tc>
          <w:tcPr>
            <w:tcW w:w="1213" w:type="dxa"/>
            <w:vAlign w:val="center"/>
          </w:tcPr>
          <w:p w14:paraId="2E5224E4"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75" w:type="dxa"/>
            <w:vAlign w:val="center"/>
          </w:tcPr>
          <w:p w14:paraId="205E0197" w14:textId="77777777" w:rsidR="00604AE1" w:rsidRPr="005D6BCE" w:rsidRDefault="00604AE1" w:rsidP="00604AE1">
            <w:pPr>
              <w:jc w:val="right"/>
              <w:rPr>
                <w:rFonts w:ascii="Calibri" w:hAnsi="Calibri" w:cs="Calibri"/>
                <w:lang w:val="en-GB"/>
              </w:rPr>
            </w:pPr>
            <w:r w:rsidRPr="005D6BCE">
              <w:rPr>
                <w:rFonts w:ascii="Calibri" w:hAnsi="Calibri" w:cs="Calibri"/>
                <w:lang w:val="en-GB"/>
              </w:rPr>
              <w:t>2</w:t>
            </w:r>
          </w:p>
        </w:tc>
        <w:tc>
          <w:tcPr>
            <w:tcW w:w="1055" w:type="dxa"/>
            <w:vAlign w:val="center"/>
          </w:tcPr>
          <w:p w14:paraId="516FD1A0" w14:textId="77777777" w:rsidR="00604AE1" w:rsidRPr="005D6BCE" w:rsidRDefault="00604AE1" w:rsidP="00604AE1">
            <w:pPr>
              <w:jc w:val="right"/>
              <w:rPr>
                <w:rFonts w:ascii="Calibri" w:hAnsi="Calibri" w:cs="Calibri"/>
                <w:lang w:val="en-GB"/>
              </w:rPr>
            </w:pPr>
            <w:r w:rsidRPr="005D6BCE">
              <w:rPr>
                <w:rFonts w:ascii="Calibri" w:hAnsi="Calibri" w:cs="Calibri"/>
                <w:lang w:val="en-GB"/>
              </w:rPr>
              <w:t>3</w:t>
            </w:r>
          </w:p>
        </w:tc>
        <w:tc>
          <w:tcPr>
            <w:tcW w:w="1265" w:type="dxa"/>
            <w:vAlign w:val="center"/>
          </w:tcPr>
          <w:p w14:paraId="49C9C3D0" w14:textId="77777777" w:rsidR="00604AE1" w:rsidRPr="005D6BCE" w:rsidRDefault="00604AE1" w:rsidP="00604AE1">
            <w:pPr>
              <w:jc w:val="right"/>
              <w:rPr>
                <w:rFonts w:ascii="Calibri" w:hAnsi="Calibri" w:cs="Calibri"/>
                <w:lang w:val="en-GB"/>
              </w:rPr>
            </w:pPr>
            <w:r w:rsidRPr="005D6BCE">
              <w:rPr>
                <w:rFonts w:ascii="Calibri" w:hAnsi="Calibri" w:cs="Calibri"/>
                <w:lang w:val="en-GB"/>
              </w:rPr>
              <w:t>-</w:t>
            </w:r>
          </w:p>
        </w:tc>
        <w:tc>
          <w:tcPr>
            <w:tcW w:w="1134" w:type="dxa"/>
            <w:vAlign w:val="center"/>
          </w:tcPr>
          <w:p w14:paraId="5C69D07D" w14:textId="77777777" w:rsidR="00604AE1" w:rsidRPr="005D6BCE" w:rsidRDefault="00604AE1" w:rsidP="00604AE1">
            <w:pPr>
              <w:jc w:val="right"/>
              <w:rPr>
                <w:rFonts w:ascii="Calibri" w:hAnsi="Calibri" w:cs="Calibri"/>
                <w:lang w:val="en-GB"/>
              </w:rPr>
            </w:pPr>
            <w:r w:rsidRPr="005D6BCE">
              <w:rPr>
                <w:rFonts w:ascii="Calibri" w:hAnsi="Calibri" w:cs="Calibri"/>
                <w:lang w:val="en-GB"/>
              </w:rPr>
              <w:t>5</w:t>
            </w:r>
          </w:p>
        </w:tc>
      </w:tr>
    </w:tbl>
    <w:p w14:paraId="02C7E022" w14:textId="77777777" w:rsidR="00604AE1" w:rsidRPr="005D6BCE" w:rsidRDefault="00604AE1" w:rsidP="00604AE1">
      <w:pPr>
        <w:rPr>
          <w:rFonts w:ascii="Calibri" w:hAnsi="Calibri" w:cs="Calibri"/>
          <w:lang w:val="en-GB"/>
        </w:rPr>
      </w:pPr>
    </w:p>
    <w:p w14:paraId="48EE315F" w14:textId="77777777" w:rsidR="00604AE1" w:rsidRPr="00C54CF9" w:rsidRDefault="00604AE1" w:rsidP="00604AE1">
      <w:pPr>
        <w:rPr>
          <w:lang w:val="en-GB"/>
        </w:rPr>
      </w:pPr>
    </w:p>
    <w:p w14:paraId="5197E6A6" w14:textId="77777777" w:rsidR="00E004D3" w:rsidRPr="005D6BCE" w:rsidRDefault="00E004D3" w:rsidP="00604AE1">
      <w:pPr>
        <w:spacing w:line="240" w:lineRule="auto"/>
        <w:rPr>
          <w:rFonts w:asciiTheme="minorHAnsi" w:hAnsiTheme="minorHAnsi" w:cstheme="minorHAnsi"/>
          <w:lang w:val="en-GB"/>
        </w:rPr>
      </w:pPr>
    </w:p>
    <w:sectPr w:rsidR="00E004D3" w:rsidRPr="005D6BCE" w:rsidSect="000119EA">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6F72" w14:textId="77777777" w:rsidR="00757812" w:rsidRDefault="00757812" w:rsidP="00FD0832">
      <w:pPr>
        <w:spacing w:line="240" w:lineRule="auto"/>
      </w:pPr>
      <w:r>
        <w:separator/>
      </w:r>
    </w:p>
  </w:endnote>
  <w:endnote w:type="continuationSeparator" w:id="0">
    <w:p w14:paraId="578DAA64" w14:textId="77777777" w:rsidR="00757812" w:rsidRDefault="00757812"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88CC" w14:textId="7AAEAB6E" w:rsidR="002F2F1C" w:rsidRPr="008D5CCD" w:rsidRDefault="007568CF" w:rsidP="009E2366">
    <w:pPr>
      <w:pStyle w:val="Footer"/>
      <w:ind w:left="-567" w:right="-567"/>
    </w:pPr>
    <w:r w:rsidRPr="007568CF">
      <w:t>EESC-2023-</w:t>
    </w:r>
    <w:r w:rsidR="00AB0604" w:rsidRPr="007568CF">
      <w:t>0</w:t>
    </w:r>
    <w:r w:rsidR="00AB0604" w:rsidRPr="00AB0604">
      <w:rPr>
        <w:lang w:val="en-GB"/>
      </w:rPr>
      <w:t>1653</w:t>
    </w:r>
    <w:r w:rsidR="00AB0604" w:rsidRPr="00AB0604">
      <w:rPr>
        <w:i/>
        <w:iCs/>
        <w:lang w:val="en-GB"/>
      </w:rPr>
      <w:t>-</w:t>
    </w:r>
    <w:r w:rsidR="00AB0604" w:rsidRPr="00AB0604">
      <w:rPr>
        <w:lang w:val="en-GB"/>
      </w:rPr>
      <w:t>08</w:t>
    </w:r>
    <w:r w:rsidRPr="007568CF">
      <w:t>-00-00-</w:t>
    </w:r>
    <w:r w:rsidR="00AB0604">
      <w:t>NB</w:t>
    </w:r>
    <w:r w:rsidRPr="007568CF">
      <w:t>-</w:t>
    </w:r>
    <w:r w:rsidR="009A27F5">
      <w:rPr>
        <w:noProof/>
      </w:rPr>
      <mc:AlternateContent>
        <mc:Choice Requires="wps">
          <w:drawing>
            <wp:anchor distT="0" distB="0" distL="114300" distR="114300" simplePos="0" relativeHeight="251659264" behindDoc="0" locked="0" layoutInCell="1" allowOverlap="1" wp14:anchorId="0EFA686E" wp14:editId="3784F185">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6BB3A693" w14:textId="02796CA6"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AA7CBB">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686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6BB3A693" w14:textId="02796CA6"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AA7CBB">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sidR="009A27F5">
      <w:rPr>
        <w:noProof/>
      </w:rPr>
      <w:drawing>
        <wp:anchor distT="269875" distB="0" distL="114300" distR="114300" simplePos="0" relativeHeight="251658240" behindDoc="0" locked="0" layoutInCell="1" allowOverlap="1" wp14:anchorId="02323F95" wp14:editId="5CBDD673">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r w:rsidR="005D6BCE">
      <w:t>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BDCD" w14:textId="77777777" w:rsidR="00757812" w:rsidRDefault="00757812" w:rsidP="00FD0832">
      <w:pPr>
        <w:spacing w:line="240" w:lineRule="auto"/>
      </w:pPr>
      <w:r>
        <w:separator/>
      </w:r>
    </w:p>
  </w:footnote>
  <w:footnote w:type="continuationSeparator" w:id="0">
    <w:p w14:paraId="5A6CDF5C" w14:textId="77777777" w:rsidR="00757812" w:rsidRDefault="00757812"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FD8A" w14:textId="77777777" w:rsidR="00FD0832" w:rsidRPr="001246DB" w:rsidRDefault="00FD0832" w:rsidP="009E2366">
    <w:pPr>
      <w:pStyle w:val="Header"/>
      <w:tabs>
        <w:tab w:val="left" w:pos="2918"/>
      </w:tabs>
      <w:ind w:hanging="567"/>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2BF1F86"/>
    <w:multiLevelType w:val="hybridMultilevel"/>
    <w:tmpl w:val="E0CA2CEA"/>
    <w:lvl w:ilvl="0" w:tplc="8B3E3F1E">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F7"/>
    <w:rsid w:val="00007CAC"/>
    <w:rsid w:val="000119EA"/>
    <w:rsid w:val="0001546B"/>
    <w:rsid w:val="000203EF"/>
    <w:rsid w:val="0005041C"/>
    <w:rsid w:val="00051F23"/>
    <w:rsid w:val="0005760B"/>
    <w:rsid w:val="00091123"/>
    <w:rsid w:val="00097A20"/>
    <w:rsid w:val="000A3FB5"/>
    <w:rsid w:val="000A4CD7"/>
    <w:rsid w:val="000E5193"/>
    <w:rsid w:val="000F2679"/>
    <w:rsid w:val="000F40E4"/>
    <w:rsid w:val="000F4E24"/>
    <w:rsid w:val="000F7FA1"/>
    <w:rsid w:val="001158DA"/>
    <w:rsid w:val="001246DB"/>
    <w:rsid w:val="00131A9C"/>
    <w:rsid w:val="00135C53"/>
    <w:rsid w:val="00165EB3"/>
    <w:rsid w:val="00166B6B"/>
    <w:rsid w:val="00173AE0"/>
    <w:rsid w:val="00177794"/>
    <w:rsid w:val="001B2F1F"/>
    <w:rsid w:val="001D2B4A"/>
    <w:rsid w:val="001D59C9"/>
    <w:rsid w:val="001E7648"/>
    <w:rsid w:val="00246692"/>
    <w:rsid w:val="00262972"/>
    <w:rsid w:val="00271815"/>
    <w:rsid w:val="00273FC3"/>
    <w:rsid w:val="0028001A"/>
    <w:rsid w:val="00297615"/>
    <w:rsid w:val="002A2DB2"/>
    <w:rsid w:val="002D4A3F"/>
    <w:rsid w:val="002E6118"/>
    <w:rsid w:val="002E6275"/>
    <w:rsid w:val="002E76D4"/>
    <w:rsid w:val="002F2F1C"/>
    <w:rsid w:val="002F4476"/>
    <w:rsid w:val="003139DA"/>
    <w:rsid w:val="003160B0"/>
    <w:rsid w:val="0032588D"/>
    <w:rsid w:val="00334E96"/>
    <w:rsid w:val="003400CB"/>
    <w:rsid w:val="003566BE"/>
    <w:rsid w:val="00356A1D"/>
    <w:rsid w:val="00371758"/>
    <w:rsid w:val="00374803"/>
    <w:rsid w:val="0037783D"/>
    <w:rsid w:val="003A37FC"/>
    <w:rsid w:val="003C5B4E"/>
    <w:rsid w:val="003D5A25"/>
    <w:rsid w:val="003D6526"/>
    <w:rsid w:val="003E771B"/>
    <w:rsid w:val="003E7F4E"/>
    <w:rsid w:val="003F2472"/>
    <w:rsid w:val="00402188"/>
    <w:rsid w:val="00404B68"/>
    <w:rsid w:val="00416A4E"/>
    <w:rsid w:val="004368F2"/>
    <w:rsid w:val="00455500"/>
    <w:rsid w:val="00466640"/>
    <w:rsid w:val="00466A33"/>
    <w:rsid w:val="00491478"/>
    <w:rsid w:val="0049474E"/>
    <w:rsid w:val="004B45F2"/>
    <w:rsid w:val="004D45E7"/>
    <w:rsid w:val="004F2406"/>
    <w:rsid w:val="0050293D"/>
    <w:rsid w:val="00532394"/>
    <w:rsid w:val="00540E47"/>
    <w:rsid w:val="00541272"/>
    <w:rsid w:val="00547CA3"/>
    <w:rsid w:val="00550B05"/>
    <w:rsid w:val="0055473D"/>
    <w:rsid w:val="00561772"/>
    <w:rsid w:val="00570253"/>
    <w:rsid w:val="00571207"/>
    <w:rsid w:val="00575C95"/>
    <w:rsid w:val="005843A4"/>
    <w:rsid w:val="00592972"/>
    <w:rsid w:val="005938BD"/>
    <w:rsid w:val="005C5463"/>
    <w:rsid w:val="005D04CC"/>
    <w:rsid w:val="005D6BCE"/>
    <w:rsid w:val="005D70A5"/>
    <w:rsid w:val="005F1773"/>
    <w:rsid w:val="005F25DC"/>
    <w:rsid w:val="00604AE1"/>
    <w:rsid w:val="00604B19"/>
    <w:rsid w:val="00606BA6"/>
    <w:rsid w:val="00625EFE"/>
    <w:rsid w:val="00633D3F"/>
    <w:rsid w:val="00641EE5"/>
    <w:rsid w:val="0069155C"/>
    <w:rsid w:val="006943A6"/>
    <w:rsid w:val="0069577A"/>
    <w:rsid w:val="006A1288"/>
    <w:rsid w:val="006B66EE"/>
    <w:rsid w:val="006E6DFD"/>
    <w:rsid w:val="006F0A66"/>
    <w:rsid w:val="00700879"/>
    <w:rsid w:val="00725BA1"/>
    <w:rsid w:val="00736503"/>
    <w:rsid w:val="007568CF"/>
    <w:rsid w:val="00757812"/>
    <w:rsid w:val="007643EA"/>
    <w:rsid w:val="00766E29"/>
    <w:rsid w:val="00772A09"/>
    <w:rsid w:val="00777881"/>
    <w:rsid w:val="00782AC4"/>
    <w:rsid w:val="007969AD"/>
    <w:rsid w:val="007C56DA"/>
    <w:rsid w:val="007D128D"/>
    <w:rsid w:val="007F3152"/>
    <w:rsid w:val="007F6849"/>
    <w:rsid w:val="00810227"/>
    <w:rsid w:val="0081341B"/>
    <w:rsid w:val="0081678E"/>
    <w:rsid w:val="008560DE"/>
    <w:rsid w:val="00872E90"/>
    <w:rsid w:val="00885E57"/>
    <w:rsid w:val="008A55F7"/>
    <w:rsid w:val="008B6D94"/>
    <w:rsid w:val="008D58EF"/>
    <w:rsid w:val="008D5CCD"/>
    <w:rsid w:val="00904086"/>
    <w:rsid w:val="00913FC9"/>
    <w:rsid w:val="009407C2"/>
    <w:rsid w:val="009446BB"/>
    <w:rsid w:val="0094706E"/>
    <w:rsid w:val="00957A8D"/>
    <w:rsid w:val="009663CC"/>
    <w:rsid w:val="00977750"/>
    <w:rsid w:val="00990594"/>
    <w:rsid w:val="009A27F5"/>
    <w:rsid w:val="009B63CF"/>
    <w:rsid w:val="009C1E0B"/>
    <w:rsid w:val="009C5FD2"/>
    <w:rsid w:val="009E2366"/>
    <w:rsid w:val="009F65CA"/>
    <w:rsid w:val="00A15DF0"/>
    <w:rsid w:val="00A75988"/>
    <w:rsid w:val="00A93779"/>
    <w:rsid w:val="00AA4A2F"/>
    <w:rsid w:val="00AA7CBB"/>
    <w:rsid w:val="00AB0604"/>
    <w:rsid w:val="00AB672B"/>
    <w:rsid w:val="00AC4EAA"/>
    <w:rsid w:val="00AD4549"/>
    <w:rsid w:val="00AF09B0"/>
    <w:rsid w:val="00B04057"/>
    <w:rsid w:val="00B338B1"/>
    <w:rsid w:val="00B77AE8"/>
    <w:rsid w:val="00B77B21"/>
    <w:rsid w:val="00B81E4F"/>
    <w:rsid w:val="00BA1C2B"/>
    <w:rsid w:val="00BB40D8"/>
    <w:rsid w:val="00BC7E05"/>
    <w:rsid w:val="00C140D7"/>
    <w:rsid w:val="00C1452D"/>
    <w:rsid w:val="00C21978"/>
    <w:rsid w:val="00C3126D"/>
    <w:rsid w:val="00C324F3"/>
    <w:rsid w:val="00C4124F"/>
    <w:rsid w:val="00C412EC"/>
    <w:rsid w:val="00C41710"/>
    <w:rsid w:val="00C54CF9"/>
    <w:rsid w:val="00C57614"/>
    <w:rsid w:val="00C57AA4"/>
    <w:rsid w:val="00C67351"/>
    <w:rsid w:val="00C83999"/>
    <w:rsid w:val="00CA6677"/>
    <w:rsid w:val="00CB015C"/>
    <w:rsid w:val="00D10E96"/>
    <w:rsid w:val="00D21B36"/>
    <w:rsid w:val="00D23A2A"/>
    <w:rsid w:val="00D306D7"/>
    <w:rsid w:val="00D33952"/>
    <w:rsid w:val="00D44008"/>
    <w:rsid w:val="00DA3BC5"/>
    <w:rsid w:val="00DA5BA9"/>
    <w:rsid w:val="00DA6A98"/>
    <w:rsid w:val="00DC0750"/>
    <w:rsid w:val="00DC0B70"/>
    <w:rsid w:val="00DC1230"/>
    <w:rsid w:val="00DC3E48"/>
    <w:rsid w:val="00DC7016"/>
    <w:rsid w:val="00DC7FA7"/>
    <w:rsid w:val="00DF6A55"/>
    <w:rsid w:val="00E004D3"/>
    <w:rsid w:val="00E178D6"/>
    <w:rsid w:val="00E30811"/>
    <w:rsid w:val="00E358F7"/>
    <w:rsid w:val="00E75D95"/>
    <w:rsid w:val="00E84F7F"/>
    <w:rsid w:val="00E9670E"/>
    <w:rsid w:val="00E96B9E"/>
    <w:rsid w:val="00EA2F0D"/>
    <w:rsid w:val="00EA7BB0"/>
    <w:rsid w:val="00EC1A69"/>
    <w:rsid w:val="00ED01B0"/>
    <w:rsid w:val="00ED060F"/>
    <w:rsid w:val="00ED08B6"/>
    <w:rsid w:val="00ED1074"/>
    <w:rsid w:val="00ED17DC"/>
    <w:rsid w:val="00ED5187"/>
    <w:rsid w:val="00EE468D"/>
    <w:rsid w:val="00EF1E8B"/>
    <w:rsid w:val="00F2058E"/>
    <w:rsid w:val="00F33AD9"/>
    <w:rsid w:val="00F366AB"/>
    <w:rsid w:val="00F510F6"/>
    <w:rsid w:val="00F64A4C"/>
    <w:rsid w:val="00F743BB"/>
    <w:rsid w:val="00F74E59"/>
    <w:rsid w:val="00FA0E60"/>
    <w:rsid w:val="00FB4B4E"/>
    <w:rsid w:val="00FB7F98"/>
    <w:rsid w:val="00FD0832"/>
    <w:rsid w:val="00FD39A3"/>
    <w:rsid w:val="0229615D"/>
    <w:rsid w:val="034A4996"/>
    <w:rsid w:val="03B99FF3"/>
    <w:rsid w:val="05BA4981"/>
    <w:rsid w:val="06CD7F01"/>
    <w:rsid w:val="086055CC"/>
    <w:rsid w:val="09FC262D"/>
    <w:rsid w:val="0DB8D2FB"/>
    <w:rsid w:val="0F6D7E9B"/>
    <w:rsid w:val="1217CACF"/>
    <w:rsid w:val="14C386B0"/>
    <w:rsid w:val="15B6AC11"/>
    <w:rsid w:val="1ACE53A1"/>
    <w:rsid w:val="1C93F70C"/>
    <w:rsid w:val="222E42F8"/>
    <w:rsid w:val="296F3289"/>
    <w:rsid w:val="2DAE0D50"/>
    <w:rsid w:val="31290713"/>
    <w:rsid w:val="3190C155"/>
    <w:rsid w:val="3223A82E"/>
    <w:rsid w:val="3283BC21"/>
    <w:rsid w:val="33023099"/>
    <w:rsid w:val="3DBE08F9"/>
    <w:rsid w:val="40C737DA"/>
    <w:rsid w:val="40CB5184"/>
    <w:rsid w:val="41802C64"/>
    <w:rsid w:val="431BFCC5"/>
    <w:rsid w:val="462702C3"/>
    <w:rsid w:val="48EB0D75"/>
    <w:rsid w:val="4AE884D8"/>
    <w:rsid w:val="4B6AD6A9"/>
    <w:rsid w:val="4DCD6498"/>
    <w:rsid w:val="4E14B37D"/>
    <w:rsid w:val="4F11BF80"/>
    <w:rsid w:val="52BDF809"/>
    <w:rsid w:val="53AC71B6"/>
    <w:rsid w:val="54F21BF3"/>
    <w:rsid w:val="5907679D"/>
    <w:rsid w:val="5A93513F"/>
    <w:rsid w:val="5D961C48"/>
    <w:rsid w:val="5E06CC91"/>
    <w:rsid w:val="5F260B62"/>
    <w:rsid w:val="645DAD58"/>
    <w:rsid w:val="659F1254"/>
    <w:rsid w:val="661A481B"/>
    <w:rsid w:val="666EC963"/>
    <w:rsid w:val="6BEB660D"/>
    <w:rsid w:val="6D18BA31"/>
    <w:rsid w:val="6DB11F1D"/>
    <w:rsid w:val="6EF55CA5"/>
    <w:rsid w:val="7227C154"/>
    <w:rsid w:val="72580708"/>
    <w:rsid w:val="76DDD8FF"/>
    <w:rsid w:val="77CE8854"/>
    <w:rsid w:val="7A2BE609"/>
    <w:rsid w:val="7E43A9AF"/>
    <w:rsid w:val="7FD1C3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277B7B"/>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119EA"/>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0119EA"/>
    <w:pPr>
      <w:spacing w:after="100" w:line="259" w:lineRule="auto"/>
      <w:ind w:left="220"/>
      <w:jc w:val="left"/>
    </w:pPr>
    <w:rPr>
      <w:rFonts w:asciiTheme="minorHAnsi" w:eastAsiaTheme="minorEastAsia" w:hAnsiTheme="minorHAnsi"/>
    </w:rPr>
  </w:style>
  <w:style w:type="paragraph" w:styleId="TOC1">
    <w:name w:val="toc 1"/>
    <w:basedOn w:val="Normal"/>
    <w:next w:val="Normal"/>
    <w:autoRedefine/>
    <w:uiPriority w:val="39"/>
    <w:unhideWhenUsed/>
    <w:rsid w:val="000119EA"/>
    <w:pPr>
      <w:spacing w:after="100" w:line="259" w:lineRule="auto"/>
      <w:jc w:val="left"/>
    </w:pPr>
    <w:rPr>
      <w:rFonts w:asciiTheme="minorHAnsi" w:eastAsiaTheme="minorEastAsia" w:hAnsiTheme="minorHAnsi"/>
    </w:rPr>
  </w:style>
  <w:style w:type="paragraph" w:styleId="TOC3">
    <w:name w:val="toc 3"/>
    <w:basedOn w:val="Normal"/>
    <w:next w:val="Normal"/>
    <w:autoRedefine/>
    <w:uiPriority w:val="39"/>
    <w:unhideWhenUsed/>
    <w:rsid w:val="000119EA"/>
    <w:pPr>
      <w:spacing w:after="100" w:line="259" w:lineRule="auto"/>
      <w:ind w:left="440"/>
      <w:jc w:val="left"/>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B81E4F"/>
    <w:rPr>
      <w:color w:val="605E5C"/>
      <w:shd w:val="clear" w:color="auto" w:fill="E1DFDD"/>
    </w:rPr>
  </w:style>
  <w:style w:type="character" w:styleId="CommentReference">
    <w:name w:val="annotation reference"/>
    <w:basedOn w:val="DefaultParagraphFont"/>
    <w:uiPriority w:val="99"/>
    <w:semiHidden/>
    <w:unhideWhenUsed/>
    <w:rsid w:val="0081678E"/>
    <w:rPr>
      <w:sz w:val="16"/>
      <w:szCs w:val="16"/>
    </w:rPr>
  </w:style>
  <w:style w:type="paragraph" w:styleId="CommentText">
    <w:name w:val="annotation text"/>
    <w:basedOn w:val="Normal"/>
    <w:link w:val="CommentTextChar"/>
    <w:uiPriority w:val="99"/>
    <w:semiHidden/>
    <w:unhideWhenUsed/>
    <w:rsid w:val="0081678E"/>
    <w:pPr>
      <w:spacing w:line="240" w:lineRule="auto"/>
    </w:pPr>
    <w:rPr>
      <w:sz w:val="20"/>
      <w:szCs w:val="20"/>
    </w:rPr>
  </w:style>
  <w:style w:type="character" w:customStyle="1" w:styleId="CommentTextChar">
    <w:name w:val="Comment Text Char"/>
    <w:basedOn w:val="DefaultParagraphFont"/>
    <w:link w:val="CommentText"/>
    <w:uiPriority w:val="99"/>
    <w:semiHidden/>
    <w:rsid w:val="008167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678E"/>
    <w:rPr>
      <w:b/>
      <w:bCs/>
    </w:rPr>
  </w:style>
  <w:style w:type="character" w:customStyle="1" w:styleId="CommentSubjectChar">
    <w:name w:val="Comment Subject Char"/>
    <w:basedOn w:val="CommentTextChar"/>
    <w:link w:val="CommentSubject"/>
    <w:uiPriority w:val="99"/>
    <w:semiHidden/>
    <w:rsid w:val="0081678E"/>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1B2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491">
      <w:bodyDiv w:val="1"/>
      <w:marLeft w:val="0"/>
      <w:marRight w:val="0"/>
      <w:marTop w:val="0"/>
      <w:marBottom w:val="0"/>
      <w:divBdr>
        <w:top w:val="none" w:sz="0" w:space="0" w:color="auto"/>
        <w:left w:val="none" w:sz="0" w:space="0" w:color="auto"/>
        <w:bottom w:val="none" w:sz="0" w:space="0" w:color="auto"/>
        <w:right w:val="none" w:sz="0" w:space="0" w:color="auto"/>
      </w:divBdr>
    </w:div>
    <w:div w:id="450057088">
      <w:bodyDiv w:val="1"/>
      <w:marLeft w:val="0"/>
      <w:marRight w:val="0"/>
      <w:marTop w:val="0"/>
      <w:marBottom w:val="0"/>
      <w:divBdr>
        <w:top w:val="none" w:sz="0" w:space="0" w:color="auto"/>
        <w:left w:val="none" w:sz="0" w:space="0" w:color="auto"/>
        <w:bottom w:val="none" w:sz="0" w:space="0" w:color="auto"/>
        <w:right w:val="none" w:sz="0" w:space="0" w:color="auto"/>
      </w:divBdr>
      <w:divsChild>
        <w:div w:id="439951756">
          <w:marLeft w:val="0"/>
          <w:marRight w:val="0"/>
          <w:marTop w:val="0"/>
          <w:marBottom w:val="0"/>
          <w:divBdr>
            <w:top w:val="none" w:sz="0" w:space="0" w:color="auto"/>
            <w:left w:val="none" w:sz="0" w:space="0" w:color="auto"/>
            <w:bottom w:val="none" w:sz="0" w:space="0" w:color="auto"/>
            <w:right w:val="none" w:sz="0" w:space="0" w:color="auto"/>
          </w:divBdr>
        </w:div>
      </w:divsChild>
    </w:div>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636690680">
      <w:bodyDiv w:val="1"/>
      <w:marLeft w:val="0"/>
      <w:marRight w:val="0"/>
      <w:marTop w:val="0"/>
      <w:marBottom w:val="0"/>
      <w:divBdr>
        <w:top w:val="none" w:sz="0" w:space="0" w:color="auto"/>
        <w:left w:val="none" w:sz="0" w:space="0" w:color="auto"/>
        <w:bottom w:val="none" w:sz="0" w:space="0" w:color="auto"/>
        <w:right w:val="none" w:sz="0" w:space="0" w:color="auto"/>
      </w:divBdr>
      <w:divsChild>
        <w:div w:id="1888298121">
          <w:marLeft w:val="0"/>
          <w:marRight w:val="0"/>
          <w:marTop w:val="0"/>
          <w:marBottom w:val="0"/>
          <w:divBdr>
            <w:top w:val="none" w:sz="0" w:space="0" w:color="auto"/>
            <w:left w:val="none" w:sz="0" w:space="0" w:color="auto"/>
            <w:bottom w:val="none" w:sz="0" w:space="0" w:color="auto"/>
            <w:right w:val="none" w:sz="0" w:space="0" w:color="auto"/>
          </w:divBdr>
        </w:div>
      </w:divsChild>
    </w:div>
    <w:div w:id="920137987">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 w:id="1830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esc.europa.eu/en/agenda/our-events/events/tackling-energy-poverty-just-transition" TargetMode="External"/><Relationship Id="rId3" Type="http://schemas.openxmlformats.org/officeDocument/2006/relationships/customXml" Target="../customXml/item3.xml"/><Relationship Id="rId21" Type="http://schemas.openxmlformats.org/officeDocument/2006/relationships/hyperlink" Target="https://www.eesc.europa.eu/en/agenda/our-events/events/bauhaus-service-citize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esc.europa.eu/en/agenda/our-events/events/tackling-energy-poverty-heart-ecological-and-energy-transition" TargetMode="External"/><Relationship Id="rId2" Type="http://schemas.openxmlformats.org/officeDocument/2006/relationships/customXml" Target="../customXml/item2.xml"/><Relationship Id="rId16" Type="http://schemas.openxmlformats.org/officeDocument/2006/relationships/hyperlink" Target="https://www.eesc.europa.eu/en/agenda/our-events/events/conference-energy-poverty-crossroads-european-pillar-social-rights-and-european-green-deal" TargetMode="External"/><Relationship Id="rId20" Type="http://schemas.openxmlformats.org/officeDocument/2006/relationships/hyperlink" Target="https://new-european-bauhaus.europa.eu/index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esc.europa.eu/en/agenda/our-events/events/women-energy-pover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eesc.europa.eu/en/our-work/publications-other-work/publications/conference-energy-poverty-crossroads-european-pillar-social-rights-and-european-green-de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XMKEDVFMMJCW-1587818345-4094</_dlc_DocId>
    <_dlc_DocIdUrl xmlns="56a5413d-c261-4a00-870c-a20d3379ae6d">
      <Url>http://dm2016/eesc/2023/_layouts/15/DocIdRedir.aspx?ID=XMKEDVFMMJCW-1587818345-4094</Url>
      <Description>XMKEDVFMMJCW-1587818345-4094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2023-04-19T12:00:00+00:00</ProductionDate>
    <DocumentNumber xmlns="5e8f28df-38cd-4f6e-b090-faa878e96575">1653</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2023-04-25T12:00:00+00:00</MeetingDate>
    <TaxCatchAll xmlns="56a5413d-c261-4a00-870c-a20d3379ae6d">
      <Value>16</Value>
      <Value>10</Value>
      <Value>7</Value>
      <Value>52</Value>
      <Value>5</Value>
      <Value>6</Value>
      <Value>3</Value>
      <Value>53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4445</FicheNumber>
    <OriginalSender xmlns="56a5413d-c261-4a00-870c-a20d3379ae6d">
      <UserInfo>
        <DisplayName>Tudor Anca</DisplayName>
        <AccountId>45</AccountId>
        <AccountType/>
      </UserInfo>
    </OriginalSender>
    <DocumentPart xmlns="56a5413d-c261-4a00-870c-a20d3379ae6d">8</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B9A21-9523-44A8-A7D2-E15D1D4B4C64}">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5e8f28df-38cd-4f6e-b090-faa878e96575"/>
  </ds:schemaRefs>
</ds:datastoreItem>
</file>

<file path=customXml/itemProps2.xml><?xml version="1.0" encoding="utf-8"?>
<ds:datastoreItem xmlns:ds="http://schemas.openxmlformats.org/officeDocument/2006/customXml" ds:itemID="{AA6300B5-F321-4DEC-9DE2-AC0B8B844813}">
  <ds:schemaRefs>
    <ds:schemaRef ds:uri="http://schemas.microsoft.com/sharepoint/v3/contenttype/forms"/>
  </ds:schemaRefs>
</ds:datastoreItem>
</file>

<file path=customXml/itemProps3.xml><?xml version="1.0" encoding="utf-8"?>
<ds:datastoreItem xmlns:ds="http://schemas.openxmlformats.org/officeDocument/2006/customXml" ds:itemID="{0B1F00D9-FC98-4F86-A86C-A03E4AF006FD}">
  <ds:schemaRefs>
    <ds:schemaRef ds:uri="http://schemas.microsoft.com/sharepoint/events"/>
  </ds:schemaRefs>
</ds:datastoreItem>
</file>

<file path=customXml/itemProps4.xml><?xml version="1.0" encoding="utf-8"?>
<ds:datastoreItem xmlns:ds="http://schemas.openxmlformats.org/officeDocument/2006/customXml" ds:itemID="{31553972-A60B-4CF8-BD77-CC59AECD3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5e8f28df-38cd-4f6e-b090-faa878e9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3830</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END of Mid-Mandate Report for the TEN Section</vt:lpstr>
    </vt:vector>
  </TitlesOfParts>
  <Company>CESE-CdR</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C.3.a_ANN4_TEN</dc:title>
  <dc:subject>NB</dc:subject>
  <dc:creator>Filip Van Landegem</dc:creator>
  <cp:keywords>EESC-2023-01653-08-00-NB-TRA-EN</cp:keywords>
  <dc:description>Rapporteur:  - Original language: EN - Date of document: 19/04/2023 - Date of meeting: 15/25/2023 09:15 - External documents:  - Administrator: Mme JEANPIERRE Françoise Simone Marie-José</dc:description>
  <cp:lastModifiedBy>Bogdi Maria</cp:lastModifiedBy>
  <cp:revision>2</cp:revision>
  <cp:lastPrinted>2019-11-26T12:02:00Z</cp:lastPrinted>
  <dcterms:created xsi:type="dcterms:W3CDTF">2023-04-25T16:02:00Z</dcterms:created>
  <dcterms:modified xsi:type="dcterms:W3CDTF">2023-04-25T16:02:00Z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04/04/2023</vt:lpwstr>
  </property>
  <property fmtid="{D5CDD505-2E9C-101B-9397-08002B2CF9AE}" pid="4" name="Pref_Time">
    <vt:lpwstr>13:53:40</vt:lpwstr>
  </property>
  <property fmtid="{D5CDD505-2E9C-101B-9397-08002B2CF9AE}" pid="5" name="Pref_User">
    <vt:lpwstr>enied</vt:lpwstr>
  </property>
  <property fmtid="{D5CDD505-2E9C-101B-9397-08002B2CF9AE}" pid="6" name="Pref_FileName">
    <vt:lpwstr>EESC-2023-01653-08-00-NB-ORI.docx</vt:lpwstr>
  </property>
  <property fmtid="{D5CDD505-2E9C-101B-9397-08002B2CF9AE}" pid="7" name="ContentTypeId">
    <vt:lpwstr>0x010100EA97B91038054C99906057A708A1480A002B0B8D40B797884EA0DC4175FDD89B23</vt:lpwstr>
  </property>
  <property fmtid="{D5CDD505-2E9C-101B-9397-08002B2CF9AE}" pid="8" name="_dlc_DocIdItemGuid">
    <vt:lpwstr>6f331230-fdb7-4db4-bdcb-e9299d750059</vt:lpwstr>
  </property>
  <property fmtid="{D5CDD505-2E9C-101B-9397-08002B2CF9AE}" pid="9" name="AvailableTranslations">
    <vt:lpwstr>16;#DE|f6b31e5a-26fa-4935-b661-318e46daf27e;#10;#FR|d2afafd3-4c81-4f60-8f52-ee33f2f54ff3;#5;#EN|f2175f21-25d7-44a3-96da-d6a61b075e1b</vt:lpwstr>
  </property>
  <property fmtid="{D5CDD505-2E9C-101B-9397-08002B2CF9AE}" pid="10" name="DocumentType_0">
    <vt:lpwstr>NB|086d36d2-b81a-4b8e-8d1e-a22010addc8b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1653</vt:i4>
  </property>
  <property fmtid="{D5CDD505-2E9C-101B-9397-08002B2CF9AE}" pid="14" name="DocumentYear">
    <vt:i4>2023</vt:i4>
  </property>
  <property fmtid="{D5CDD505-2E9C-101B-9397-08002B2CF9AE}" pid="15" name="DocumentVersion">
    <vt:i4>0</vt:i4>
  </property>
  <property fmtid="{D5CDD505-2E9C-101B-9397-08002B2CF9AE}" pid="16" name="FicheNumber">
    <vt:i4>4445</vt:i4>
  </property>
  <property fmtid="{D5CDD505-2E9C-101B-9397-08002B2CF9AE}" pid="17" name="DocumentStatus">
    <vt:lpwstr>3;#TRA|150d2a88-1431-44e6-a8ca-0bb753ab8672</vt:lpwstr>
  </property>
  <property fmtid="{D5CDD505-2E9C-101B-9397-08002B2CF9AE}" pid="18" name="DocumentPart">
    <vt:i4>8</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52;#NB|086d36d2-b81a-4b8e-8d1e-a22010addc8b</vt:lpwstr>
  </property>
  <property fmtid="{D5CDD505-2E9C-101B-9397-08002B2CF9AE}" pid="22" name="RequestingService">
    <vt:lpwstr>Greffe</vt:lpwstr>
  </property>
  <property fmtid="{D5CDD505-2E9C-101B-9397-08002B2CF9AE}" pid="23" name="Confidentiality">
    <vt:lpwstr>6;#Internal|2451815e-8241-4bbf-a22e-1ab710712bf2</vt:lpwstr>
  </property>
  <property fmtid="{D5CDD505-2E9C-101B-9397-08002B2CF9AE}" pid="24" name="MeetingName_0">
    <vt:lpwstr>BUR CESE|4274fb1d-1fa2-4436-baac-f79426b09598</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53;#BUR CESE|4274fb1d-1fa2-4436-baac-f79426b09598</vt:lpwstr>
  </property>
  <property fmtid="{D5CDD505-2E9C-101B-9397-08002B2CF9AE}" pid="28" name="MeetingDate">
    <vt:filetime>2023-04-25T12:00:00Z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7;#Final|ea5e6674-7b27-4bac-b091-73adbb394efe;#52;#NB|086d36d2-b81a-4b8e-8d1e-a22010addc8b;#5;#EN|f2175f21-25d7-44a3-96da-d6a61b075e1b;#6;#Internal|2451815e-8241-4bbf-a22e-1ab710712bf2;#3;#TRA|150d2a88-1431-44e6-a8ca-0bb753ab8672;#53;#BUR CESE|4274fb1d-1fa2-4436-baac-f79426b09598;#1;#EESC|422833ec-8d7e-4e65-8e4e-8bed07ffb729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Language">
    <vt:lpwstr>5;#EN|f2175f21-25d7-44a3-96da-d6a61b075e1b</vt:lpwstr>
  </property>
  <property fmtid="{D5CDD505-2E9C-101B-9397-08002B2CF9AE}" pid="36" name="_docset_NoMedatataSyncRequired">
    <vt:lpwstr>False</vt:lpwstr>
  </property>
</Properties>
</file>