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CEC" w14:textId="77777777" w:rsidR="002E6118" w:rsidRPr="005D38B7" w:rsidRDefault="002F4476" w:rsidP="002E6118">
      <w:pPr>
        <w:ind w:right="-567"/>
        <w:rPr>
          <w:rFonts w:asciiTheme="minorHAnsi" w:hAnsiTheme="minorHAnsi" w:cstheme="minorHAnsi"/>
        </w:rPr>
        <w:sectPr w:rsidR="002E6118" w:rsidRPr="005D38B7" w:rsidSect="000203EF">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18" w:right="1418" w:bottom="1418" w:left="1418" w:header="709" w:footer="709" w:gutter="0"/>
          <w:cols w:space="708"/>
          <w:docGrid w:linePitch="360"/>
        </w:sectPr>
      </w:pPr>
      <w:r>
        <w:rPr>
          <w:noProof/>
        </w:rPr>
        <w:drawing>
          <wp:anchor distT="0" distB="360045" distL="114300" distR="114300" simplePos="0" relativeHeight="251658240" behindDoc="0" locked="0" layoutInCell="1" allowOverlap="1" wp14:anchorId="4B784346" wp14:editId="5FB9AD85">
            <wp:simplePos x="0" y="0"/>
            <wp:positionH relativeFrom="page">
              <wp:align>center</wp:align>
            </wp:positionH>
            <wp:positionV relativeFrom="page">
              <wp:posOffset>450215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30604" cy="1605600"/>
                    </a:xfrm>
                    <a:prstGeom prst="rect">
                      <a:avLst/>
                    </a:prstGeom>
                  </pic:spPr>
                </pic:pic>
              </a:graphicData>
            </a:graphic>
            <wp14:sizeRelH relativeFrom="margin">
              <wp14:pctWidth>0</wp14:pctWidth>
            </wp14:sizeRelH>
            <wp14:sizeRelV relativeFrom="margin">
              <wp14:pctHeight>0</wp14:pctHeight>
            </wp14:sizeRelV>
          </wp:anchor>
        </w:drawing>
      </w:r>
    </w:p>
    <w:p w14:paraId="45B94749" w14:textId="77777777" w:rsidR="002F4476" w:rsidRPr="005D38B7" w:rsidRDefault="002F4476" w:rsidP="002F4476">
      <w:pPr>
        <w:rPr>
          <w:rFonts w:asciiTheme="minorHAnsi" w:hAnsiTheme="minorHAnsi" w:cstheme="minorHAnsi"/>
          <w:lang w:val="en-GB"/>
        </w:rPr>
      </w:pPr>
    </w:p>
    <w:p w14:paraId="6FF09548" w14:textId="42FBBA97" w:rsidR="000203EF" w:rsidRPr="005D38B7" w:rsidRDefault="00A52B7C" w:rsidP="002F4476">
      <w:pPr>
        <w:rPr>
          <w:rFonts w:asciiTheme="minorHAnsi" w:hAnsiTheme="minorHAnsi" w:cstheme="minorHAnsi"/>
        </w:rPr>
      </w:pPr>
      <w:r>
        <w:rPr>
          <w:rFonts w:asciiTheme="minorHAnsi" w:hAnsiTheme="minorHAnsi"/>
          <w:noProof/>
          <w:sz w:val="20"/>
        </w:rPr>
        <mc:AlternateContent>
          <mc:Choice Requires="wps">
            <w:drawing>
              <wp:anchor distT="0" distB="0" distL="114300" distR="114300" simplePos="0" relativeHeight="251686912" behindDoc="1" locked="0" layoutInCell="0" allowOverlap="1" wp14:anchorId="4E321C34" wp14:editId="7370DF9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58B1" w14:textId="77777777" w:rsidR="00A52B7C" w:rsidRPr="00260E65" w:rsidRDefault="00A52B7C">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1C3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80558B1" w14:textId="77777777" w:rsidR="00A52B7C" w:rsidRPr="00260E65" w:rsidRDefault="00A52B7C">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7B9BDC38" w14:textId="77777777" w:rsidR="000203EF" w:rsidRPr="005D38B7" w:rsidRDefault="000203EF" w:rsidP="002F4476">
      <w:pPr>
        <w:rPr>
          <w:rFonts w:asciiTheme="minorHAnsi" w:hAnsiTheme="minorHAnsi" w:cstheme="minorHAnsi"/>
          <w:lang w:val="en-GB"/>
        </w:rPr>
      </w:pPr>
    </w:p>
    <w:p w14:paraId="255C544B" w14:textId="77777777" w:rsidR="000203EF" w:rsidRPr="005D38B7" w:rsidRDefault="000203EF" w:rsidP="002F4476">
      <w:pPr>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7142A007" wp14:editId="13201DBB">
                <wp:simplePos x="0" y="0"/>
                <wp:positionH relativeFrom="margin">
                  <wp:posOffset>-415095</wp:posOffset>
                </wp:positionH>
                <wp:positionV relativeFrom="paragraph">
                  <wp:posOffset>205496</wp:posOffset>
                </wp:positionV>
                <wp:extent cx="6630863" cy="5627077"/>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30863" cy="562707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04"/>
                              <w:gridCol w:w="6135"/>
                            </w:tblGrid>
                            <w:tr w:rsidR="000203EF" w14:paraId="38D20488" w14:textId="77777777" w:rsidTr="00371758">
                              <w:tc>
                                <w:tcPr>
                                  <w:tcW w:w="3449" w:type="dxa"/>
                                  <w:shd w:val="clear" w:color="auto" w:fill="DEEAF6" w:themeFill="accent1" w:themeFillTint="33"/>
                                </w:tcPr>
                                <w:p w14:paraId="79D8D0C5" w14:textId="77777777"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PÉRIODE </w:t>
                                  </w:r>
                                </w:p>
                                <w:p w14:paraId="0DCE01FE" w14:textId="16DB0316"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2020</w:t>
                                  </w:r>
                                </w:p>
                                <w:p w14:paraId="332F1A75" w14:textId="6B121079" w:rsidR="000203EF" w:rsidRPr="00F75AFF" w:rsidRDefault="00371758"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2023 </w:t>
                                  </w:r>
                                </w:p>
                                <w:p w14:paraId="3116C249" w14:textId="77777777" w:rsidR="000203EF" w:rsidRPr="00F75AFF" w:rsidRDefault="000203EF" w:rsidP="000203EF">
                                  <w:pPr>
                                    <w:rPr>
                                      <w:rFonts w:ascii="Arial Rounded MT Bold" w:hAnsi="Arial Rounded MT Bold" w:cstheme="minorHAnsi"/>
                                      <w:lang w:val="en-GB"/>
                                    </w:rPr>
                                  </w:pPr>
                                </w:p>
                                <w:p w14:paraId="512844CF" w14:textId="77777777" w:rsidR="000203EF" w:rsidRPr="00F75AFF" w:rsidRDefault="000203EF" w:rsidP="000203EF">
                                  <w:pPr>
                                    <w:rPr>
                                      <w:rFonts w:ascii="Arial Rounded MT Bold" w:hAnsi="Arial Rounded MT Bold" w:cstheme="minorHAnsi"/>
                                      <w:lang w:val="en-GB"/>
                                    </w:rPr>
                                  </w:pPr>
                                </w:p>
                                <w:p w14:paraId="10E48E52" w14:textId="77777777" w:rsidR="000203EF" w:rsidRPr="00F75AFF" w:rsidRDefault="000203EF" w:rsidP="000203EF">
                                  <w:pPr>
                                    <w:rPr>
                                      <w:rFonts w:ascii="Arial Rounded MT Bold" w:hAnsi="Arial Rounded MT Bold" w:cstheme="minorHAnsi"/>
                                      <w:lang w:val="en-GB"/>
                                    </w:rPr>
                                  </w:pPr>
                                </w:p>
                                <w:p w14:paraId="2B34A074" w14:textId="77777777" w:rsidR="000203EF" w:rsidRPr="00F75AFF" w:rsidRDefault="000203EF" w:rsidP="000203EF">
                                  <w:pPr>
                                    <w:rPr>
                                      <w:rFonts w:ascii="Arial Rounded MT Bold" w:hAnsi="Arial Rounded MT Bold" w:cstheme="minorHAnsi"/>
                                      <w:lang w:val="en-GB"/>
                                    </w:rPr>
                                  </w:pPr>
                                </w:p>
                                <w:p w14:paraId="1CFC529E" w14:textId="77777777" w:rsidR="000203EF" w:rsidRPr="00F75AFF" w:rsidRDefault="000203EF" w:rsidP="000203EF">
                                  <w:pPr>
                                    <w:rPr>
                                      <w:rFonts w:ascii="Arial Rounded MT Bold" w:hAnsi="Arial Rounded MT Bold" w:cstheme="minorHAnsi"/>
                                      <w:lang w:val="en-GB"/>
                                    </w:rPr>
                                  </w:pPr>
                                </w:p>
                              </w:tc>
                              <w:tc>
                                <w:tcPr>
                                  <w:tcW w:w="6190" w:type="dxa"/>
                                  <w:shd w:val="clear" w:color="auto" w:fill="DEEAF6" w:themeFill="accent1" w:themeFillTint="33"/>
                                </w:tcPr>
                                <w:p w14:paraId="16FA2E06" w14:textId="0B0598FE" w:rsidR="000203EF" w:rsidRPr="00F75AFF" w:rsidRDefault="000203EF" w:rsidP="000203EF">
                                  <w:pPr>
                                    <w:spacing w:line="240" w:lineRule="auto"/>
                                    <w:jc w:val="left"/>
                                    <w:rPr>
                                      <w:rFonts w:ascii="Arial Rounded MT Bold" w:hAnsi="Arial Rounded MT Bold" w:cstheme="minorHAnsi"/>
                                      <w:b/>
                                    </w:rPr>
                                  </w:pPr>
                                  <w:r>
                                    <w:rPr>
                                      <w:rFonts w:ascii="Arial Rounded MT Bold" w:hAnsi="Arial Rounded MT Bold"/>
                                      <w:b/>
                                      <w:color w:val="0070C0"/>
                                      <w:sz w:val="48"/>
                                    </w:rPr>
                                    <w:t>RAPPORT DE FIN DE MANDAT</w:t>
                                  </w:r>
                                </w:p>
                                <w:p w14:paraId="7DEC385D" w14:textId="721B205B" w:rsidR="00FB2C75" w:rsidRPr="00F75AFF" w:rsidRDefault="000203EF" w:rsidP="000203EF">
                                  <w:pPr>
                                    <w:spacing w:line="240" w:lineRule="auto"/>
                                    <w:jc w:val="left"/>
                                    <w:rPr>
                                      <w:rFonts w:ascii="Arial Rounded MT Bold" w:hAnsi="Arial Rounded MT Bold" w:cstheme="minorHAnsi"/>
                                      <w:sz w:val="44"/>
                                      <w:szCs w:val="48"/>
                                    </w:rPr>
                                  </w:pPr>
                                  <w:r>
                                    <w:rPr>
                                      <w:rFonts w:ascii="Arial Rounded MT Bold" w:hAnsi="Arial Rounded MT Bold"/>
                                      <w:sz w:val="44"/>
                                    </w:rPr>
                                    <w:t xml:space="preserve">Section </w:t>
                                  </w:r>
                                </w:p>
                                <w:p w14:paraId="16C45F9E" w14:textId="50473565" w:rsidR="000203EF" w:rsidRPr="00F75AFF" w:rsidRDefault="00FB2C75" w:rsidP="000203EF">
                                  <w:pPr>
                                    <w:spacing w:line="240" w:lineRule="auto"/>
                                    <w:jc w:val="left"/>
                                    <w:rPr>
                                      <w:rFonts w:ascii="Arial Rounded MT Bold" w:hAnsi="Arial Rounded MT Bold" w:cstheme="minorHAnsi"/>
                                      <w:sz w:val="48"/>
                                      <w:szCs w:val="48"/>
                                    </w:rPr>
                                  </w:pPr>
                                  <w:r>
                                    <w:rPr>
                                      <w:rFonts w:ascii="Arial Rounded MT Bold" w:hAnsi="Arial Rounded MT Bold"/>
                                      <w:sz w:val="44"/>
                                    </w:rPr>
                                    <w:t>«Union économique et monétaire et cohésion économique et sociale»</w:t>
                                  </w:r>
                                </w:p>
                                <w:p w14:paraId="0694F629" w14:textId="77777777" w:rsidR="000203EF" w:rsidRPr="00F75AFF" w:rsidRDefault="000203EF" w:rsidP="000203EF">
                                  <w:pPr>
                                    <w:jc w:val="left"/>
                                    <w:rPr>
                                      <w:rFonts w:ascii="Arial Rounded MT Bold" w:hAnsi="Arial Rounded MT Bold" w:cstheme="minorHAnsi"/>
                                      <w:lang w:val="en-GB"/>
                                    </w:rPr>
                                  </w:pPr>
                                </w:p>
                                <w:p w14:paraId="1BB43A7E" w14:textId="77777777" w:rsidR="00371758" w:rsidRPr="00F75AFF" w:rsidRDefault="00371758" w:rsidP="000203EF">
                                  <w:pPr>
                                    <w:jc w:val="left"/>
                                    <w:rPr>
                                      <w:rFonts w:ascii="Arial Rounded MT Bold" w:hAnsi="Arial Rounded MT Bold" w:cstheme="minorHAnsi"/>
                                      <w:lang w:val="en-GB"/>
                                    </w:rPr>
                                  </w:pPr>
                                </w:p>
                                <w:p w14:paraId="6C34C511" w14:textId="77777777" w:rsidR="00371758" w:rsidRPr="00F75AFF" w:rsidRDefault="00371758" w:rsidP="000203EF">
                                  <w:pPr>
                                    <w:jc w:val="left"/>
                                    <w:rPr>
                                      <w:rFonts w:ascii="Arial Rounded MT Bold" w:hAnsi="Arial Rounded MT Bold" w:cstheme="minorHAnsi"/>
                                      <w:lang w:val="en-GB"/>
                                    </w:rPr>
                                  </w:pPr>
                                </w:p>
                                <w:p w14:paraId="3F792073" w14:textId="77777777" w:rsidR="00371758" w:rsidRPr="00F75AFF" w:rsidRDefault="00371758" w:rsidP="000203EF">
                                  <w:pPr>
                                    <w:jc w:val="left"/>
                                    <w:rPr>
                                      <w:rFonts w:ascii="Arial Rounded MT Bold" w:hAnsi="Arial Rounded MT Bold" w:cstheme="minorHAnsi"/>
                                      <w:lang w:val="en-GB"/>
                                    </w:rPr>
                                  </w:pPr>
                                </w:p>
                                <w:p w14:paraId="24DEBE9C" w14:textId="77777777" w:rsidR="00371758" w:rsidRPr="00F75AFF" w:rsidRDefault="00371758" w:rsidP="000203EF">
                                  <w:pPr>
                                    <w:jc w:val="left"/>
                                    <w:rPr>
                                      <w:rFonts w:ascii="Arial Rounded MT Bold" w:hAnsi="Arial Rounded MT Bold" w:cstheme="minorHAnsi"/>
                                      <w:lang w:val="en-GB"/>
                                    </w:rPr>
                                  </w:pPr>
                                </w:p>
                                <w:p w14:paraId="2DBF5B68" w14:textId="77777777" w:rsidR="00FB2C75" w:rsidRPr="00F75AFF" w:rsidRDefault="00371758" w:rsidP="00371758">
                                  <w:pPr>
                                    <w:jc w:val="left"/>
                                    <w:rPr>
                                      <w:rFonts w:ascii="Arial Rounded MT Bold" w:hAnsi="Arial Rounded MT Bold" w:cstheme="minorHAnsi"/>
                                      <w:sz w:val="32"/>
                                    </w:rPr>
                                  </w:pPr>
                                  <w:r>
                                    <w:rPr>
                                      <w:rFonts w:ascii="Arial Rounded MT Bold" w:hAnsi="Arial Rounded MT Bold"/>
                                      <w:sz w:val="32"/>
                                    </w:rPr>
                                    <w:t xml:space="preserve">DIRECTION C — </w:t>
                                  </w:r>
                                </w:p>
                                <w:p w14:paraId="1043308E" w14:textId="06EC2E78" w:rsidR="00371758" w:rsidRPr="00F75AFF" w:rsidRDefault="000203EF" w:rsidP="00371758">
                                  <w:pPr>
                                    <w:jc w:val="left"/>
                                    <w:rPr>
                                      <w:rFonts w:ascii="Arial Rounded MT Bold" w:hAnsi="Arial Rounded MT Bold" w:cstheme="minorHAnsi"/>
                                      <w:sz w:val="32"/>
                                    </w:rPr>
                                  </w:pPr>
                                  <w:r>
                                    <w:rPr>
                                      <w:rFonts w:ascii="Arial Rounded MT Bold" w:hAnsi="Arial Rounded MT Bold"/>
                                      <w:sz w:val="32"/>
                                    </w:rPr>
                                    <w:t>TRAVAUX LÉGISLATIFS</w:t>
                                  </w:r>
                                </w:p>
                                <w:p w14:paraId="7CAA6ECE" w14:textId="77777777" w:rsidR="00371758" w:rsidRPr="00F75AFF" w:rsidRDefault="00371758" w:rsidP="00371758">
                                  <w:pPr>
                                    <w:jc w:val="left"/>
                                    <w:rPr>
                                      <w:rFonts w:ascii="Arial Rounded MT Bold" w:hAnsi="Arial Rounded MT Bold" w:cstheme="minorHAnsi"/>
                                      <w:sz w:val="32"/>
                                      <w:lang w:val="en-GB"/>
                                    </w:rPr>
                                  </w:pPr>
                                </w:p>
                                <w:p w14:paraId="3169D005" w14:textId="7BE99BB3" w:rsidR="000203EF" w:rsidRPr="00F75AFF" w:rsidRDefault="00371758" w:rsidP="00371758">
                                  <w:pPr>
                                    <w:jc w:val="left"/>
                                    <w:rPr>
                                      <w:rFonts w:ascii="Arial Rounded MT Bold" w:hAnsi="Arial Rounded MT Bold" w:cstheme="minorHAnsi"/>
                                    </w:rPr>
                                  </w:pPr>
                                  <w:r>
                                    <w:rPr>
                                      <w:rFonts w:ascii="Arial Rounded MT Bold" w:hAnsi="Arial Rounded MT Bold"/>
                                      <w:sz w:val="28"/>
                                    </w:rPr>
                                    <w:t>PRÉSIDENT: Stefano PALMIERI</w:t>
                                  </w:r>
                                </w:p>
                                <w:p w14:paraId="435E1AF8" w14:textId="77777777" w:rsidR="000203EF" w:rsidRPr="00F75AFF" w:rsidRDefault="000203EF" w:rsidP="000203EF">
                                  <w:pPr>
                                    <w:rPr>
                                      <w:rFonts w:ascii="Arial Rounded MT Bold" w:hAnsi="Arial Rounded MT Bold" w:cstheme="minorHAnsi"/>
                                      <w:lang w:val="en-GB"/>
                                    </w:rPr>
                                  </w:pPr>
                                </w:p>
                                <w:p w14:paraId="0C3D7D0E" w14:textId="77777777" w:rsidR="000203EF" w:rsidRPr="00F75AFF" w:rsidRDefault="000203EF" w:rsidP="000203EF">
                                  <w:pPr>
                                    <w:jc w:val="right"/>
                                    <w:rPr>
                                      <w:rFonts w:ascii="Arial Rounded MT Bold" w:hAnsi="Arial Rounded MT Bold" w:cstheme="minorHAnsi"/>
                                      <w:lang w:val="en-GB"/>
                                    </w:rPr>
                                  </w:pPr>
                                </w:p>
                                <w:p w14:paraId="2DF33736" w14:textId="77777777" w:rsidR="000203EF" w:rsidRPr="00F75AFF" w:rsidRDefault="000203EF" w:rsidP="000203EF">
                                  <w:pPr>
                                    <w:rPr>
                                      <w:rFonts w:ascii="Arial Rounded MT Bold" w:hAnsi="Arial Rounded MT Bold" w:cstheme="minorHAnsi"/>
                                      <w:lang w:val="en-GB"/>
                                    </w:rPr>
                                  </w:pPr>
                                </w:p>
                                <w:p w14:paraId="6699E423" w14:textId="77777777" w:rsidR="000203EF" w:rsidRPr="00F75AFF" w:rsidRDefault="000203EF" w:rsidP="000203EF">
                                  <w:pPr>
                                    <w:rPr>
                                      <w:rFonts w:ascii="Arial Rounded MT Bold" w:hAnsi="Arial Rounded MT Bold" w:cstheme="minorHAnsi"/>
                                      <w:lang w:val="en-GB"/>
                                    </w:rPr>
                                  </w:pPr>
                                </w:p>
                              </w:tc>
                            </w:tr>
                          </w:tbl>
                          <w:p w14:paraId="6C04ABDF" w14:textId="4751B36C" w:rsidR="000203EF" w:rsidRDefault="000203EF" w:rsidP="00FB2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2A007" id="Rounded Rectangle 1" o:spid="_x0000_s1027" style="position:absolute;left:0;text-align:left;margin-left:-32.7pt;margin-top:16.2pt;width:522.1pt;height:44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" fillcolor="#deeaf6 [660]" stroked="f" strokeweight="1pt">
                <v:stroke joinstyle="miter"/>
                <v:textbo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504"/>
                        <w:gridCol w:w="6135"/>
                      </w:tblGrid>
                      <w:tr w:rsidR="000203EF" w14:paraId="38D20488" w14:textId="77777777" w:rsidTr="00371758">
                        <w:tc>
                          <w:tcPr>
                            <w:tcW w:w="3449" w:type="dxa"/>
                            <w:shd w:val="clear" w:color="auto" w:fill="DEEAF6" w:themeFill="accent1" w:themeFillTint="33"/>
                          </w:tcPr>
                          <w:p w14:paraId="79D8D0C5" w14:textId="77777777"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PÉRIODE </w:t>
                            </w:r>
                          </w:p>
                          <w:p w14:paraId="0DCE01FE" w14:textId="16DB0316"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2020</w:t>
                            </w:r>
                          </w:p>
                          <w:p w14:paraId="332F1A75" w14:textId="6B121079" w:rsidR="000203EF" w:rsidRPr="00F75AFF" w:rsidRDefault="00371758"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2023 </w:t>
                            </w:r>
                          </w:p>
                          <w:p w14:paraId="3116C249" w14:textId="77777777" w:rsidR="000203EF" w:rsidRPr="00F75AFF" w:rsidRDefault="000203EF" w:rsidP="000203EF">
                            <w:pPr>
                              <w:rPr>
                                <w:rFonts w:ascii="Arial Rounded MT Bold" w:hAnsi="Arial Rounded MT Bold" w:cstheme="minorHAnsi"/>
                                <w:lang w:val="en-GB"/>
                              </w:rPr>
                            </w:pPr>
                          </w:p>
                          <w:p w14:paraId="512844CF" w14:textId="77777777" w:rsidR="000203EF" w:rsidRPr="00F75AFF" w:rsidRDefault="000203EF" w:rsidP="000203EF">
                            <w:pPr>
                              <w:rPr>
                                <w:rFonts w:ascii="Arial Rounded MT Bold" w:hAnsi="Arial Rounded MT Bold" w:cstheme="minorHAnsi"/>
                                <w:lang w:val="en-GB"/>
                              </w:rPr>
                            </w:pPr>
                          </w:p>
                          <w:p w14:paraId="10E48E52" w14:textId="77777777" w:rsidR="000203EF" w:rsidRPr="00F75AFF" w:rsidRDefault="000203EF" w:rsidP="000203EF">
                            <w:pPr>
                              <w:rPr>
                                <w:rFonts w:ascii="Arial Rounded MT Bold" w:hAnsi="Arial Rounded MT Bold" w:cstheme="minorHAnsi"/>
                                <w:lang w:val="en-GB"/>
                              </w:rPr>
                            </w:pPr>
                          </w:p>
                          <w:p w14:paraId="2B34A074" w14:textId="77777777" w:rsidR="000203EF" w:rsidRPr="00F75AFF" w:rsidRDefault="000203EF" w:rsidP="000203EF">
                            <w:pPr>
                              <w:rPr>
                                <w:rFonts w:ascii="Arial Rounded MT Bold" w:hAnsi="Arial Rounded MT Bold" w:cstheme="minorHAnsi"/>
                                <w:lang w:val="en-GB"/>
                              </w:rPr>
                            </w:pPr>
                          </w:p>
                          <w:p w14:paraId="1CFC529E" w14:textId="77777777" w:rsidR="000203EF" w:rsidRPr="00F75AFF" w:rsidRDefault="000203EF" w:rsidP="000203EF">
                            <w:pPr>
                              <w:rPr>
                                <w:rFonts w:ascii="Arial Rounded MT Bold" w:hAnsi="Arial Rounded MT Bold" w:cstheme="minorHAnsi"/>
                                <w:lang w:val="en-GB"/>
                              </w:rPr>
                            </w:pPr>
                          </w:p>
                        </w:tc>
                        <w:tc>
                          <w:tcPr>
                            <w:tcW w:w="6190" w:type="dxa"/>
                            <w:shd w:val="clear" w:color="auto" w:fill="DEEAF6" w:themeFill="accent1" w:themeFillTint="33"/>
                          </w:tcPr>
                          <w:p w14:paraId="16FA2E06" w14:textId="0B0598FE" w:rsidR="000203EF" w:rsidRPr="00F75AFF" w:rsidRDefault="000203EF" w:rsidP="000203EF">
                            <w:pPr>
                              <w:spacing w:line="240" w:lineRule="auto"/>
                              <w:jc w:val="left"/>
                              <w:rPr>
                                <w:rFonts w:ascii="Arial Rounded MT Bold" w:hAnsi="Arial Rounded MT Bold" w:cstheme="minorHAnsi"/>
                                <w:b/>
                              </w:rPr>
                            </w:pPr>
                            <w:r>
                              <w:rPr>
                                <w:rFonts w:ascii="Arial Rounded MT Bold" w:hAnsi="Arial Rounded MT Bold"/>
                                <w:b/>
                                <w:color w:val="0070C0"/>
                                <w:sz w:val="48"/>
                              </w:rPr>
                              <w:t>RAPPORT DE FIN DE MANDAT</w:t>
                            </w:r>
                          </w:p>
                          <w:p w14:paraId="7DEC385D" w14:textId="721B205B" w:rsidR="00FB2C75" w:rsidRPr="00F75AFF" w:rsidRDefault="000203EF" w:rsidP="000203EF">
                            <w:pPr>
                              <w:spacing w:line="240" w:lineRule="auto"/>
                              <w:jc w:val="left"/>
                              <w:rPr>
                                <w:rFonts w:ascii="Arial Rounded MT Bold" w:hAnsi="Arial Rounded MT Bold" w:cstheme="minorHAnsi"/>
                                <w:sz w:val="44"/>
                                <w:szCs w:val="48"/>
                              </w:rPr>
                            </w:pPr>
                            <w:r>
                              <w:rPr>
                                <w:rFonts w:ascii="Arial Rounded MT Bold" w:hAnsi="Arial Rounded MT Bold"/>
                                <w:sz w:val="44"/>
                              </w:rPr>
                              <w:t xml:space="preserve">Section </w:t>
                            </w:r>
                          </w:p>
                          <w:p w14:paraId="16C45F9E" w14:textId="50473565" w:rsidR="000203EF" w:rsidRPr="00F75AFF" w:rsidRDefault="00FB2C75" w:rsidP="000203EF">
                            <w:pPr>
                              <w:spacing w:line="240" w:lineRule="auto"/>
                              <w:jc w:val="left"/>
                              <w:rPr>
                                <w:rFonts w:ascii="Arial Rounded MT Bold" w:hAnsi="Arial Rounded MT Bold" w:cstheme="minorHAnsi"/>
                                <w:sz w:val="48"/>
                                <w:szCs w:val="48"/>
                              </w:rPr>
                            </w:pPr>
                            <w:r>
                              <w:rPr>
                                <w:rFonts w:ascii="Arial Rounded MT Bold" w:hAnsi="Arial Rounded MT Bold"/>
                                <w:sz w:val="44"/>
                              </w:rPr>
                              <w:t>«Union économique et monétaire et cohésion économique et sociale»</w:t>
                            </w:r>
                          </w:p>
                          <w:p w14:paraId="0694F629" w14:textId="77777777" w:rsidR="000203EF" w:rsidRPr="00F75AFF" w:rsidRDefault="000203EF" w:rsidP="000203EF">
                            <w:pPr>
                              <w:jc w:val="left"/>
                              <w:rPr>
                                <w:rFonts w:ascii="Arial Rounded MT Bold" w:hAnsi="Arial Rounded MT Bold" w:cstheme="minorHAnsi"/>
                                <w:lang w:val="en-GB"/>
                              </w:rPr>
                            </w:pPr>
                          </w:p>
                          <w:p w14:paraId="1BB43A7E" w14:textId="77777777" w:rsidR="00371758" w:rsidRPr="00F75AFF" w:rsidRDefault="00371758" w:rsidP="000203EF">
                            <w:pPr>
                              <w:jc w:val="left"/>
                              <w:rPr>
                                <w:rFonts w:ascii="Arial Rounded MT Bold" w:hAnsi="Arial Rounded MT Bold" w:cstheme="minorHAnsi"/>
                                <w:lang w:val="en-GB"/>
                              </w:rPr>
                            </w:pPr>
                          </w:p>
                          <w:p w14:paraId="6C34C511" w14:textId="77777777" w:rsidR="00371758" w:rsidRPr="00F75AFF" w:rsidRDefault="00371758" w:rsidP="000203EF">
                            <w:pPr>
                              <w:jc w:val="left"/>
                              <w:rPr>
                                <w:rFonts w:ascii="Arial Rounded MT Bold" w:hAnsi="Arial Rounded MT Bold" w:cstheme="minorHAnsi"/>
                                <w:lang w:val="en-GB"/>
                              </w:rPr>
                            </w:pPr>
                          </w:p>
                          <w:p w14:paraId="3F792073" w14:textId="77777777" w:rsidR="00371758" w:rsidRPr="00F75AFF" w:rsidRDefault="00371758" w:rsidP="000203EF">
                            <w:pPr>
                              <w:jc w:val="left"/>
                              <w:rPr>
                                <w:rFonts w:ascii="Arial Rounded MT Bold" w:hAnsi="Arial Rounded MT Bold" w:cstheme="minorHAnsi"/>
                                <w:lang w:val="en-GB"/>
                              </w:rPr>
                            </w:pPr>
                          </w:p>
                          <w:p w14:paraId="24DEBE9C" w14:textId="77777777" w:rsidR="00371758" w:rsidRPr="00F75AFF" w:rsidRDefault="00371758" w:rsidP="000203EF">
                            <w:pPr>
                              <w:jc w:val="left"/>
                              <w:rPr>
                                <w:rFonts w:ascii="Arial Rounded MT Bold" w:hAnsi="Arial Rounded MT Bold" w:cstheme="minorHAnsi"/>
                                <w:lang w:val="en-GB"/>
                              </w:rPr>
                            </w:pPr>
                          </w:p>
                          <w:p w14:paraId="2DBF5B68" w14:textId="77777777" w:rsidR="00FB2C75" w:rsidRPr="00F75AFF" w:rsidRDefault="00371758" w:rsidP="00371758">
                            <w:pPr>
                              <w:jc w:val="left"/>
                              <w:rPr>
                                <w:rFonts w:ascii="Arial Rounded MT Bold" w:hAnsi="Arial Rounded MT Bold" w:cstheme="minorHAnsi"/>
                                <w:sz w:val="32"/>
                              </w:rPr>
                            </w:pPr>
                            <w:r>
                              <w:rPr>
                                <w:rFonts w:ascii="Arial Rounded MT Bold" w:hAnsi="Arial Rounded MT Bold"/>
                                <w:sz w:val="32"/>
                              </w:rPr>
                              <w:t xml:space="preserve">DIRECTION C — </w:t>
                            </w:r>
                          </w:p>
                          <w:p w14:paraId="1043308E" w14:textId="06EC2E78" w:rsidR="00371758" w:rsidRPr="00F75AFF" w:rsidRDefault="000203EF" w:rsidP="00371758">
                            <w:pPr>
                              <w:jc w:val="left"/>
                              <w:rPr>
                                <w:rFonts w:ascii="Arial Rounded MT Bold" w:hAnsi="Arial Rounded MT Bold" w:cstheme="minorHAnsi"/>
                                <w:sz w:val="32"/>
                              </w:rPr>
                            </w:pPr>
                            <w:r>
                              <w:rPr>
                                <w:rFonts w:ascii="Arial Rounded MT Bold" w:hAnsi="Arial Rounded MT Bold"/>
                                <w:sz w:val="32"/>
                              </w:rPr>
                              <w:t>TRAVAUX LÉGISLATIFS</w:t>
                            </w:r>
                          </w:p>
                          <w:p w14:paraId="7CAA6ECE" w14:textId="77777777" w:rsidR="00371758" w:rsidRPr="00F75AFF" w:rsidRDefault="00371758" w:rsidP="00371758">
                            <w:pPr>
                              <w:jc w:val="left"/>
                              <w:rPr>
                                <w:rFonts w:ascii="Arial Rounded MT Bold" w:hAnsi="Arial Rounded MT Bold" w:cstheme="minorHAnsi"/>
                                <w:sz w:val="32"/>
                                <w:lang w:val="en-GB"/>
                              </w:rPr>
                            </w:pPr>
                          </w:p>
                          <w:p w14:paraId="3169D005" w14:textId="7BE99BB3" w:rsidR="000203EF" w:rsidRPr="00F75AFF" w:rsidRDefault="00371758" w:rsidP="00371758">
                            <w:pPr>
                              <w:jc w:val="left"/>
                              <w:rPr>
                                <w:rFonts w:ascii="Arial Rounded MT Bold" w:hAnsi="Arial Rounded MT Bold" w:cstheme="minorHAnsi"/>
                              </w:rPr>
                            </w:pPr>
                            <w:r>
                              <w:rPr>
                                <w:rFonts w:ascii="Arial Rounded MT Bold" w:hAnsi="Arial Rounded MT Bold"/>
                                <w:sz w:val="28"/>
                              </w:rPr>
                              <w:t>PRÉSIDENT: Stefano PALMIERI</w:t>
                            </w:r>
                          </w:p>
                          <w:p w14:paraId="435E1AF8" w14:textId="77777777" w:rsidR="000203EF" w:rsidRPr="00F75AFF" w:rsidRDefault="000203EF" w:rsidP="000203EF">
                            <w:pPr>
                              <w:rPr>
                                <w:rFonts w:ascii="Arial Rounded MT Bold" w:hAnsi="Arial Rounded MT Bold" w:cstheme="minorHAnsi"/>
                                <w:lang w:val="en-GB"/>
                              </w:rPr>
                            </w:pPr>
                          </w:p>
                          <w:p w14:paraId="0C3D7D0E" w14:textId="77777777" w:rsidR="000203EF" w:rsidRPr="00F75AFF" w:rsidRDefault="000203EF" w:rsidP="000203EF">
                            <w:pPr>
                              <w:jc w:val="right"/>
                              <w:rPr>
                                <w:rFonts w:ascii="Arial Rounded MT Bold" w:hAnsi="Arial Rounded MT Bold" w:cstheme="minorHAnsi"/>
                                <w:lang w:val="en-GB"/>
                              </w:rPr>
                            </w:pPr>
                          </w:p>
                          <w:p w14:paraId="2DF33736" w14:textId="77777777" w:rsidR="000203EF" w:rsidRPr="00F75AFF" w:rsidRDefault="000203EF" w:rsidP="000203EF">
                            <w:pPr>
                              <w:rPr>
                                <w:rFonts w:ascii="Arial Rounded MT Bold" w:hAnsi="Arial Rounded MT Bold" w:cstheme="minorHAnsi"/>
                                <w:lang w:val="en-GB"/>
                              </w:rPr>
                            </w:pPr>
                          </w:p>
                          <w:p w14:paraId="6699E423" w14:textId="77777777" w:rsidR="000203EF" w:rsidRPr="00F75AFF" w:rsidRDefault="000203EF" w:rsidP="000203EF">
                            <w:pPr>
                              <w:rPr>
                                <w:rFonts w:ascii="Arial Rounded MT Bold" w:hAnsi="Arial Rounded MT Bold" w:cstheme="minorHAnsi"/>
                                <w:lang w:val="en-GB"/>
                              </w:rPr>
                            </w:pPr>
                          </w:p>
                        </w:tc>
                      </w:tr>
                    </w:tbl>
                    <w:p w14:paraId="6C04ABDF" w14:textId="4751B36C" w:rsidR="000203EF" w:rsidRDefault="000203EF" w:rsidP="00FB2C75">
                      <w:pPr>
                        <w:jc w:val="center"/>
                      </w:pPr>
                    </w:p>
                  </w:txbxContent>
                </v:textbox>
                <w10:wrap anchorx="margin"/>
              </v:roundrect>
            </w:pict>
          </mc:Fallback>
        </mc:AlternateContent>
      </w:r>
    </w:p>
    <w:p w14:paraId="621A9623" w14:textId="77777777" w:rsidR="000203EF" w:rsidRPr="005D38B7" w:rsidRDefault="000203EF" w:rsidP="002F4476">
      <w:pPr>
        <w:rPr>
          <w:rFonts w:asciiTheme="minorHAnsi" w:hAnsiTheme="minorHAnsi" w:cstheme="minorHAnsi"/>
          <w:lang w:val="en-GB"/>
        </w:rPr>
      </w:pPr>
    </w:p>
    <w:p w14:paraId="30FEB533" w14:textId="77777777" w:rsidR="000203EF" w:rsidRPr="005D38B7" w:rsidRDefault="000203EF" w:rsidP="002F4476">
      <w:pPr>
        <w:rPr>
          <w:rFonts w:asciiTheme="minorHAnsi" w:hAnsiTheme="minorHAnsi" w:cstheme="minorHAnsi"/>
          <w:lang w:val="en-GB"/>
        </w:rPr>
      </w:pPr>
    </w:p>
    <w:p w14:paraId="367A425D" w14:textId="77777777" w:rsidR="000203EF" w:rsidRPr="005D38B7" w:rsidRDefault="000203EF" w:rsidP="002F4476">
      <w:pPr>
        <w:rPr>
          <w:rFonts w:asciiTheme="minorHAnsi" w:hAnsiTheme="minorHAnsi" w:cstheme="minorHAnsi"/>
          <w:lang w:val="en-GB"/>
        </w:rPr>
      </w:pPr>
    </w:p>
    <w:p w14:paraId="0B50C5A7" w14:textId="77777777" w:rsidR="000203EF" w:rsidRPr="005D38B7" w:rsidRDefault="000203EF" w:rsidP="002F4476">
      <w:pPr>
        <w:rPr>
          <w:rFonts w:asciiTheme="minorHAnsi" w:hAnsiTheme="minorHAnsi" w:cstheme="minorHAnsi"/>
          <w:lang w:val="en-GB"/>
        </w:rPr>
      </w:pPr>
    </w:p>
    <w:p w14:paraId="34BB3F4E" w14:textId="77777777" w:rsidR="000203EF" w:rsidRPr="005D38B7" w:rsidRDefault="000203EF" w:rsidP="002F4476">
      <w:pPr>
        <w:rPr>
          <w:rFonts w:asciiTheme="minorHAnsi" w:hAnsiTheme="minorHAnsi" w:cstheme="minorHAnsi"/>
          <w:lang w:val="en-GB"/>
        </w:rPr>
      </w:pPr>
    </w:p>
    <w:p w14:paraId="0E78708D" w14:textId="77777777" w:rsidR="000203EF" w:rsidRPr="005D38B7" w:rsidRDefault="000203EF" w:rsidP="002F4476">
      <w:pPr>
        <w:rPr>
          <w:rFonts w:asciiTheme="minorHAnsi" w:hAnsiTheme="minorHAnsi" w:cstheme="minorHAnsi"/>
          <w:lang w:val="en-GB"/>
        </w:rPr>
      </w:pPr>
    </w:p>
    <w:p w14:paraId="3D828333" w14:textId="77777777" w:rsidR="000203EF" w:rsidRPr="005D38B7" w:rsidRDefault="000203EF" w:rsidP="002F4476">
      <w:pPr>
        <w:rPr>
          <w:rFonts w:asciiTheme="minorHAnsi" w:hAnsiTheme="minorHAnsi" w:cstheme="minorHAnsi"/>
          <w:lang w:val="en-GB"/>
        </w:rPr>
      </w:pPr>
    </w:p>
    <w:p w14:paraId="52F01B49" w14:textId="77777777" w:rsidR="000203EF" w:rsidRPr="005D38B7" w:rsidRDefault="000203EF" w:rsidP="002F4476">
      <w:pPr>
        <w:rPr>
          <w:rFonts w:asciiTheme="minorHAnsi" w:hAnsiTheme="minorHAnsi" w:cstheme="minorHAnsi"/>
          <w:lang w:val="en-GB"/>
        </w:rPr>
      </w:pPr>
    </w:p>
    <w:p w14:paraId="60539E9A" w14:textId="77777777" w:rsidR="005938BD" w:rsidRPr="005D38B7" w:rsidRDefault="005938BD" w:rsidP="002F4476">
      <w:pPr>
        <w:rPr>
          <w:rFonts w:asciiTheme="minorHAnsi" w:hAnsiTheme="minorHAnsi" w:cstheme="minorHAnsi"/>
          <w:lang w:val="en-GB"/>
        </w:rPr>
      </w:pPr>
    </w:p>
    <w:p w14:paraId="02F8670C" w14:textId="77777777" w:rsidR="005938BD" w:rsidRPr="005D38B7" w:rsidRDefault="005938BD" w:rsidP="002F4476">
      <w:pPr>
        <w:rPr>
          <w:rFonts w:asciiTheme="minorHAnsi" w:hAnsiTheme="minorHAnsi" w:cstheme="minorHAnsi"/>
          <w:lang w:val="en-GB"/>
        </w:rPr>
      </w:pPr>
    </w:p>
    <w:p w14:paraId="0E95D675" w14:textId="77777777" w:rsidR="002F4476" w:rsidRPr="005D38B7" w:rsidRDefault="002F4476" w:rsidP="002F4476">
      <w:pPr>
        <w:rPr>
          <w:rFonts w:asciiTheme="minorHAnsi" w:hAnsiTheme="minorHAnsi" w:cstheme="minorHAnsi"/>
          <w:lang w:val="en-GB"/>
        </w:rPr>
      </w:pPr>
    </w:p>
    <w:p w14:paraId="25510898" w14:textId="77777777" w:rsidR="005938BD" w:rsidRPr="005D38B7" w:rsidRDefault="005938BD" w:rsidP="002F4476">
      <w:pPr>
        <w:rPr>
          <w:rFonts w:asciiTheme="minorHAnsi" w:hAnsiTheme="minorHAnsi" w:cstheme="minorHAnsi"/>
          <w:lang w:val="en-GB"/>
        </w:rPr>
      </w:pPr>
    </w:p>
    <w:p w14:paraId="30C381A4" w14:textId="77777777" w:rsidR="005938BD" w:rsidRPr="005D38B7" w:rsidRDefault="005938BD" w:rsidP="002F4476">
      <w:pPr>
        <w:rPr>
          <w:rFonts w:asciiTheme="minorHAnsi" w:hAnsiTheme="minorHAnsi" w:cstheme="minorHAnsi"/>
          <w:lang w:val="en-GB"/>
        </w:rPr>
      </w:pPr>
    </w:p>
    <w:p w14:paraId="575142EC" w14:textId="77777777" w:rsidR="005938BD" w:rsidRPr="005D38B7" w:rsidRDefault="005938BD" w:rsidP="002F4476">
      <w:pPr>
        <w:rPr>
          <w:rFonts w:asciiTheme="minorHAnsi" w:hAnsiTheme="minorHAnsi" w:cstheme="minorHAnsi"/>
          <w:lang w:val="en-GB"/>
        </w:rPr>
      </w:pPr>
    </w:p>
    <w:p w14:paraId="63814979" w14:textId="77777777" w:rsidR="005938BD" w:rsidRPr="005D38B7" w:rsidRDefault="005938BD" w:rsidP="002F4476">
      <w:pPr>
        <w:rPr>
          <w:rFonts w:asciiTheme="minorHAnsi" w:hAnsiTheme="minorHAnsi" w:cstheme="minorHAnsi"/>
          <w:lang w:val="en-GB"/>
        </w:rPr>
      </w:pPr>
    </w:p>
    <w:p w14:paraId="71EC9CD1" w14:textId="77777777" w:rsidR="005938BD" w:rsidRPr="005D38B7" w:rsidRDefault="005938BD" w:rsidP="002F4476">
      <w:pPr>
        <w:rPr>
          <w:rFonts w:asciiTheme="minorHAnsi" w:hAnsiTheme="minorHAnsi" w:cstheme="minorHAnsi"/>
          <w:lang w:val="en-GB"/>
        </w:rPr>
      </w:pPr>
    </w:p>
    <w:p w14:paraId="1D48F36A" w14:textId="77777777" w:rsidR="005938BD" w:rsidRPr="005D38B7" w:rsidRDefault="005938BD" w:rsidP="002F4476">
      <w:pPr>
        <w:rPr>
          <w:rFonts w:asciiTheme="minorHAnsi" w:hAnsiTheme="minorHAnsi" w:cstheme="minorHAnsi"/>
          <w:lang w:val="en-GB"/>
        </w:rPr>
      </w:pPr>
    </w:p>
    <w:p w14:paraId="12AEFC28" w14:textId="77777777" w:rsidR="005938BD" w:rsidRPr="005D38B7" w:rsidRDefault="005938BD" w:rsidP="002F4476">
      <w:pPr>
        <w:rPr>
          <w:rFonts w:asciiTheme="minorHAnsi" w:hAnsiTheme="minorHAnsi" w:cstheme="minorHAnsi"/>
          <w:lang w:val="en-GB"/>
        </w:rPr>
      </w:pPr>
    </w:p>
    <w:p w14:paraId="5E0C4B6B" w14:textId="77777777" w:rsidR="005938BD" w:rsidRPr="005D38B7" w:rsidRDefault="005938BD" w:rsidP="002F4476">
      <w:pPr>
        <w:rPr>
          <w:rFonts w:asciiTheme="minorHAnsi" w:hAnsiTheme="minorHAnsi" w:cstheme="minorHAnsi"/>
          <w:lang w:val="en-GB"/>
        </w:rPr>
      </w:pPr>
    </w:p>
    <w:p w14:paraId="18B62D40" w14:textId="77777777" w:rsidR="005938BD" w:rsidRPr="005D38B7" w:rsidRDefault="005938BD" w:rsidP="002F4476">
      <w:pPr>
        <w:rPr>
          <w:rFonts w:asciiTheme="minorHAnsi" w:hAnsiTheme="minorHAnsi" w:cstheme="minorHAnsi"/>
          <w:lang w:val="en-GB"/>
        </w:rPr>
      </w:pPr>
    </w:p>
    <w:p w14:paraId="1FF2C0E0" w14:textId="77777777" w:rsidR="005938BD" w:rsidRPr="005D38B7" w:rsidRDefault="005938BD" w:rsidP="002F4476">
      <w:pPr>
        <w:rPr>
          <w:rFonts w:asciiTheme="minorHAnsi" w:hAnsiTheme="minorHAnsi" w:cstheme="minorHAnsi"/>
          <w:lang w:val="en-GB"/>
        </w:rPr>
      </w:pPr>
    </w:p>
    <w:p w14:paraId="3EDE15EF" w14:textId="77777777" w:rsidR="005938BD" w:rsidRPr="005D38B7" w:rsidRDefault="005938BD" w:rsidP="002F4476">
      <w:pPr>
        <w:rPr>
          <w:rFonts w:asciiTheme="minorHAnsi" w:hAnsiTheme="minorHAnsi" w:cstheme="minorHAnsi"/>
          <w:lang w:val="en-GB"/>
        </w:rPr>
        <w:sectPr w:rsidR="005938BD" w:rsidRPr="005D38B7" w:rsidSect="000203EF">
          <w:type w:val="continuous"/>
          <w:pgSz w:w="11907" w:h="16839" w:code="9"/>
          <w:pgMar w:top="1418" w:right="1418" w:bottom="1418" w:left="1418" w:header="709" w:footer="709" w:gutter="0"/>
          <w:cols w:space="708"/>
          <w:docGrid w:linePitch="360"/>
        </w:sectPr>
      </w:pPr>
    </w:p>
    <w:p w14:paraId="68FC5361" w14:textId="77777777" w:rsidR="005938BD" w:rsidRPr="005D38B7" w:rsidRDefault="005938BD" w:rsidP="002F4476">
      <w:pPr>
        <w:rPr>
          <w:rFonts w:asciiTheme="minorHAnsi" w:hAnsiTheme="minorHAnsi" w:cstheme="minorHAnsi"/>
          <w:lang w:val="en-GB"/>
        </w:rPr>
      </w:pPr>
    </w:p>
    <w:p w14:paraId="33179D1C" w14:textId="77777777" w:rsidR="000119EA" w:rsidRPr="005D38B7" w:rsidRDefault="000119EA" w:rsidP="002F4476">
      <w:pPr>
        <w:rPr>
          <w:rFonts w:asciiTheme="minorHAnsi" w:hAnsiTheme="minorHAnsi" w:cstheme="minorHAnsi"/>
          <w:lang w:val="en-GB"/>
        </w:rPr>
      </w:pPr>
    </w:p>
    <w:p w14:paraId="2BF31217" w14:textId="77777777" w:rsidR="000119EA" w:rsidRPr="005D38B7" w:rsidRDefault="000119EA" w:rsidP="002F4476">
      <w:pPr>
        <w:rPr>
          <w:rFonts w:asciiTheme="minorHAnsi" w:hAnsiTheme="minorHAnsi" w:cstheme="minorHAnsi"/>
          <w:lang w:val="en-GB"/>
        </w:rPr>
      </w:pPr>
    </w:p>
    <w:p w14:paraId="2709CACF" w14:textId="77777777" w:rsidR="000119EA" w:rsidRPr="005D38B7" w:rsidRDefault="000119EA" w:rsidP="002F4476">
      <w:pPr>
        <w:rPr>
          <w:rFonts w:asciiTheme="minorHAnsi" w:hAnsiTheme="minorHAnsi" w:cstheme="minorHAnsi"/>
          <w:lang w:val="en-GB"/>
        </w:rPr>
      </w:pPr>
    </w:p>
    <w:p w14:paraId="3DB6217E" w14:textId="01F66D6F" w:rsidR="000119EA" w:rsidRPr="005D38B7" w:rsidRDefault="000119EA" w:rsidP="002F4476">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061"/>
      </w:tblGrid>
      <w:tr w:rsidR="000119EA" w:rsidRPr="005D38B7" w14:paraId="2DE55FC3" w14:textId="77777777" w:rsidTr="000119EA">
        <w:tc>
          <w:tcPr>
            <w:tcW w:w="9061" w:type="dxa"/>
          </w:tcPr>
          <w:p w14:paraId="0F2FC4C1" w14:textId="77777777" w:rsidR="000119EA" w:rsidRPr="005D38B7" w:rsidRDefault="000119EA" w:rsidP="00211DFA">
            <w:pPr>
              <w:pStyle w:val="Heading1"/>
              <w:numPr>
                <w:ilvl w:val="0"/>
                <w:numId w:val="0"/>
              </w:numPr>
              <w:spacing w:line="240" w:lineRule="auto"/>
              <w:outlineLvl w:val="0"/>
              <w:rPr>
                <w:rFonts w:asciiTheme="majorHAnsi" w:hAnsiTheme="majorHAnsi" w:cstheme="minorHAnsi"/>
              </w:rPr>
            </w:pPr>
            <w:bookmarkStart w:id="0" w:name="_Hlk126249292"/>
            <w:r>
              <w:rPr>
                <w:rFonts w:asciiTheme="majorHAnsi" w:hAnsiTheme="majorHAnsi"/>
                <w:color w:val="0070C0"/>
                <w:sz w:val="36"/>
              </w:rPr>
              <w:lastRenderedPageBreak/>
              <w:t>Introduction</w:t>
            </w:r>
            <w:r>
              <w:rPr>
                <w:rFonts w:asciiTheme="majorHAnsi" w:hAnsiTheme="majorHAnsi"/>
                <w:color w:val="0070C0"/>
                <w:sz w:val="32"/>
              </w:rPr>
              <w:t xml:space="preserve"> </w:t>
            </w:r>
            <w:r>
              <w:rPr>
                <w:rFonts w:asciiTheme="majorHAnsi" w:hAnsiTheme="majorHAnsi"/>
              </w:rPr>
              <w:t xml:space="preserve"> </w:t>
            </w:r>
          </w:p>
          <w:p w14:paraId="369BDBC2" w14:textId="77777777" w:rsidR="000119EA" w:rsidRPr="005D38B7" w:rsidRDefault="000119EA" w:rsidP="00211DFA">
            <w:pPr>
              <w:pStyle w:val="Heading1"/>
              <w:numPr>
                <w:ilvl w:val="0"/>
                <w:numId w:val="0"/>
              </w:numPr>
              <w:spacing w:line="240" w:lineRule="auto"/>
              <w:ind w:left="567"/>
              <w:outlineLvl w:val="0"/>
              <w:rPr>
                <w:rFonts w:asciiTheme="minorHAnsi" w:hAnsiTheme="minorHAnsi" w:cstheme="minorHAnsi"/>
                <w:b/>
                <w:lang w:val="en-GB"/>
              </w:rPr>
            </w:pPr>
          </w:p>
          <w:p w14:paraId="3C1BD0B8" w14:textId="4B965C9E" w:rsidR="00E91279" w:rsidRPr="005D38B7" w:rsidRDefault="00E91279" w:rsidP="00211DFA">
            <w:pPr>
              <w:pStyle w:val="Heading1"/>
              <w:numPr>
                <w:ilvl w:val="0"/>
                <w:numId w:val="0"/>
              </w:numPr>
              <w:spacing w:line="240" w:lineRule="auto"/>
              <w:ind w:left="567"/>
              <w:outlineLvl w:val="0"/>
              <w:rPr>
                <w:rFonts w:asciiTheme="minorHAnsi" w:hAnsiTheme="minorHAnsi"/>
                <w:i/>
                <w:sz w:val="24"/>
                <w:szCs w:val="24"/>
              </w:rPr>
            </w:pPr>
            <w:r>
              <w:rPr>
                <w:rFonts w:asciiTheme="minorHAnsi" w:hAnsiTheme="minorHAnsi"/>
                <w:i/>
                <w:sz w:val="24"/>
              </w:rPr>
              <w:t xml:space="preserve">Au début du mandat actuel, en octobre 2020, l’Europe était confrontée au plus grand défi </w:t>
            </w:r>
            <w:proofErr w:type="gramStart"/>
            <w:r>
              <w:rPr>
                <w:rFonts w:asciiTheme="minorHAnsi" w:hAnsiTheme="minorHAnsi"/>
                <w:i/>
                <w:sz w:val="24"/>
              </w:rPr>
              <w:t>qu’elle ait jamais</w:t>
            </w:r>
            <w:proofErr w:type="gramEnd"/>
            <w:r>
              <w:rPr>
                <w:rFonts w:asciiTheme="minorHAnsi" w:hAnsiTheme="minorHAnsi"/>
                <w:i/>
                <w:sz w:val="24"/>
              </w:rPr>
              <w:t xml:space="preserve"> connu, à savoir la pandémie de COVID-19, qui a déclenché la récession la plus sévère depuis la Seconde Guerre mondiale. Aujourd’hui, en avril 2023, ce mandat touche à sa fin au cours d’une période tourmentée du fait de la guerre d’agression de la Russie contre l’Ukraine, laquelle a déjà fait de nombreuses victimes, entraîné le déplacement de millions de personnes et causé des difficultés économiques non seulement en Ukraine, mais aussi dans le reste de l’Europe. Par conséquent, les travaux menés dans l’ensemble des domaines stratégiques relevant de la compétence de la section ECO, c’est-à-dire l’Union économique et monétaire, le Semestre européen, les marchés financiers, le budget de l’UE, la fiscalité et la politique de cohésion, se trouvaient au cœur des politiques européennes élaborées au cours de ce mandat, d’abord pour lutter contre les répercussions économiques de la pandémie, puis pour affronter, pendant la dernière année, les conséquences économiques de la guerre.</w:t>
            </w:r>
          </w:p>
          <w:p w14:paraId="122306A7" w14:textId="77777777" w:rsidR="00E91279" w:rsidRPr="005D38B7" w:rsidRDefault="00E91279" w:rsidP="00211DFA">
            <w:pPr>
              <w:pStyle w:val="Heading1"/>
              <w:numPr>
                <w:ilvl w:val="0"/>
                <w:numId w:val="0"/>
              </w:numPr>
              <w:spacing w:line="240" w:lineRule="auto"/>
              <w:ind w:left="567"/>
              <w:outlineLvl w:val="0"/>
              <w:rPr>
                <w:rFonts w:asciiTheme="minorHAnsi" w:hAnsiTheme="minorHAnsi"/>
                <w:i/>
                <w:sz w:val="24"/>
                <w:szCs w:val="24"/>
                <w:lang w:val="en-GB"/>
              </w:rPr>
            </w:pPr>
          </w:p>
          <w:p w14:paraId="35278DFD" w14:textId="626BEB5E" w:rsidR="00E91279" w:rsidRPr="005D38B7" w:rsidRDefault="00E91279" w:rsidP="00211DFA">
            <w:pPr>
              <w:spacing w:line="240" w:lineRule="auto"/>
              <w:ind w:left="567"/>
              <w:rPr>
                <w:rFonts w:asciiTheme="minorHAnsi" w:hAnsiTheme="minorHAnsi"/>
                <w:i/>
                <w:kern w:val="28"/>
                <w:sz w:val="24"/>
                <w:szCs w:val="24"/>
              </w:rPr>
            </w:pPr>
            <w:r>
              <w:rPr>
                <w:rFonts w:asciiTheme="minorHAnsi" w:hAnsiTheme="minorHAnsi"/>
                <w:i/>
                <w:sz w:val="24"/>
              </w:rPr>
              <w:t>Au début du mandat, les travaux de la section ECO ont fait partie intégrante du processus de création du programme </w:t>
            </w:r>
            <w:proofErr w:type="spellStart"/>
            <w:r>
              <w:rPr>
                <w:rFonts w:asciiTheme="minorHAnsi" w:hAnsiTheme="minorHAnsi"/>
                <w:i/>
                <w:sz w:val="24"/>
              </w:rPr>
              <w:t>NextGenerationEU</w:t>
            </w:r>
            <w:proofErr w:type="spellEnd"/>
            <w:r>
              <w:rPr>
                <w:rFonts w:asciiTheme="minorHAnsi" w:hAnsiTheme="minorHAnsi"/>
                <w:i/>
                <w:sz w:val="24"/>
              </w:rPr>
              <w:t xml:space="preserve">, le plan de relance ambitieux de l’Union. Tout au long de l’année 2021, elle a progressivement porté son attention sur la mise en œuvre efficace et efficiente de ce plan de relance de l’Union et sur la création des conditions nécessaires pour que l’Europe sorte de cette crise plus résiliente, plus intégrée et plus durable qu’auparavant. Toutefois, début 2022, la guerre injustifiée et non provoquée de la Russie contre l’Ukraine a mis en péril les premiers signes de reprise. </w:t>
            </w:r>
          </w:p>
          <w:p w14:paraId="497EE6A5" w14:textId="77777777" w:rsidR="00E91279" w:rsidRPr="005D38B7" w:rsidRDefault="00E91279" w:rsidP="00211DFA">
            <w:pPr>
              <w:spacing w:line="240" w:lineRule="auto"/>
              <w:ind w:left="567"/>
              <w:rPr>
                <w:rFonts w:asciiTheme="minorHAnsi" w:hAnsiTheme="minorHAnsi"/>
                <w:i/>
                <w:kern w:val="28"/>
                <w:sz w:val="24"/>
                <w:szCs w:val="24"/>
                <w:lang w:val="en-GB"/>
              </w:rPr>
            </w:pPr>
          </w:p>
          <w:p w14:paraId="0D7837E3" w14:textId="7340FF73" w:rsidR="009B1802" w:rsidRPr="005D38B7" w:rsidRDefault="00E91279" w:rsidP="00211DFA">
            <w:pPr>
              <w:spacing w:line="240" w:lineRule="auto"/>
              <w:ind w:left="567"/>
              <w:rPr>
                <w:rFonts w:asciiTheme="minorHAnsi" w:hAnsiTheme="minorHAnsi"/>
                <w:i/>
                <w:kern w:val="28"/>
                <w:sz w:val="24"/>
                <w:szCs w:val="24"/>
              </w:rPr>
            </w:pPr>
            <w:r>
              <w:rPr>
                <w:rFonts w:asciiTheme="minorHAnsi" w:hAnsiTheme="minorHAnsi"/>
                <w:i/>
                <w:sz w:val="24"/>
              </w:rPr>
              <w:t xml:space="preserve">Alors que l’économie européenne a enregistré depuis lors des niveaux records d’inflation associés à de faibles perspectives de croissance et à une crise énergétique, la section ECO a apporté, grâce à ses avis, une précieuse contribution à l’élaboration des politiques européennes visant à atténuer les effets négatifs de la guerre et à remettre l’Union européenne sur la voie de la reprise. </w:t>
            </w:r>
          </w:p>
          <w:p w14:paraId="49D29C62" w14:textId="77777777" w:rsidR="009B1802" w:rsidRPr="005D38B7" w:rsidRDefault="009B1802" w:rsidP="00211DFA">
            <w:pPr>
              <w:spacing w:line="240" w:lineRule="auto"/>
              <w:ind w:left="567"/>
              <w:rPr>
                <w:rFonts w:asciiTheme="minorHAnsi" w:hAnsiTheme="minorHAnsi"/>
                <w:i/>
                <w:kern w:val="28"/>
                <w:sz w:val="24"/>
                <w:szCs w:val="24"/>
                <w:lang w:val="en-GB"/>
              </w:rPr>
            </w:pPr>
          </w:p>
          <w:p w14:paraId="006DBF8A" w14:textId="2CC53A4F" w:rsidR="00E91279" w:rsidRPr="005D38B7" w:rsidRDefault="00EF24F5" w:rsidP="00211DFA">
            <w:pPr>
              <w:spacing w:line="240" w:lineRule="auto"/>
              <w:ind w:left="567"/>
            </w:pPr>
            <w:r>
              <w:rPr>
                <w:rFonts w:asciiTheme="minorHAnsi" w:hAnsiTheme="minorHAnsi"/>
                <w:i/>
                <w:sz w:val="24"/>
              </w:rPr>
              <w:t xml:space="preserve">Il est essentiel de noter que, même pendant ces deux années et demie marquées par de nombreux défis interconnectés, notre section a toujours plaidé en faveur de politiques qui garantissent que l’Europe ne perde pas de vue son objectif à moyen, voire à long terme, à savoir la nécessité de favoriser une économie européenne prospère, inclusive et durable sur les plans social et environnemental. </w:t>
            </w:r>
          </w:p>
          <w:p w14:paraId="4781F253" w14:textId="77777777" w:rsidR="00D64867" w:rsidRPr="005D38B7" w:rsidRDefault="00D64867" w:rsidP="00211DFA">
            <w:pPr>
              <w:spacing w:line="240" w:lineRule="auto"/>
              <w:rPr>
                <w:lang w:val="en-GB"/>
              </w:rPr>
            </w:pPr>
          </w:p>
          <w:p w14:paraId="21D6F82B" w14:textId="77777777" w:rsidR="00E004D3" w:rsidRPr="005D38B7" w:rsidRDefault="00E004D3" w:rsidP="00211DFA">
            <w:pPr>
              <w:spacing w:line="240" w:lineRule="auto"/>
              <w:jc w:val="right"/>
              <w:rPr>
                <w:lang w:val="en-GB"/>
              </w:rPr>
            </w:pPr>
          </w:p>
          <w:p w14:paraId="4EFB3FDE" w14:textId="72BB3BAC" w:rsidR="000119EA" w:rsidRPr="005D38B7" w:rsidRDefault="00534167" w:rsidP="00211DFA">
            <w:pPr>
              <w:pStyle w:val="Heading1"/>
              <w:numPr>
                <w:ilvl w:val="0"/>
                <w:numId w:val="0"/>
              </w:numPr>
              <w:spacing w:line="240" w:lineRule="auto"/>
              <w:ind w:left="567" w:right="315"/>
              <w:jc w:val="right"/>
              <w:outlineLvl w:val="0"/>
              <w:rPr>
                <w:rFonts w:asciiTheme="minorHAnsi" w:hAnsiTheme="minorHAnsi"/>
                <w:i/>
                <w:sz w:val="24"/>
                <w:szCs w:val="24"/>
              </w:rPr>
            </w:pPr>
            <w:r>
              <w:rPr>
                <w:rFonts w:ascii="Brush Script MT" w:hAnsi="Brush Script MT"/>
                <w:sz w:val="36"/>
              </w:rPr>
              <w:t>Stefano PALMIERI</w:t>
            </w:r>
          </w:p>
          <w:p w14:paraId="17CE14F9" w14:textId="492D80C3" w:rsidR="000119EA" w:rsidRPr="005D38B7" w:rsidRDefault="000119EA" w:rsidP="00211DFA">
            <w:pPr>
              <w:pStyle w:val="Heading1"/>
              <w:numPr>
                <w:ilvl w:val="0"/>
                <w:numId w:val="0"/>
              </w:numPr>
              <w:spacing w:line="240" w:lineRule="auto"/>
              <w:ind w:left="567"/>
              <w:jc w:val="right"/>
              <w:outlineLvl w:val="0"/>
              <w:rPr>
                <w:rFonts w:asciiTheme="minorHAnsi" w:hAnsiTheme="minorHAnsi"/>
                <w:sz w:val="24"/>
                <w:szCs w:val="24"/>
              </w:rPr>
            </w:pPr>
            <w:r>
              <w:rPr>
                <w:rFonts w:asciiTheme="minorHAnsi" w:hAnsiTheme="minorHAnsi"/>
                <w:color w:val="0070C0"/>
                <w:sz w:val="24"/>
              </w:rPr>
              <w:t xml:space="preserve">Président de la section ECO  </w:t>
            </w:r>
          </w:p>
          <w:p w14:paraId="2A738C98" w14:textId="77777777" w:rsidR="000119EA" w:rsidRPr="005D38B7" w:rsidRDefault="000119EA" w:rsidP="00E004D3">
            <w:pPr>
              <w:pStyle w:val="Heading1"/>
              <w:numPr>
                <w:ilvl w:val="0"/>
                <w:numId w:val="0"/>
              </w:numPr>
              <w:ind w:left="567"/>
              <w:outlineLvl w:val="0"/>
              <w:rPr>
                <w:rFonts w:asciiTheme="minorHAnsi" w:hAnsiTheme="minorHAnsi" w:cstheme="minorHAnsi"/>
                <w:lang w:val="en-GB"/>
              </w:rPr>
            </w:pPr>
          </w:p>
        </w:tc>
      </w:tr>
    </w:tbl>
    <w:bookmarkEnd w:id="0" w:displacedByCustomXml="next"/>
    <w:sdt>
      <w:sdtPr>
        <w:rPr>
          <w:rFonts w:ascii="Times New Roman" w:eastAsia="Times New Roman" w:hAnsi="Times New Roman" w:cs="Times New Roman"/>
          <w:color w:val="auto"/>
          <w:sz w:val="22"/>
          <w:szCs w:val="22"/>
        </w:rPr>
        <w:id w:val="1931540019"/>
        <w:docPartObj>
          <w:docPartGallery w:val="Table of Contents"/>
          <w:docPartUnique/>
        </w:docPartObj>
      </w:sdtPr>
      <w:sdtEndPr/>
      <w:sdtContent>
        <w:p w14:paraId="77FD1566" w14:textId="6D697E3C" w:rsidR="000119EA" w:rsidRPr="005D38B7" w:rsidRDefault="000119EA">
          <w:pPr>
            <w:pStyle w:val="TOCHeading"/>
          </w:pPr>
          <w:r>
            <w:t>Table des matières</w:t>
          </w:r>
        </w:p>
        <w:p w14:paraId="432AE59D" w14:textId="77777777" w:rsidR="000119EA" w:rsidRPr="005D38B7" w:rsidRDefault="000119EA" w:rsidP="000119EA">
          <w:pPr>
            <w:rPr>
              <w:lang w:val="en-GB"/>
            </w:rPr>
          </w:pPr>
        </w:p>
        <w:p w14:paraId="5FB77FBD" w14:textId="0DFE8E8F" w:rsidR="000119EA" w:rsidRPr="005D38B7" w:rsidRDefault="00E004D3" w:rsidP="00E004D3">
          <w:pPr>
            <w:pStyle w:val="TOC1"/>
            <w:rPr>
              <w:sz w:val="24"/>
            </w:rPr>
          </w:pPr>
          <w:r>
            <w:rPr>
              <w:sz w:val="24"/>
            </w:rPr>
            <w:t>Introduction</w:t>
          </w:r>
          <w:r>
            <w:rPr>
              <w:sz w:val="24"/>
            </w:rPr>
            <w:ptab w:relativeTo="margin" w:alignment="right" w:leader="dot"/>
          </w:r>
          <w:r>
            <w:rPr>
              <w:sz w:val="24"/>
            </w:rPr>
            <w:t>2</w:t>
          </w:r>
        </w:p>
        <w:p w14:paraId="1DAC6F59" w14:textId="734D5E29" w:rsidR="00E004D3" w:rsidRPr="005D38B7" w:rsidRDefault="00CC33F8" w:rsidP="00E004D3">
          <w:pPr>
            <w:pStyle w:val="TOC1"/>
            <w:rPr>
              <w:bCs/>
              <w:sz w:val="24"/>
            </w:rPr>
          </w:pPr>
          <w:r>
            <w:rPr>
              <w:sz w:val="24"/>
            </w:rPr>
            <w:t>L’Union économique et monétaire</w:t>
          </w:r>
          <w:r>
            <w:rPr>
              <w:sz w:val="24"/>
            </w:rPr>
            <w:ptab w:relativeTo="margin" w:alignment="right" w:leader="dot"/>
          </w:r>
          <w:r>
            <w:rPr>
              <w:sz w:val="24"/>
            </w:rPr>
            <w:t>4</w:t>
          </w:r>
        </w:p>
        <w:p w14:paraId="7B385C34" w14:textId="3B0C5C3E" w:rsidR="00E004D3" w:rsidRPr="005D38B7" w:rsidRDefault="008949F4" w:rsidP="00E004D3">
          <w:pPr>
            <w:pStyle w:val="TOC1"/>
            <w:rPr>
              <w:bCs/>
              <w:sz w:val="24"/>
            </w:rPr>
          </w:pPr>
          <w:r>
            <w:rPr>
              <w:sz w:val="24"/>
            </w:rPr>
            <w:t>Le Semestre européen</w:t>
          </w:r>
          <w:r>
            <w:rPr>
              <w:sz w:val="24"/>
            </w:rPr>
            <w:ptab w:relativeTo="margin" w:alignment="right" w:leader="dot"/>
          </w:r>
          <w:r>
            <w:rPr>
              <w:sz w:val="24"/>
            </w:rPr>
            <w:t>5</w:t>
          </w:r>
        </w:p>
        <w:p w14:paraId="3C3643E8" w14:textId="5D0D2A88" w:rsidR="00E004D3" w:rsidRPr="005D38B7" w:rsidRDefault="00BE2DA5" w:rsidP="00E004D3">
          <w:pPr>
            <w:pStyle w:val="TOC1"/>
            <w:rPr>
              <w:bCs/>
              <w:sz w:val="24"/>
            </w:rPr>
          </w:pPr>
          <w:r>
            <w:rPr>
              <w:sz w:val="24"/>
            </w:rPr>
            <w:t>Les marchés financiers européens</w:t>
          </w:r>
          <w:r>
            <w:rPr>
              <w:sz w:val="24"/>
            </w:rPr>
            <w:ptab w:relativeTo="margin" w:alignment="right" w:leader="dot"/>
          </w:r>
          <w:r>
            <w:rPr>
              <w:sz w:val="24"/>
            </w:rPr>
            <w:t>5</w:t>
          </w:r>
        </w:p>
        <w:p w14:paraId="08D7EF6E" w14:textId="7D717D25" w:rsidR="00E004D3" w:rsidRPr="005D38B7" w:rsidRDefault="00BE2DA5" w:rsidP="00E004D3">
          <w:pPr>
            <w:pStyle w:val="TOC1"/>
            <w:rPr>
              <w:bCs/>
              <w:sz w:val="24"/>
            </w:rPr>
          </w:pPr>
          <w:r>
            <w:rPr>
              <w:sz w:val="24"/>
            </w:rPr>
            <w:t>Le budget de l’Union européenne et le plan de relance</w:t>
          </w:r>
          <w:r>
            <w:rPr>
              <w:sz w:val="24"/>
            </w:rPr>
            <w:ptab w:relativeTo="margin" w:alignment="right" w:leader="dot"/>
          </w:r>
          <w:r>
            <w:rPr>
              <w:sz w:val="24"/>
            </w:rPr>
            <w:t>6</w:t>
          </w:r>
        </w:p>
        <w:p w14:paraId="4F110192" w14:textId="2FE94F00" w:rsidR="00BE2DA5" w:rsidRPr="005D38B7" w:rsidRDefault="00BE2DA5" w:rsidP="00131A9C">
          <w:pPr>
            <w:pStyle w:val="TOC1"/>
            <w:rPr>
              <w:bCs/>
              <w:sz w:val="24"/>
            </w:rPr>
          </w:pPr>
          <w:r>
            <w:rPr>
              <w:sz w:val="24"/>
            </w:rPr>
            <w:t>La politique de cohésion</w:t>
          </w:r>
          <w:r>
            <w:rPr>
              <w:sz w:val="24"/>
            </w:rPr>
            <w:ptab w:relativeTo="margin" w:alignment="right" w:leader="dot"/>
          </w:r>
          <w:r>
            <w:rPr>
              <w:sz w:val="24"/>
            </w:rPr>
            <w:t>6</w:t>
          </w:r>
        </w:p>
        <w:p w14:paraId="7E5C9178" w14:textId="077466A6" w:rsidR="00BE2DA5" w:rsidRPr="005D38B7" w:rsidRDefault="00BE2DA5" w:rsidP="00131A9C">
          <w:pPr>
            <w:pStyle w:val="TOC1"/>
            <w:rPr>
              <w:sz w:val="24"/>
            </w:rPr>
          </w:pPr>
          <w:r>
            <w:rPr>
              <w:sz w:val="24"/>
            </w:rPr>
            <w:t>La fiscalité</w:t>
          </w:r>
          <w:r>
            <w:rPr>
              <w:sz w:val="24"/>
            </w:rPr>
            <w:ptab w:relativeTo="margin" w:alignment="right" w:leader="dot"/>
          </w:r>
          <w:r>
            <w:rPr>
              <w:sz w:val="24"/>
            </w:rPr>
            <w:t>7</w:t>
          </w:r>
        </w:p>
        <w:p w14:paraId="5F0901C3" w14:textId="6F6C464A" w:rsidR="00131A9C" w:rsidRPr="005D38B7" w:rsidRDefault="00E004D3" w:rsidP="00131A9C">
          <w:pPr>
            <w:pStyle w:val="TOC1"/>
            <w:rPr>
              <w:bCs/>
              <w:sz w:val="24"/>
            </w:rPr>
          </w:pPr>
          <w:r>
            <w:rPr>
              <w:sz w:val="24"/>
            </w:rPr>
            <w:t>L’écho interinstitutionnel</w:t>
          </w:r>
          <w:r>
            <w:rPr>
              <w:sz w:val="24"/>
            </w:rPr>
            <w:ptab w:relativeTo="margin" w:alignment="right" w:leader="dot"/>
          </w:r>
          <w:r>
            <w:rPr>
              <w:sz w:val="24"/>
            </w:rPr>
            <w:t>8</w:t>
          </w:r>
        </w:p>
        <w:p w14:paraId="77957585" w14:textId="2CA92634" w:rsidR="00131A9C" w:rsidRPr="005D38B7" w:rsidRDefault="00131A9C" w:rsidP="00131A9C">
          <w:pPr>
            <w:pStyle w:val="TOC1"/>
            <w:rPr>
              <w:bCs/>
              <w:sz w:val="24"/>
            </w:rPr>
          </w:pPr>
          <w:r>
            <w:rPr>
              <w:sz w:val="24"/>
            </w:rPr>
            <w:t>Les réalisations en matière de communication</w:t>
          </w:r>
          <w:r>
            <w:rPr>
              <w:sz w:val="24"/>
            </w:rPr>
            <w:ptab w:relativeTo="margin" w:alignment="right" w:leader="dot"/>
          </w:r>
          <w:r>
            <w:rPr>
              <w:sz w:val="24"/>
            </w:rPr>
            <w:t>9</w:t>
          </w:r>
        </w:p>
        <w:p w14:paraId="3BCA6DCC" w14:textId="702B75CD" w:rsidR="003C5B4E" w:rsidRPr="005D38B7" w:rsidRDefault="003C5B4E" w:rsidP="003C5B4E">
          <w:pPr>
            <w:pStyle w:val="TOC1"/>
            <w:rPr>
              <w:bCs/>
              <w:sz w:val="24"/>
            </w:rPr>
          </w:pPr>
          <w:r>
            <w:rPr>
              <w:sz w:val="24"/>
            </w:rPr>
            <w:t>Les perspectives et l’avenir</w:t>
          </w:r>
          <w:r>
            <w:rPr>
              <w:sz w:val="24"/>
            </w:rPr>
            <w:ptab w:relativeTo="margin" w:alignment="right" w:leader="dot"/>
          </w:r>
          <w:r>
            <w:rPr>
              <w:sz w:val="24"/>
            </w:rPr>
            <w:t>10</w:t>
          </w:r>
        </w:p>
        <w:p w14:paraId="762483CA" w14:textId="6C4D20CA" w:rsidR="00E004D3" w:rsidRPr="005D38B7" w:rsidRDefault="003C5B4E" w:rsidP="00FA0378">
          <w:pPr>
            <w:pStyle w:val="TOC1"/>
          </w:pPr>
          <w:r>
            <w:rPr>
              <w:sz w:val="24"/>
            </w:rPr>
            <w:t>Annexe — Statistiques clés</w:t>
          </w:r>
          <w:r>
            <w:rPr>
              <w:sz w:val="24"/>
            </w:rPr>
            <w:ptab w:relativeTo="margin" w:alignment="right" w:leader="dot"/>
          </w:r>
          <w:r>
            <w:rPr>
              <w:sz w:val="24"/>
            </w:rPr>
            <w:t>12</w:t>
          </w:r>
        </w:p>
        <w:p w14:paraId="71E0DC49" w14:textId="17BCAC2E" w:rsidR="000119EA" w:rsidRPr="005D38B7" w:rsidRDefault="00084EE4" w:rsidP="00E004D3">
          <w:pPr>
            <w:rPr>
              <w:lang w:val="en-GB"/>
            </w:rPr>
          </w:pPr>
        </w:p>
      </w:sdtContent>
    </w:sdt>
    <w:p w14:paraId="5A6FCFAF" w14:textId="77777777" w:rsidR="000119EA" w:rsidRPr="005D38B7" w:rsidRDefault="000119EA" w:rsidP="002F4476">
      <w:pPr>
        <w:rPr>
          <w:rFonts w:asciiTheme="minorHAnsi" w:hAnsiTheme="minorHAnsi" w:cstheme="minorHAnsi"/>
          <w:lang w:val="en-GB"/>
        </w:rPr>
      </w:pPr>
    </w:p>
    <w:p w14:paraId="0E7F4D76" w14:textId="243CECD0" w:rsidR="007F3152" w:rsidRPr="005D38B7" w:rsidRDefault="007F3152">
      <w:pPr>
        <w:spacing w:after="160" w:line="259" w:lineRule="auto"/>
        <w:jc w:val="left"/>
        <w:rPr>
          <w:rFonts w:asciiTheme="minorHAnsi" w:hAnsiTheme="minorHAnsi" w:cstheme="minorHAnsi"/>
        </w:rPr>
      </w:pPr>
      <w:r>
        <w:br w:type="page"/>
      </w:r>
    </w:p>
    <w:p w14:paraId="7EE971A0" w14:textId="1622227C" w:rsidR="00E004D3" w:rsidRPr="005D38B7" w:rsidRDefault="00A90D10" w:rsidP="00A10FE3">
      <w:pPr>
        <w:pStyle w:val="Heading1"/>
        <w:numPr>
          <w:ilvl w:val="0"/>
          <w:numId w:val="0"/>
        </w:numPr>
        <w:rPr>
          <w:sz w:val="32"/>
          <w:szCs w:val="32"/>
        </w:rPr>
      </w:pPr>
      <w:r>
        <w:rPr>
          <w:rFonts w:asciiTheme="majorHAnsi" w:hAnsiTheme="majorHAnsi"/>
          <w:color w:val="0070C0"/>
          <w:sz w:val="32"/>
        </w:rPr>
        <w:lastRenderedPageBreak/>
        <w:t>L’Union économique et monétaire</w:t>
      </w:r>
    </w:p>
    <w:p w14:paraId="5CB8FEDC" w14:textId="77777777" w:rsidR="00E004D3" w:rsidRPr="005D38B7" w:rsidRDefault="003C5B4E" w:rsidP="00E004D3">
      <w:pPr>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0288" behindDoc="0" locked="0" layoutInCell="1" allowOverlap="1" wp14:anchorId="02D76900" wp14:editId="1CE3CE37">
                <wp:simplePos x="0" y="0"/>
                <wp:positionH relativeFrom="column">
                  <wp:posOffset>13969</wp:posOffset>
                </wp:positionH>
                <wp:positionV relativeFrom="paragraph">
                  <wp:posOffset>50027</wp:posOffset>
                </wp:positionV>
                <wp:extent cx="5661329" cy="15903"/>
                <wp:effectExtent l="0" t="0" r="34925" b="22225"/>
                <wp:wrapNone/>
                <wp:docPr id="4" name="Straight Connector 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77B67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Fzly7vAEAAMcDAAAOAAAAAAAAAAAAAAAAAC4CAABk&#10;cnMvZTJvRG9jLnhtbFBLAQItABQABgAIAAAAIQCRps723gAAAAYBAAAPAAAAAAAAAAAAAAAAABYE&#10;AABkcnMvZG93bnJldi54bWxQSwUGAAAAAAQABADzAAAAIQUAAAAA&#10;">
                <v:stroke joinstyle="miter"/>
              </v:line>
            </w:pict>
          </mc:Fallback>
        </mc:AlternateContent>
      </w:r>
    </w:p>
    <w:p w14:paraId="258ED25A" w14:textId="140B8181" w:rsidR="00E045AB" w:rsidRPr="005D38B7" w:rsidRDefault="00E045AB" w:rsidP="00E045AB">
      <w:pPr>
        <w:pStyle w:val="Heading1"/>
        <w:numPr>
          <w:ilvl w:val="0"/>
          <w:numId w:val="0"/>
        </w:numPr>
        <w:ind w:left="567"/>
        <w:rPr>
          <w:rFonts w:asciiTheme="minorHAnsi" w:hAnsiTheme="minorHAnsi" w:cstheme="minorHAnsi"/>
          <w:b/>
          <w:bCs/>
          <w:i/>
          <w:iCs/>
          <w:sz w:val="24"/>
          <w:szCs w:val="24"/>
        </w:rPr>
      </w:pPr>
      <w:r>
        <w:rPr>
          <w:rFonts w:asciiTheme="minorHAnsi" w:hAnsiTheme="minorHAnsi"/>
          <w:i/>
          <w:sz w:val="24"/>
        </w:rPr>
        <w:t xml:space="preserve">Pour soutenir la reprise de l’économie européenne après la pandémie de COVID-19 et aider l’Union européenne à affronter les répercussions économiques et sociales de la guerre en Ukraine, le CESE a régulièrement mis à jour ses recommandations consignées dans l’avis qu’il élabore tous les semestres sur la </w:t>
      </w:r>
      <w:hyperlink r:id="rId18" w:history="1">
        <w:r>
          <w:rPr>
            <w:rStyle w:val="Hyperlink"/>
            <w:rFonts w:asciiTheme="minorHAnsi" w:hAnsiTheme="minorHAnsi"/>
            <w:b/>
            <w:i/>
            <w:sz w:val="24"/>
          </w:rPr>
          <w:t>politique économique de la zone euro</w:t>
        </w:r>
      </w:hyperlink>
      <w:r>
        <w:rPr>
          <w:rFonts w:asciiTheme="minorHAnsi" w:hAnsiTheme="minorHAnsi"/>
          <w:i/>
          <w:sz w:val="24"/>
        </w:rPr>
        <w:t xml:space="preserve">. Le </w:t>
      </w:r>
      <w:r>
        <w:rPr>
          <w:rFonts w:asciiTheme="minorHAnsi" w:hAnsiTheme="minorHAnsi"/>
          <w:b/>
          <w:i/>
          <w:sz w:val="24"/>
        </w:rPr>
        <w:t>réexamen du cadre de gouvernance économique</w:t>
      </w:r>
      <w:r>
        <w:rPr>
          <w:rFonts w:asciiTheme="minorHAnsi" w:hAnsiTheme="minorHAnsi"/>
          <w:i/>
          <w:sz w:val="24"/>
        </w:rPr>
        <w:t xml:space="preserve"> a constitué un thème essentiel et contribué à la création d’une future économie de l’Union plus résiliente et plus durable. Le CESE s’est placé en première ligne de ce débat au moyen de son avis d’initiative intitulé «</w:t>
      </w:r>
      <w:hyperlink r:id="rId19" w:history="1">
        <w:r>
          <w:rPr>
            <w:rStyle w:val="Hyperlink"/>
            <w:rFonts w:asciiTheme="minorHAnsi" w:hAnsiTheme="minorHAnsi"/>
            <w:b/>
            <w:i/>
            <w:sz w:val="24"/>
          </w:rPr>
          <w:t>Repenser le cadre budgétaire de l’Union européenne pour une reprise durable et une transition juste</w:t>
        </w:r>
      </w:hyperlink>
      <w:r>
        <w:rPr>
          <w:rFonts w:asciiTheme="minorHAnsi" w:hAnsiTheme="minorHAnsi"/>
          <w:i/>
          <w:sz w:val="24"/>
        </w:rPr>
        <w:t>», auquel il a donné suite par la voie d’un avis sur la communication de la Commission européenne sur les «</w:t>
      </w:r>
      <w:hyperlink r:id="rId20" w:history="1">
        <w:r>
          <w:rPr>
            <w:rStyle w:val="Hyperlink"/>
            <w:rFonts w:asciiTheme="minorHAnsi" w:hAnsiTheme="minorHAnsi"/>
            <w:b/>
            <w:i/>
            <w:sz w:val="24"/>
          </w:rPr>
          <w:t>Orientations pour une réforme du cadre de gouvernance économique de l’UE</w:t>
        </w:r>
      </w:hyperlink>
      <w:r>
        <w:t>»</w:t>
      </w:r>
      <w:r>
        <w:rPr>
          <w:rFonts w:asciiTheme="minorHAnsi" w:hAnsiTheme="minorHAnsi"/>
          <w:i/>
          <w:sz w:val="24"/>
        </w:rPr>
        <w:t>.</w:t>
      </w:r>
    </w:p>
    <w:p w14:paraId="732888EE" w14:textId="77777777" w:rsidR="00E045AB" w:rsidRPr="005D38B7" w:rsidRDefault="00E045AB" w:rsidP="00E045AB">
      <w:pPr>
        <w:ind w:left="567"/>
        <w:rPr>
          <w:rFonts w:asciiTheme="minorHAnsi" w:hAnsiTheme="minorHAnsi" w:cstheme="minorHAnsi"/>
          <w:i/>
          <w:iCs/>
          <w:sz w:val="24"/>
          <w:szCs w:val="24"/>
          <w:lang w:val="en-GB"/>
        </w:rPr>
      </w:pPr>
    </w:p>
    <w:p w14:paraId="751A022D" w14:textId="39A95B47" w:rsidR="00E045AB" w:rsidRPr="005D38B7" w:rsidRDefault="00E045AB" w:rsidP="00E045AB">
      <w:pPr>
        <w:ind w:left="567"/>
        <w:rPr>
          <w:rFonts w:asciiTheme="minorHAnsi" w:hAnsiTheme="minorHAnsi" w:cstheme="minorHAnsi"/>
          <w:i/>
          <w:iCs/>
          <w:sz w:val="24"/>
          <w:szCs w:val="24"/>
        </w:rPr>
      </w:pPr>
      <w:r>
        <w:rPr>
          <w:rFonts w:asciiTheme="minorHAnsi" w:hAnsiTheme="minorHAnsi"/>
          <w:i/>
          <w:sz w:val="24"/>
        </w:rPr>
        <w:t>L’</w:t>
      </w:r>
      <w:hyperlink r:id="rId21" w:history="1">
        <w:r>
          <w:rPr>
            <w:rStyle w:val="Hyperlink"/>
            <w:rFonts w:asciiTheme="minorHAnsi" w:hAnsiTheme="minorHAnsi"/>
            <w:i/>
            <w:sz w:val="24"/>
          </w:rPr>
          <w:t>audition</w:t>
        </w:r>
      </w:hyperlink>
      <w:r>
        <w:rPr>
          <w:rFonts w:asciiTheme="minorHAnsi" w:hAnsiTheme="minorHAnsi"/>
          <w:i/>
          <w:sz w:val="24"/>
        </w:rPr>
        <w:t xml:space="preserve"> organisée par le CESE et son avis d’initiative sur le thème «</w:t>
      </w:r>
      <w:hyperlink r:id="rId22" w:history="1">
        <w:r>
          <w:rPr>
            <w:rStyle w:val="Hyperlink"/>
            <w:rFonts w:asciiTheme="minorHAnsi" w:hAnsiTheme="minorHAnsi"/>
            <w:b/>
            <w:i/>
            <w:sz w:val="24"/>
          </w:rPr>
          <w:t>Dépasser les mesures axées sur le PIB pour une reprise fructueuse et une économie européenne durable et résiliente</w:t>
        </w:r>
      </w:hyperlink>
      <w:r>
        <w:rPr>
          <w:rFonts w:asciiTheme="minorHAnsi" w:hAnsiTheme="minorHAnsi"/>
          <w:i/>
          <w:sz w:val="24"/>
        </w:rPr>
        <w:t>» ont examiné la transition de l’Union d’un modèle orienté uniquement sur la croissance vers un système reposant sur la durabilité et prenant en compte le niveau réel de bien-être et de développement de notre société.</w:t>
      </w:r>
    </w:p>
    <w:p w14:paraId="01D271F6" w14:textId="77777777" w:rsidR="00E045AB" w:rsidRPr="005D38B7" w:rsidRDefault="00E045AB" w:rsidP="00E045AB">
      <w:pPr>
        <w:ind w:left="567"/>
        <w:rPr>
          <w:rFonts w:asciiTheme="minorHAnsi" w:hAnsiTheme="minorHAnsi" w:cstheme="minorHAnsi"/>
          <w:i/>
          <w:iCs/>
          <w:sz w:val="24"/>
          <w:szCs w:val="24"/>
          <w:lang w:val="en-GB"/>
        </w:rPr>
      </w:pPr>
    </w:p>
    <w:p w14:paraId="016A965B" w14:textId="1CDE5AC3" w:rsidR="00E045AB" w:rsidRPr="005D38B7" w:rsidRDefault="00E045AB" w:rsidP="00E045AB">
      <w:pPr>
        <w:ind w:left="567"/>
        <w:rPr>
          <w:rFonts w:asciiTheme="minorHAnsi" w:hAnsiTheme="minorHAnsi" w:cstheme="minorHAnsi"/>
          <w:i/>
          <w:iCs/>
          <w:sz w:val="24"/>
          <w:szCs w:val="24"/>
        </w:rPr>
      </w:pPr>
      <w:r>
        <w:rPr>
          <w:rFonts w:asciiTheme="minorHAnsi" w:hAnsiTheme="minorHAnsi"/>
          <w:i/>
          <w:sz w:val="24"/>
        </w:rPr>
        <w:t xml:space="preserve">Au cours de ce mandat, le CESE a également contribué à l’évaluation de la Commission du </w:t>
      </w:r>
      <w:hyperlink r:id="rId23" w:history="1">
        <w:r>
          <w:rPr>
            <w:rStyle w:val="Hyperlink"/>
            <w:rFonts w:asciiTheme="minorHAnsi" w:hAnsiTheme="minorHAnsi"/>
            <w:b/>
            <w:i/>
            <w:sz w:val="24"/>
          </w:rPr>
          <w:t>Fonds européen pour les investissements stratégiques 2.0</w:t>
        </w:r>
      </w:hyperlink>
      <w:r>
        <w:t xml:space="preserve"> (EFSI).</w:t>
      </w:r>
      <w:r>
        <w:rPr>
          <w:rFonts w:asciiTheme="minorHAnsi" w:hAnsiTheme="minorHAnsi"/>
          <w:i/>
          <w:sz w:val="24"/>
        </w:rPr>
        <w:t xml:space="preserve"> Les points de vue de la société civile organisée, que le CESE a transmis au niveau européen, ont mis en évidence l’effet positif de l’EFSI pour mobiliser un volume important d’investissements et ainsi contribuer à réduire le grave déficit d’investissement dans l’Union européenne. La société civile organisée a également fait observer qu’il importait de consentir davantage d’efforts pour promouvoir la participation des partenaires sociaux et des organisations de la société civile au lancement et à la mise en œuvre des programmes d’investissement de l’Union.</w:t>
      </w:r>
    </w:p>
    <w:p w14:paraId="7116C613" w14:textId="77777777" w:rsidR="00E045AB" w:rsidRPr="005D38B7" w:rsidRDefault="00E045AB" w:rsidP="00E045AB">
      <w:pPr>
        <w:ind w:left="567"/>
        <w:rPr>
          <w:rFonts w:asciiTheme="minorHAnsi" w:hAnsiTheme="minorHAnsi" w:cstheme="minorHAnsi"/>
          <w:i/>
          <w:iCs/>
          <w:sz w:val="24"/>
          <w:szCs w:val="24"/>
          <w:lang w:val="en-GB"/>
        </w:rPr>
      </w:pPr>
    </w:p>
    <w:p w14:paraId="401621F4" w14:textId="194CB732" w:rsidR="003C5B4E" w:rsidRPr="005D38B7" w:rsidRDefault="00E045AB" w:rsidP="00E045AB">
      <w:pPr>
        <w:pStyle w:val="Heading1"/>
        <w:numPr>
          <w:ilvl w:val="0"/>
          <w:numId w:val="0"/>
        </w:numPr>
        <w:ind w:left="567"/>
        <w:rPr>
          <w:rFonts w:asciiTheme="minorHAnsi" w:hAnsiTheme="minorHAnsi"/>
          <w:i/>
          <w:sz w:val="24"/>
          <w:szCs w:val="24"/>
        </w:rPr>
      </w:pPr>
      <w:r>
        <w:rPr>
          <w:rFonts w:asciiTheme="minorHAnsi" w:hAnsiTheme="minorHAnsi"/>
          <w:i/>
          <w:sz w:val="24"/>
        </w:rPr>
        <w:t xml:space="preserve">Au cours d’une </w:t>
      </w:r>
      <w:hyperlink r:id="rId24" w:history="1">
        <w:r>
          <w:rPr>
            <w:rStyle w:val="Hyperlink"/>
            <w:rFonts w:asciiTheme="minorHAnsi" w:hAnsiTheme="minorHAnsi"/>
            <w:i/>
            <w:sz w:val="24"/>
          </w:rPr>
          <w:t>audition</w:t>
        </w:r>
      </w:hyperlink>
      <w:r>
        <w:rPr>
          <w:rFonts w:asciiTheme="minorHAnsi" w:hAnsiTheme="minorHAnsi"/>
          <w:i/>
          <w:sz w:val="24"/>
        </w:rPr>
        <w:t xml:space="preserve"> et dans un avis consacrés au thème «</w:t>
      </w:r>
      <w:hyperlink r:id="rId25" w:history="1">
        <w:r>
          <w:rPr>
            <w:rStyle w:val="Hyperlink"/>
            <w:rFonts w:asciiTheme="minorHAnsi" w:hAnsiTheme="minorHAnsi"/>
            <w:b/>
            <w:i/>
            <w:sz w:val="24"/>
          </w:rPr>
          <w:t>Système économique et financier européen: favoriser l’ouverture, la solidité et la résilience</w:t>
        </w:r>
      </w:hyperlink>
      <w:r>
        <w:rPr>
          <w:rFonts w:asciiTheme="minorHAnsi" w:hAnsiTheme="minorHAnsi"/>
          <w:i/>
          <w:sz w:val="24"/>
        </w:rPr>
        <w:t xml:space="preserve">», le Comité a fait observer que le renforcement du rôle international de l’euro représentait un élément essentiel pour améliorer la position de l’Europe sur la scène mondiale ainsi que sa résilience, et a également plaidé en faveur d’objectifs économiques ambitieux pour </w:t>
      </w:r>
      <w:r>
        <w:rPr>
          <w:rFonts w:asciiTheme="minorHAnsi" w:hAnsiTheme="minorHAnsi"/>
          <w:i/>
          <w:sz w:val="24"/>
        </w:rPr>
        <w:lastRenderedPageBreak/>
        <w:t xml:space="preserve">consolider la monnaie unique. En parallèle, le CESE a organisé une </w:t>
      </w:r>
      <w:hyperlink r:id="rId26" w:history="1">
        <w:r>
          <w:rPr>
            <w:rStyle w:val="Hyperlink"/>
            <w:rFonts w:asciiTheme="minorHAnsi" w:hAnsiTheme="minorHAnsi"/>
            <w:i/>
            <w:sz w:val="24"/>
          </w:rPr>
          <w:t>audition</w:t>
        </w:r>
      </w:hyperlink>
      <w:r>
        <w:rPr>
          <w:rFonts w:asciiTheme="minorHAnsi" w:hAnsiTheme="minorHAnsi"/>
          <w:i/>
          <w:sz w:val="24"/>
        </w:rPr>
        <w:t xml:space="preserve"> et a élaboré un avis d’initiative sur </w:t>
      </w:r>
      <w:hyperlink r:id="rId27" w:history="1">
        <w:r>
          <w:rPr>
            <w:rStyle w:val="Hyperlink"/>
            <w:rFonts w:asciiTheme="minorHAnsi" w:hAnsiTheme="minorHAnsi"/>
            <w:b/>
            <w:i/>
            <w:sz w:val="24"/>
          </w:rPr>
          <w:t>un euro numérique</w:t>
        </w:r>
      </w:hyperlink>
      <w:r>
        <w:rPr>
          <w:rFonts w:asciiTheme="minorHAnsi" w:hAnsiTheme="minorHAnsi"/>
          <w:i/>
          <w:sz w:val="24"/>
        </w:rPr>
        <w:t>, lequel pourrait profiter à tous les acteurs de la zone euro en rendant les opérations de paiement plus rapides et plus efficaces, mais qui doit absolument s’appuyer sur l’inclusivité financière et numérique.</w:t>
      </w:r>
    </w:p>
    <w:p w14:paraId="4E4C3D4C" w14:textId="77777777" w:rsidR="00B817DE" w:rsidRPr="005D38B7" w:rsidRDefault="00B817DE" w:rsidP="00E004D3">
      <w:pPr>
        <w:spacing w:line="240" w:lineRule="auto"/>
        <w:rPr>
          <w:rFonts w:asciiTheme="majorHAnsi" w:hAnsiTheme="majorHAnsi" w:cstheme="minorHAnsi"/>
          <w:color w:val="0070C0"/>
          <w:sz w:val="32"/>
          <w:lang w:val="en-GB"/>
        </w:rPr>
      </w:pPr>
    </w:p>
    <w:p w14:paraId="536FA5FC" w14:textId="1E926FFA" w:rsidR="003C5B4E" w:rsidRPr="005D38B7" w:rsidRDefault="00AA0048" w:rsidP="00841A69">
      <w:pPr>
        <w:pStyle w:val="Heading1"/>
        <w:keepNext/>
        <w:numPr>
          <w:ilvl w:val="0"/>
          <w:numId w:val="0"/>
        </w:numPr>
        <w:rPr>
          <w:sz w:val="32"/>
          <w:szCs w:val="32"/>
        </w:rPr>
      </w:pPr>
      <w:r>
        <w:rPr>
          <w:rFonts w:asciiTheme="majorHAnsi" w:hAnsiTheme="majorHAnsi"/>
          <w:color w:val="0070C0"/>
          <w:sz w:val="32"/>
        </w:rPr>
        <w:t>Le Semestre européen</w:t>
      </w:r>
    </w:p>
    <w:p w14:paraId="7D3F9414"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2336" behindDoc="0" locked="0" layoutInCell="1" allowOverlap="1" wp14:anchorId="6A6AC3B6" wp14:editId="1CE302A6">
                <wp:simplePos x="0" y="0"/>
                <wp:positionH relativeFrom="column">
                  <wp:posOffset>13969</wp:posOffset>
                </wp:positionH>
                <wp:positionV relativeFrom="paragraph">
                  <wp:posOffset>50027</wp:posOffset>
                </wp:positionV>
                <wp:extent cx="5661329" cy="15903"/>
                <wp:effectExtent l="0" t="0" r="34925" b="22225"/>
                <wp:wrapNone/>
                <wp:docPr id="5" name="Straight Connector 5"/>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005D9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MNODL67AQAAxwMAAA4AAAAAAAAAAAAAAAAALgIAAGRy&#10;cy9lMm9Eb2MueG1sUEsBAi0AFAAGAAgAAAAhAJGmzvbeAAAABgEAAA8AAAAAAAAAAAAAAAAAFQQA&#10;AGRycy9kb3ducmV2LnhtbFBLBQYAAAAABAAEAPMAAAAgBQAAAAA=&#10;">
                <v:stroke joinstyle="miter"/>
              </v:line>
            </w:pict>
          </mc:Fallback>
        </mc:AlternateContent>
      </w:r>
    </w:p>
    <w:p w14:paraId="009EDF73" w14:textId="2F1CB02A" w:rsidR="003C5B4E" w:rsidRPr="005D38B7" w:rsidRDefault="004A44FE" w:rsidP="004A44FE">
      <w:pPr>
        <w:ind w:left="567"/>
        <w:rPr>
          <w:rFonts w:asciiTheme="minorHAnsi" w:hAnsiTheme="minorHAnsi" w:cstheme="minorHAnsi"/>
          <w:i/>
          <w:iCs/>
          <w:sz w:val="24"/>
          <w:szCs w:val="24"/>
        </w:rPr>
      </w:pPr>
      <w:r>
        <w:rPr>
          <w:rFonts w:asciiTheme="minorHAnsi" w:hAnsiTheme="minorHAnsi"/>
          <w:i/>
          <w:sz w:val="24"/>
        </w:rPr>
        <w:t>Les activités et résultats liés au Semestre européen sont présentés dans un rapport distinct élaboré par le groupe «Semestre européen», présidé lors de ce mandat par Javier Doz Orrit.</w:t>
      </w:r>
    </w:p>
    <w:p w14:paraId="69EEEAAF" w14:textId="77777777" w:rsidR="003C5B4E" w:rsidRPr="005D38B7" w:rsidRDefault="003C5B4E" w:rsidP="003C5B4E">
      <w:pPr>
        <w:spacing w:line="240" w:lineRule="auto"/>
        <w:rPr>
          <w:rFonts w:asciiTheme="majorHAnsi" w:hAnsiTheme="majorHAnsi" w:cstheme="minorHAnsi"/>
          <w:color w:val="0070C0"/>
          <w:sz w:val="32"/>
          <w:lang w:val="en-GB"/>
        </w:rPr>
      </w:pPr>
    </w:p>
    <w:p w14:paraId="0DAE265A" w14:textId="0031F86C" w:rsidR="003C5B4E" w:rsidRPr="005D38B7" w:rsidRDefault="00AA0048" w:rsidP="00841A69">
      <w:pPr>
        <w:pStyle w:val="Heading1"/>
        <w:keepNext/>
        <w:numPr>
          <w:ilvl w:val="0"/>
          <w:numId w:val="0"/>
        </w:numPr>
      </w:pPr>
      <w:bookmarkStart w:id="1" w:name="_Hlk127269072"/>
      <w:r>
        <w:rPr>
          <w:rFonts w:asciiTheme="majorHAnsi" w:hAnsiTheme="majorHAnsi"/>
          <w:color w:val="0070C0"/>
          <w:sz w:val="32"/>
        </w:rPr>
        <w:t>Les marchés financiers européens</w:t>
      </w:r>
      <w:bookmarkEnd w:id="1"/>
    </w:p>
    <w:p w14:paraId="6D02036A"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4384" behindDoc="0" locked="0" layoutInCell="1" allowOverlap="1" wp14:anchorId="4BE95280" wp14:editId="510EDB2E">
                <wp:simplePos x="0" y="0"/>
                <wp:positionH relativeFrom="column">
                  <wp:posOffset>13969</wp:posOffset>
                </wp:positionH>
                <wp:positionV relativeFrom="paragraph">
                  <wp:posOffset>50027</wp:posOffset>
                </wp:positionV>
                <wp:extent cx="5661329" cy="15903"/>
                <wp:effectExtent l="0" t="0" r="34925" b="22225"/>
                <wp:wrapNone/>
                <wp:docPr id="8" name="Straight Connector 8"/>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8"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74FEF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ty5qEvAEAAMcDAAAOAAAAAAAAAAAAAAAAAC4CAABk&#10;cnMvZTJvRG9jLnhtbFBLAQItABQABgAIAAAAIQCRps723gAAAAYBAAAPAAAAAAAAAAAAAAAAABYE&#10;AABkcnMvZG93bnJldi54bWxQSwUGAAAAAAQABADzAAAAIQUAAAAA&#10;">
                <v:stroke joinstyle="miter"/>
              </v:line>
            </w:pict>
          </mc:Fallback>
        </mc:AlternateContent>
      </w:r>
    </w:p>
    <w:p w14:paraId="3D303020" w14:textId="512DB2CD" w:rsidR="008F5FAB" w:rsidRPr="005D38B7" w:rsidRDefault="008F5FAB" w:rsidP="008F1557">
      <w:pPr>
        <w:ind w:left="567"/>
        <w:rPr>
          <w:rFonts w:asciiTheme="minorHAnsi" w:hAnsiTheme="minorHAnsi" w:cstheme="minorHAnsi"/>
          <w:b/>
          <w:bCs/>
          <w:i/>
          <w:iCs/>
          <w:sz w:val="24"/>
          <w:szCs w:val="24"/>
        </w:rPr>
      </w:pPr>
      <w:r>
        <w:rPr>
          <w:rFonts w:asciiTheme="minorHAnsi" w:hAnsiTheme="minorHAnsi"/>
          <w:i/>
          <w:sz w:val="24"/>
        </w:rPr>
        <w:t>S’exprimant en faveur de la stabilité et du bon fonctionnement du secteur financier, le CESE a approuvé les propositions législatives de la Commission révisant les exigences prudentielles applicables aux banques («</w:t>
      </w:r>
      <w:hyperlink r:id="rId28" w:history="1">
        <w:r>
          <w:rPr>
            <w:rStyle w:val="Hyperlink"/>
            <w:rFonts w:asciiTheme="minorHAnsi" w:hAnsiTheme="minorHAnsi"/>
            <w:b/>
            <w:i/>
            <w:sz w:val="24"/>
          </w:rPr>
          <w:t>Paquet bancaire 2021</w:t>
        </w:r>
      </w:hyperlink>
      <w:r>
        <w:rPr>
          <w:rFonts w:asciiTheme="minorHAnsi" w:hAnsiTheme="minorHAnsi"/>
          <w:i/>
          <w:sz w:val="24"/>
        </w:rPr>
        <w:t>») et aux assureurs («</w:t>
      </w:r>
      <w:hyperlink r:id="rId29" w:history="1">
        <w:r>
          <w:rPr>
            <w:rStyle w:val="Hyperlink"/>
            <w:rFonts w:asciiTheme="minorHAnsi" w:hAnsiTheme="minorHAnsi"/>
            <w:b/>
            <w:i/>
            <w:sz w:val="24"/>
          </w:rPr>
          <w:t>Réexamen de la directive Solvabilité II</w:t>
        </w:r>
      </w:hyperlink>
      <w:r>
        <w:rPr>
          <w:rFonts w:asciiTheme="minorHAnsi" w:hAnsiTheme="minorHAnsi"/>
          <w:i/>
          <w:sz w:val="24"/>
        </w:rPr>
        <w:t>»).</w:t>
      </w:r>
    </w:p>
    <w:p w14:paraId="67754B3A" w14:textId="77777777" w:rsidR="008F5FAB" w:rsidRPr="005D38B7" w:rsidRDefault="008F5FAB" w:rsidP="00E21EBC">
      <w:pPr>
        <w:ind w:left="567"/>
        <w:rPr>
          <w:rFonts w:asciiTheme="minorHAnsi" w:hAnsiTheme="minorHAnsi" w:cstheme="minorHAnsi"/>
          <w:i/>
          <w:iCs/>
          <w:sz w:val="24"/>
          <w:szCs w:val="24"/>
          <w:lang w:val="en-GB"/>
        </w:rPr>
      </w:pPr>
    </w:p>
    <w:p w14:paraId="6324A7FA" w14:textId="2AA279BF" w:rsidR="008F1557" w:rsidRPr="005D38B7" w:rsidRDefault="00E21EBC" w:rsidP="008F1557">
      <w:pPr>
        <w:ind w:left="567"/>
        <w:rPr>
          <w:rFonts w:asciiTheme="minorHAnsi" w:hAnsiTheme="minorHAnsi" w:cstheme="minorHAnsi"/>
          <w:i/>
          <w:iCs/>
          <w:sz w:val="24"/>
          <w:szCs w:val="24"/>
        </w:rPr>
      </w:pPr>
      <w:r>
        <w:rPr>
          <w:rFonts w:asciiTheme="minorHAnsi" w:hAnsiTheme="minorHAnsi"/>
          <w:i/>
          <w:sz w:val="24"/>
        </w:rPr>
        <w:t xml:space="preserve">Le CESE a accueilli favorablement le plan d’action 2020 pour l’union des marchés des capitaux et a publié à ce sujet des avis sur le </w:t>
      </w:r>
      <w:hyperlink r:id="rId30" w:history="1">
        <w:r>
          <w:rPr>
            <w:rStyle w:val="Hyperlink"/>
            <w:rFonts w:asciiTheme="minorHAnsi" w:hAnsiTheme="minorHAnsi"/>
            <w:b/>
            <w:i/>
            <w:sz w:val="24"/>
          </w:rPr>
          <w:t>point d’accès unique européen (PAUE)</w:t>
        </w:r>
      </w:hyperlink>
      <w:r>
        <w:rPr>
          <w:rFonts w:asciiTheme="minorHAnsi" w:hAnsiTheme="minorHAnsi"/>
          <w:i/>
          <w:sz w:val="24"/>
        </w:rPr>
        <w:t xml:space="preserve"> et la </w:t>
      </w:r>
      <w:hyperlink r:id="rId31" w:history="1">
        <w:r>
          <w:rPr>
            <w:rStyle w:val="Hyperlink"/>
            <w:rFonts w:asciiTheme="minorHAnsi" w:hAnsiTheme="minorHAnsi"/>
            <w:b/>
            <w:i/>
            <w:sz w:val="24"/>
          </w:rPr>
          <w:t>révision du règlement concernant les marchés d’instruments financiers (</w:t>
        </w:r>
        <w:proofErr w:type="spellStart"/>
        <w:r>
          <w:rPr>
            <w:rStyle w:val="Hyperlink"/>
            <w:rFonts w:asciiTheme="minorHAnsi" w:hAnsiTheme="minorHAnsi"/>
            <w:b/>
            <w:i/>
            <w:sz w:val="24"/>
          </w:rPr>
          <w:t>MiFIR</w:t>
        </w:r>
        <w:proofErr w:type="spellEnd"/>
        <w:r>
          <w:rPr>
            <w:rStyle w:val="Hyperlink"/>
            <w:rFonts w:asciiTheme="minorHAnsi" w:hAnsiTheme="minorHAnsi"/>
            <w:b/>
            <w:i/>
            <w:sz w:val="24"/>
          </w:rPr>
          <w:t>)</w:t>
        </w:r>
      </w:hyperlink>
      <w:r>
        <w:rPr>
          <w:i/>
        </w:rPr>
        <w:t>,</w:t>
      </w:r>
      <w:r>
        <w:rPr>
          <w:rFonts w:asciiTheme="minorHAnsi" w:hAnsiTheme="minorHAnsi"/>
          <w:i/>
          <w:sz w:val="24"/>
        </w:rPr>
        <w:t xml:space="preserve"> dans lesquels il demande la création d’un </w:t>
      </w:r>
      <w:r>
        <w:rPr>
          <w:rFonts w:asciiTheme="minorHAnsi" w:hAnsiTheme="minorHAnsi"/>
          <w:b/>
          <w:i/>
          <w:sz w:val="24"/>
        </w:rPr>
        <w:t>système consolidé de publication</w:t>
      </w:r>
      <w:r>
        <w:rPr>
          <w:rFonts w:asciiTheme="minorHAnsi" w:hAnsiTheme="minorHAnsi"/>
          <w:i/>
          <w:sz w:val="24"/>
        </w:rPr>
        <w:t xml:space="preserve"> pour les actifs financiers. Ces initiatives viendront s’ajouter aux données émanant des entreprises de l’UE et des plateformes de négociation, respectivement. Le CESE a également approuvé la prolongation des </w:t>
      </w:r>
      <w:hyperlink r:id="rId32" w:history="1">
        <w:r>
          <w:rPr>
            <w:rStyle w:val="Hyperlink"/>
            <w:rFonts w:asciiTheme="minorHAnsi" w:hAnsiTheme="minorHAnsi"/>
            <w:b/>
            <w:i/>
            <w:sz w:val="24"/>
          </w:rPr>
          <w:t>dispositions transitoires relatives aux produits d’investissement de détail et aux produits d’assurance (PRIIP)</w:t>
        </w:r>
      </w:hyperlink>
      <w:r>
        <w:rPr>
          <w:rFonts w:asciiTheme="minorHAnsi" w:hAnsiTheme="minorHAnsi"/>
          <w:i/>
          <w:sz w:val="24"/>
        </w:rPr>
        <w:t xml:space="preserve"> et la révision de la directive concernant l’</w:t>
      </w:r>
      <w:hyperlink r:id="rId33" w:history="1">
        <w:r>
          <w:rPr>
            <w:rStyle w:val="Hyperlink"/>
            <w:rFonts w:asciiTheme="minorHAnsi" w:hAnsiTheme="minorHAnsi"/>
            <w:b/>
            <w:i/>
            <w:sz w:val="24"/>
          </w:rPr>
          <w:t>utilisation de documents d’informations clés par les sociétés de gestion d’OPCVM</w:t>
        </w:r>
      </w:hyperlink>
      <w:r>
        <w:rPr>
          <w:rFonts w:asciiTheme="minorHAnsi" w:hAnsiTheme="minorHAnsi"/>
          <w:i/>
          <w:sz w:val="24"/>
        </w:rPr>
        <w:t>.</w:t>
      </w:r>
    </w:p>
    <w:p w14:paraId="2F410297" w14:textId="77777777" w:rsidR="00F66A72" w:rsidRPr="005D38B7" w:rsidRDefault="00F66A72" w:rsidP="008F1557">
      <w:pPr>
        <w:ind w:left="567"/>
        <w:rPr>
          <w:rFonts w:asciiTheme="minorHAnsi" w:hAnsiTheme="minorHAnsi" w:cstheme="minorHAnsi"/>
          <w:i/>
          <w:iCs/>
          <w:sz w:val="24"/>
          <w:szCs w:val="24"/>
          <w:lang w:val="en-GB"/>
        </w:rPr>
      </w:pPr>
    </w:p>
    <w:p w14:paraId="567C2697" w14:textId="36256456" w:rsidR="00E21EBC" w:rsidRPr="005D38B7" w:rsidRDefault="00BC2E1D" w:rsidP="00E21EBC">
      <w:pPr>
        <w:ind w:left="567"/>
        <w:rPr>
          <w:rFonts w:asciiTheme="minorHAnsi" w:hAnsiTheme="minorHAnsi" w:cstheme="minorHAnsi"/>
          <w:i/>
          <w:iCs/>
          <w:sz w:val="24"/>
          <w:szCs w:val="24"/>
        </w:rPr>
      </w:pPr>
      <w:r>
        <w:rPr>
          <w:rFonts w:asciiTheme="minorHAnsi" w:hAnsiTheme="minorHAnsi"/>
          <w:i/>
          <w:sz w:val="24"/>
        </w:rPr>
        <w:t xml:space="preserve">La </w:t>
      </w:r>
      <w:hyperlink r:id="rId34" w:history="1">
        <w:r>
          <w:rPr>
            <w:rStyle w:val="Hyperlink"/>
            <w:rFonts w:asciiTheme="minorHAnsi" w:hAnsiTheme="minorHAnsi"/>
            <w:b/>
            <w:i/>
            <w:sz w:val="24"/>
          </w:rPr>
          <w:t>révision du règlement relatif aux fonds européens d’investissement à long terme (ELTIF)</w:t>
        </w:r>
      </w:hyperlink>
      <w:r>
        <w:rPr>
          <w:rFonts w:asciiTheme="minorHAnsi" w:hAnsiTheme="minorHAnsi"/>
          <w:i/>
          <w:sz w:val="24"/>
        </w:rPr>
        <w:t xml:space="preserve"> aura pour effet d’augmenter la flexibilité et de permettre aux investisseurs institutionnels et de détail d’accéder plus largement aux marchés financiers. Afin d’intégrer davantage de petites entreprises au marché des capitaux, le CESE a également formulé des remarques constructives sur les propositions relatives à de nouvelles </w:t>
      </w:r>
      <w:hyperlink r:id="rId35" w:history="1">
        <w:r>
          <w:rPr>
            <w:rStyle w:val="Hyperlink"/>
            <w:rFonts w:asciiTheme="minorHAnsi" w:hAnsiTheme="minorHAnsi"/>
            <w:b/>
            <w:i/>
            <w:sz w:val="24"/>
          </w:rPr>
          <w:t>règles de cotation pour les marchés publics</w:t>
        </w:r>
      </w:hyperlink>
      <w:r>
        <w:rPr>
          <w:rFonts w:asciiTheme="minorHAnsi" w:hAnsiTheme="minorHAnsi"/>
          <w:i/>
          <w:sz w:val="24"/>
        </w:rPr>
        <w:t>.</w:t>
      </w:r>
    </w:p>
    <w:p w14:paraId="73E165B0" w14:textId="77777777" w:rsidR="00E21EBC" w:rsidRPr="005D38B7" w:rsidRDefault="00E21EBC" w:rsidP="00E21EBC">
      <w:pPr>
        <w:ind w:left="567"/>
        <w:rPr>
          <w:rFonts w:asciiTheme="minorHAnsi" w:hAnsiTheme="minorHAnsi" w:cstheme="minorHAnsi"/>
          <w:i/>
          <w:iCs/>
          <w:sz w:val="24"/>
          <w:szCs w:val="24"/>
          <w:lang w:val="en-GB"/>
        </w:rPr>
      </w:pPr>
    </w:p>
    <w:p w14:paraId="7C40E0FC" w14:textId="2833DF01" w:rsidR="00E21EBC" w:rsidRPr="005D38B7" w:rsidRDefault="00E21EBC" w:rsidP="00E21EBC">
      <w:pPr>
        <w:ind w:left="567"/>
        <w:rPr>
          <w:rFonts w:asciiTheme="minorHAnsi" w:hAnsiTheme="minorHAnsi" w:cstheme="minorHAnsi"/>
          <w:i/>
          <w:iCs/>
          <w:sz w:val="24"/>
          <w:szCs w:val="24"/>
        </w:rPr>
      </w:pPr>
      <w:r>
        <w:rPr>
          <w:rFonts w:asciiTheme="minorHAnsi" w:hAnsiTheme="minorHAnsi"/>
          <w:i/>
          <w:sz w:val="24"/>
        </w:rPr>
        <w:t xml:space="preserve">Le CESE s’est félicité du </w:t>
      </w:r>
      <w:hyperlink r:id="rId36" w:history="1">
        <w:r>
          <w:rPr>
            <w:rStyle w:val="Hyperlink"/>
            <w:rFonts w:asciiTheme="minorHAnsi" w:hAnsiTheme="minorHAnsi"/>
            <w:b/>
            <w:i/>
            <w:sz w:val="24"/>
          </w:rPr>
          <w:t>réexamen du règlement relatif aux dépositaires centraux de titres</w:t>
        </w:r>
      </w:hyperlink>
      <w:r>
        <w:rPr>
          <w:rFonts w:asciiTheme="minorHAnsi" w:hAnsiTheme="minorHAnsi"/>
          <w:i/>
          <w:sz w:val="24"/>
        </w:rPr>
        <w:t>, qui vise à améliorer l’efficacité du système de compensation de l’Union</w:t>
      </w:r>
      <w:r w:rsidR="001335E4">
        <w:rPr>
          <w:rFonts w:asciiTheme="minorHAnsi" w:hAnsiTheme="minorHAnsi"/>
          <w:i/>
          <w:sz w:val="24"/>
        </w:rPr>
        <w:t> </w:t>
      </w:r>
      <w:r>
        <w:rPr>
          <w:rFonts w:asciiTheme="minorHAnsi" w:hAnsiTheme="minorHAnsi"/>
          <w:i/>
          <w:sz w:val="24"/>
        </w:rPr>
        <w:t>européenne.</w:t>
      </w:r>
    </w:p>
    <w:p w14:paraId="18106331" w14:textId="77777777" w:rsidR="00E21EBC" w:rsidRPr="005D38B7" w:rsidRDefault="00E21EBC" w:rsidP="00E21EBC">
      <w:pPr>
        <w:ind w:left="567"/>
        <w:rPr>
          <w:rFonts w:asciiTheme="minorHAnsi" w:hAnsiTheme="minorHAnsi" w:cstheme="minorHAnsi"/>
          <w:i/>
          <w:iCs/>
          <w:sz w:val="24"/>
          <w:szCs w:val="24"/>
          <w:lang w:val="en-GB"/>
        </w:rPr>
      </w:pPr>
    </w:p>
    <w:p w14:paraId="2820E70F" w14:textId="77777777" w:rsidR="00A52B7C" w:rsidRPr="005D38B7" w:rsidRDefault="00E21EBC" w:rsidP="00E21EBC">
      <w:pPr>
        <w:ind w:left="567"/>
        <w:rPr>
          <w:rFonts w:asciiTheme="minorHAnsi" w:hAnsiTheme="minorHAnsi" w:cstheme="minorHAnsi"/>
          <w:i/>
          <w:iCs/>
          <w:sz w:val="24"/>
          <w:szCs w:val="24"/>
        </w:rPr>
      </w:pPr>
      <w:r>
        <w:rPr>
          <w:rFonts w:asciiTheme="minorHAnsi" w:hAnsiTheme="minorHAnsi"/>
          <w:i/>
          <w:sz w:val="24"/>
        </w:rPr>
        <w:t>L’avis d’initiative sur le thème «</w:t>
      </w:r>
      <w:hyperlink r:id="rId37" w:history="1">
        <w:r>
          <w:rPr>
            <w:rStyle w:val="Hyperlink"/>
            <w:rFonts w:asciiTheme="minorHAnsi" w:hAnsiTheme="minorHAnsi"/>
            <w:b/>
            <w:i/>
            <w:sz w:val="24"/>
          </w:rPr>
          <w:t>Recapitalisation des entreprises de l’Union: une solution innovante pour une reprise durable et inclusive</w:t>
        </w:r>
      </w:hyperlink>
      <w:r>
        <w:rPr>
          <w:rFonts w:asciiTheme="minorHAnsi" w:hAnsiTheme="minorHAnsi"/>
          <w:i/>
          <w:sz w:val="24"/>
        </w:rPr>
        <w:t xml:space="preserve">» a proposé la création d’un instrument fortement subordonné à l’échelle de l’Union visant à renforcer la position financière de ses entreprises. Dans le cadre de l’élaboration de cet avis, une </w:t>
      </w:r>
      <w:hyperlink r:id="rId38" w:history="1">
        <w:r>
          <w:rPr>
            <w:rStyle w:val="Hyperlink"/>
            <w:rFonts w:asciiTheme="minorHAnsi" w:hAnsiTheme="minorHAnsi"/>
            <w:i/>
            <w:sz w:val="24"/>
          </w:rPr>
          <w:t>audition publique</w:t>
        </w:r>
      </w:hyperlink>
      <w:r>
        <w:rPr>
          <w:rFonts w:asciiTheme="minorHAnsi" w:hAnsiTheme="minorHAnsi"/>
          <w:i/>
          <w:sz w:val="24"/>
        </w:rPr>
        <w:t xml:space="preserve"> a été organisée en octobre 2022.</w:t>
      </w:r>
    </w:p>
    <w:p w14:paraId="5A84C735" w14:textId="7A9EFB2B" w:rsidR="00ED01B0" w:rsidRPr="005D38B7" w:rsidRDefault="00ED01B0" w:rsidP="00E21EBC">
      <w:pPr>
        <w:ind w:left="567"/>
        <w:rPr>
          <w:rFonts w:asciiTheme="minorHAnsi" w:hAnsiTheme="minorHAnsi" w:cstheme="minorHAnsi"/>
          <w:i/>
          <w:iCs/>
          <w:sz w:val="24"/>
          <w:szCs w:val="24"/>
          <w:lang w:val="en-GB"/>
        </w:rPr>
      </w:pPr>
    </w:p>
    <w:p w14:paraId="1D65AFA1" w14:textId="251C1744" w:rsidR="005A6D0D" w:rsidRPr="005D38B7" w:rsidRDefault="00C841B9" w:rsidP="00715EF0">
      <w:pPr>
        <w:pStyle w:val="Heading3"/>
        <w:numPr>
          <w:ilvl w:val="0"/>
          <w:numId w:val="0"/>
        </w:numPr>
        <w:shd w:val="clear" w:color="auto" w:fill="FFFFFF"/>
        <w:ind w:left="567"/>
        <w:rPr>
          <w:rFonts w:asciiTheme="minorHAnsi" w:hAnsiTheme="minorHAnsi" w:cstheme="minorHAnsi"/>
          <w:i/>
          <w:iCs/>
          <w:color w:val="424242"/>
          <w:sz w:val="24"/>
          <w:szCs w:val="24"/>
        </w:rPr>
      </w:pPr>
      <w:r>
        <w:rPr>
          <w:rFonts w:asciiTheme="minorHAnsi" w:hAnsiTheme="minorHAnsi"/>
          <w:i/>
          <w:sz w:val="24"/>
        </w:rPr>
        <w:t xml:space="preserve">Le CESE a accueilli favorablement la </w:t>
      </w:r>
      <w:hyperlink r:id="rId39" w:history="1">
        <w:r>
          <w:rPr>
            <w:rFonts w:asciiTheme="minorHAnsi" w:hAnsiTheme="minorHAnsi"/>
            <w:b/>
            <w:i/>
            <w:color w:val="034EA2"/>
            <w:sz w:val="24"/>
            <w:u w:val="single"/>
          </w:rPr>
          <w:t>stratégie renouvelée en matière de finance durable</w:t>
        </w:r>
      </w:hyperlink>
      <w:r>
        <w:rPr>
          <w:rFonts w:asciiTheme="minorHAnsi" w:hAnsiTheme="minorHAnsi"/>
          <w:i/>
          <w:sz w:val="24"/>
        </w:rPr>
        <w:t xml:space="preserve"> ainsi que l’initiative en faveur d’une </w:t>
      </w:r>
      <w:r>
        <w:rPr>
          <w:rFonts w:asciiTheme="minorHAnsi" w:hAnsiTheme="minorHAnsi"/>
          <w:b/>
          <w:i/>
          <w:color w:val="424242"/>
          <w:sz w:val="24"/>
        </w:rPr>
        <w:t xml:space="preserve"> </w:t>
      </w:r>
      <w:hyperlink r:id="rId40" w:history="1">
        <w:r>
          <w:rPr>
            <w:rStyle w:val="Hyperlink"/>
            <w:rFonts w:asciiTheme="minorHAnsi" w:hAnsiTheme="minorHAnsi"/>
            <w:b/>
            <w:i/>
            <w:color w:val="034EA2"/>
            <w:sz w:val="24"/>
          </w:rPr>
          <w:t>norme de l’Union européenne en matière d’obligations vertes</w:t>
        </w:r>
      </w:hyperlink>
      <w:r>
        <w:rPr>
          <w:i/>
          <w:iCs/>
        </w:rPr>
        <w:t>, qui aideront à rediriger les flux d’investissement.</w:t>
      </w:r>
      <w:r>
        <w:rPr>
          <w:rFonts w:asciiTheme="minorHAnsi" w:hAnsiTheme="minorHAnsi"/>
          <w:i/>
          <w:color w:val="424242"/>
          <w:sz w:val="24"/>
        </w:rPr>
        <w:t xml:space="preserve"> Le CESE a formulé une critique constructive de l’</w:t>
      </w:r>
      <w:hyperlink r:id="rId41" w:history="1">
        <w:r>
          <w:rPr>
            <w:rStyle w:val="Hyperlink"/>
            <w:rFonts w:asciiTheme="minorHAnsi" w:hAnsiTheme="minorHAnsi"/>
            <w:b/>
            <w:i/>
            <w:sz w:val="24"/>
          </w:rPr>
          <w:t>acte délégué sur les critères liés au changement climatique dans la taxinomie de la finance durable</w:t>
        </w:r>
      </w:hyperlink>
      <w:r>
        <w:rPr>
          <w:rFonts w:asciiTheme="minorHAnsi" w:hAnsiTheme="minorHAnsi"/>
          <w:i/>
          <w:color w:val="424242"/>
          <w:sz w:val="24"/>
        </w:rPr>
        <w:t xml:space="preserve">. Dans un avis d’initiative, le Comité a plaidé en faveur d’une </w:t>
      </w:r>
      <w:hyperlink r:id="rId42" w:history="1">
        <w:r>
          <w:rPr>
            <w:rStyle w:val="Hyperlink"/>
            <w:rFonts w:asciiTheme="minorHAnsi" w:hAnsiTheme="minorHAnsi"/>
            <w:b/>
            <w:i/>
            <w:sz w:val="24"/>
          </w:rPr>
          <w:t>taxinomie sociale</w:t>
        </w:r>
      </w:hyperlink>
      <w:r>
        <w:rPr>
          <w:rFonts w:asciiTheme="minorHAnsi" w:hAnsiTheme="minorHAnsi"/>
          <w:i/>
          <w:color w:val="424242"/>
          <w:sz w:val="24"/>
        </w:rPr>
        <w:t xml:space="preserve"> viable d’un point de vue opérationnel et rigoureuse sur le plan conceptuel et a souligné que la taxinomie de l’Union pour les investissements durables devrait s’inscrire dans le cadre d’une approche holistique fondée sur une durabilité environnementale, mais aussi sociale.</w:t>
      </w:r>
    </w:p>
    <w:p w14:paraId="78C44F15" w14:textId="7DFC53F9" w:rsidR="005A6D0D" w:rsidRPr="005D38B7" w:rsidRDefault="005A6D0D" w:rsidP="00E21EBC">
      <w:pPr>
        <w:ind w:left="567"/>
        <w:rPr>
          <w:rFonts w:asciiTheme="minorHAnsi" w:hAnsiTheme="minorHAnsi" w:cstheme="minorHAnsi"/>
          <w:i/>
          <w:iCs/>
          <w:sz w:val="24"/>
          <w:szCs w:val="24"/>
          <w:lang w:val="en-GB"/>
        </w:rPr>
      </w:pPr>
    </w:p>
    <w:p w14:paraId="67D0F0C5" w14:textId="19922506" w:rsidR="00715EF0" w:rsidRPr="005D38B7" w:rsidRDefault="00D7078C" w:rsidP="00715EF0">
      <w:pPr>
        <w:ind w:left="567"/>
        <w:rPr>
          <w:rFonts w:asciiTheme="minorHAnsi" w:hAnsiTheme="minorHAnsi" w:cstheme="minorHAnsi"/>
          <w:i/>
          <w:iCs/>
          <w:sz w:val="24"/>
          <w:szCs w:val="24"/>
        </w:rPr>
      </w:pPr>
      <w:r>
        <w:rPr>
          <w:rFonts w:asciiTheme="minorHAnsi" w:hAnsiTheme="minorHAnsi"/>
          <w:i/>
          <w:sz w:val="24"/>
        </w:rPr>
        <w:t xml:space="preserve">En ce qui concerne la </w:t>
      </w:r>
      <w:hyperlink r:id="rId43" w:history="1">
        <w:r>
          <w:rPr>
            <w:rStyle w:val="Hyperlink"/>
            <w:rFonts w:asciiTheme="minorHAnsi" w:hAnsiTheme="minorHAnsi"/>
            <w:b/>
            <w:i/>
            <w:sz w:val="24"/>
          </w:rPr>
          <w:t>stratégie en matière de finance numérique</w:t>
        </w:r>
      </w:hyperlink>
      <w:r>
        <w:rPr>
          <w:rFonts w:asciiTheme="minorHAnsi" w:hAnsiTheme="minorHAnsi"/>
          <w:i/>
          <w:sz w:val="24"/>
        </w:rPr>
        <w:t xml:space="preserve">, le CESE a notamment demandé que le principe «même activité, mêmes risques, mêmes règles» soit appliqué aux innovations financières. Le CESE a également analysé en détail les </w:t>
      </w:r>
      <w:hyperlink r:id="rId44" w:history="1">
        <w:r>
          <w:rPr>
            <w:rStyle w:val="Hyperlink"/>
            <w:rFonts w:asciiTheme="minorHAnsi" w:hAnsiTheme="minorHAnsi"/>
            <w:b/>
            <w:i/>
            <w:sz w:val="24"/>
          </w:rPr>
          <w:t xml:space="preserve">enjeux et possibilités liés aux </w:t>
        </w:r>
        <w:proofErr w:type="spellStart"/>
        <w:r>
          <w:rPr>
            <w:rStyle w:val="Hyperlink"/>
            <w:rFonts w:asciiTheme="minorHAnsi" w:hAnsiTheme="minorHAnsi"/>
            <w:b/>
            <w:i/>
            <w:sz w:val="24"/>
          </w:rPr>
          <w:t>crypto-actifs</w:t>
        </w:r>
        <w:proofErr w:type="spellEnd"/>
      </w:hyperlink>
      <w:r>
        <w:rPr>
          <w:rFonts w:asciiTheme="minorHAnsi" w:hAnsiTheme="minorHAnsi"/>
          <w:i/>
          <w:sz w:val="24"/>
        </w:rPr>
        <w:t xml:space="preserve"> et a formulé des observations sur la proposition législative concernant les </w:t>
      </w:r>
      <w:hyperlink r:id="rId45" w:history="1">
        <w:proofErr w:type="spellStart"/>
        <w:r>
          <w:rPr>
            <w:rStyle w:val="Hyperlink"/>
            <w:rFonts w:asciiTheme="minorHAnsi" w:hAnsiTheme="minorHAnsi"/>
            <w:b/>
            <w:i/>
            <w:sz w:val="24"/>
          </w:rPr>
          <w:t>crypto-actifs</w:t>
        </w:r>
        <w:proofErr w:type="spellEnd"/>
        <w:r>
          <w:rPr>
            <w:rStyle w:val="Hyperlink"/>
            <w:rFonts w:asciiTheme="minorHAnsi" w:hAnsiTheme="minorHAnsi"/>
            <w:b/>
            <w:i/>
            <w:sz w:val="24"/>
          </w:rPr>
          <w:t xml:space="preserve"> et la technologie des registres distribués</w:t>
        </w:r>
      </w:hyperlink>
      <w:r>
        <w:t>.</w:t>
      </w:r>
    </w:p>
    <w:p w14:paraId="413146C8" w14:textId="77777777" w:rsidR="00916F00" w:rsidRPr="005D38B7" w:rsidRDefault="00916F00" w:rsidP="00715EF0">
      <w:pPr>
        <w:ind w:left="567"/>
        <w:rPr>
          <w:rFonts w:asciiTheme="minorHAnsi" w:hAnsiTheme="minorHAnsi" w:cstheme="minorHAnsi"/>
          <w:i/>
          <w:iCs/>
          <w:sz w:val="24"/>
          <w:szCs w:val="24"/>
          <w:lang w:val="en-GB"/>
        </w:rPr>
      </w:pPr>
    </w:p>
    <w:p w14:paraId="4D122C51" w14:textId="1A10D4BB" w:rsidR="00715EF0" w:rsidRPr="005D38B7" w:rsidRDefault="00DA633E" w:rsidP="00E21EBC">
      <w:pPr>
        <w:ind w:left="567"/>
        <w:rPr>
          <w:rFonts w:asciiTheme="minorHAnsi" w:hAnsiTheme="minorHAnsi" w:cstheme="minorHAnsi"/>
          <w:i/>
          <w:iCs/>
          <w:sz w:val="24"/>
          <w:szCs w:val="24"/>
        </w:rPr>
      </w:pPr>
      <w:r>
        <w:rPr>
          <w:rFonts w:asciiTheme="minorHAnsi" w:hAnsiTheme="minorHAnsi"/>
          <w:i/>
          <w:sz w:val="24"/>
        </w:rPr>
        <w:t xml:space="preserve">Dans son avis sur le </w:t>
      </w:r>
      <w:hyperlink r:id="rId46" w:history="1">
        <w:r>
          <w:rPr>
            <w:rStyle w:val="Hyperlink"/>
            <w:rFonts w:asciiTheme="minorHAnsi" w:hAnsiTheme="minorHAnsi"/>
            <w:b/>
            <w:i/>
            <w:sz w:val="24"/>
          </w:rPr>
          <w:t>train de mesures législatives relatives à la lutte contre le blanchiment de capitaux</w:t>
        </w:r>
      </w:hyperlink>
      <w:r>
        <w:rPr>
          <w:rFonts w:asciiTheme="minorHAnsi" w:hAnsiTheme="minorHAnsi"/>
          <w:i/>
          <w:sz w:val="24"/>
        </w:rPr>
        <w:t>, le CESE a réitéré son appel en faveur d’un pacte social et</w:t>
      </w:r>
      <w:r w:rsidR="001335E4">
        <w:rPr>
          <w:rFonts w:asciiTheme="minorHAnsi" w:hAnsiTheme="minorHAnsi"/>
          <w:i/>
          <w:sz w:val="24"/>
        </w:rPr>
        <w:t> </w:t>
      </w:r>
      <w:r>
        <w:rPr>
          <w:rFonts w:asciiTheme="minorHAnsi" w:hAnsiTheme="minorHAnsi"/>
          <w:i/>
          <w:sz w:val="24"/>
        </w:rPr>
        <w:t xml:space="preserve">politique européen pour lutter contre les comportements qui portent atteinte aux principes éthiques et politiques de nos démocraties et nuisent aux biens publics. </w:t>
      </w:r>
    </w:p>
    <w:p w14:paraId="1F739AE4" w14:textId="77777777" w:rsidR="008A1287" w:rsidRPr="005D38B7" w:rsidRDefault="008A1287" w:rsidP="00E21EBC">
      <w:pPr>
        <w:ind w:left="567"/>
        <w:rPr>
          <w:sz w:val="32"/>
          <w:szCs w:val="32"/>
          <w:lang w:val="en-GB"/>
        </w:rPr>
      </w:pPr>
    </w:p>
    <w:p w14:paraId="0DB8CBF2" w14:textId="77777777" w:rsidR="006734EE" w:rsidRPr="005D38B7" w:rsidRDefault="006734EE" w:rsidP="00841A69">
      <w:pPr>
        <w:pStyle w:val="Heading1"/>
        <w:keepNext/>
        <w:numPr>
          <w:ilvl w:val="0"/>
          <w:numId w:val="0"/>
        </w:numPr>
      </w:pPr>
      <w:r>
        <w:rPr>
          <w:rFonts w:asciiTheme="majorHAnsi" w:hAnsiTheme="majorHAnsi"/>
          <w:color w:val="0070C0"/>
          <w:sz w:val="32"/>
        </w:rPr>
        <w:lastRenderedPageBreak/>
        <w:t>Le budget de l’Union européenne et le plan de relance</w:t>
      </w:r>
    </w:p>
    <w:p w14:paraId="0574BB1D" w14:textId="77777777" w:rsidR="006734EE" w:rsidRPr="005D38B7" w:rsidRDefault="006734E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84864" behindDoc="0" locked="0" layoutInCell="1" allowOverlap="1" wp14:anchorId="0A1472AA" wp14:editId="4D7F96A2">
                <wp:simplePos x="0" y="0"/>
                <wp:positionH relativeFrom="column">
                  <wp:posOffset>13969</wp:posOffset>
                </wp:positionH>
                <wp:positionV relativeFrom="paragraph">
                  <wp:posOffset>50027</wp:posOffset>
                </wp:positionV>
                <wp:extent cx="5661329" cy="15903"/>
                <wp:effectExtent l="0" t="0" r="34925" b="22225"/>
                <wp:wrapNone/>
                <wp:docPr id="13" name="Straight Connector 13"/>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3"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10D23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">
                <v:stroke joinstyle="miter"/>
              </v:line>
            </w:pict>
          </mc:Fallback>
        </mc:AlternateContent>
      </w:r>
    </w:p>
    <w:p w14:paraId="7426A853" w14:textId="13D619CB" w:rsidR="006734EE" w:rsidRPr="005D38B7" w:rsidRDefault="006734EE" w:rsidP="000A61C5">
      <w:pPr>
        <w:pStyle w:val="Heading3"/>
        <w:numPr>
          <w:ilvl w:val="0"/>
          <w:numId w:val="0"/>
        </w:numPr>
        <w:ind w:left="567"/>
        <w:rPr>
          <w:rFonts w:asciiTheme="minorHAnsi" w:hAnsiTheme="minorHAnsi" w:cstheme="minorHAnsi"/>
          <w:i/>
          <w:iCs/>
          <w:sz w:val="24"/>
          <w:szCs w:val="24"/>
        </w:rPr>
      </w:pPr>
      <w:r>
        <w:rPr>
          <w:rFonts w:asciiTheme="minorHAnsi" w:hAnsiTheme="minorHAnsi"/>
          <w:i/>
          <w:sz w:val="24"/>
        </w:rPr>
        <w:t xml:space="preserve">Le CESE a publié son avis sur la </w:t>
      </w:r>
      <w:hyperlink r:id="rId47" w:history="1">
        <w:r>
          <w:rPr>
            <w:rStyle w:val="Hyperlink"/>
            <w:rFonts w:asciiTheme="minorHAnsi" w:hAnsiTheme="minorHAnsi"/>
            <w:b/>
            <w:i/>
            <w:sz w:val="24"/>
          </w:rPr>
          <w:t xml:space="preserve">stratégie de financement </w:t>
        </w:r>
        <w:proofErr w:type="spellStart"/>
        <w:r>
          <w:rPr>
            <w:rStyle w:val="Hyperlink"/>
            <w:rFonts w:asciiTheme="minorHAnsi" w:hAnsiTheme="minorHAnsi"/>
            <w:b/>
            <w:i/>
            <w:sz w:val="24"/>
          </w:rPr>
          <w:t>NextGenerationEU</w:t>
        </w:r>
        <w:proofErr w:type="spellEnd"/>
      </w:hyperlink>
      <w:r>
        <w:rPr>
          <w:rFonts w:asciiTheme="minorHAnsi" w:hAnsiTheme="minorHAnsi"/>
          <w:i/>
          <w:sz w:val="24"/>
        </w:rPr>
        <w:t>, dans lequel il souligne combien il est important que la Commission gère directement la stratégie de financement et s’abstienne de l’externaliser. Il a fait observer qu’un financement sain et</w:t>
      </w:r>
      <w:r w:rsidR="001335E4">
        <w:rPr>
          <w:rFonts w:asciiTheme="minorHAnsi" w:hAnsiTheme="minorHAnsi"/>
          <w:i/>
          <w:sz w:val="24"/>
        </w:rPr>
        <w:t> </w:t>
      </w:r>
      <w:r>
        <w:rPr>
          <w:rFonts w:asciiTheme="minorHAnsi" w:hAnsiTheme="minorHAnsi"/>
          <w:i/>
          <w:sz w:val="24"/>
        </w:rPr>
        <w:t xml:space="preserve">durable et une gestion rigoureuse des risques étaient dans l’intérêt de tous, et que la gestion des emprunts et de la dette devait reposer sur le contrôle démocratique, la légitimité et la transparence. Dans son avis sur la </w:t>
      </w:r>
      <w:hyperlink r:id="rId48" w:history="1">
        <w:r>
          <w:rPr>
            <w:rStyle w:val="Hyperlink"/>
            <w:rFonts w:asciiTheme="minorHAnsi" w:hAnsiTheme="minorHAnsi"/>
            <w:b/>
            <w:i/>
            <w:sz w:val="24"/>
          </w:rPr>
          <w:t>proposition de décision relative aux ressources propres</w:t>
        </w:r>
      </w:hyperlink>
      <w:r>
        <w:rPr>
          <w:rFonts w:asciiTheme="minorHAnsi" w:hAnsiTheme="minorHAnsi"/>
          <w:i/>
          <w:sz w:val="24"/>
        </w:rPr>
        <w:t xml:space="preserve">, le CESE a relevé qu’un consensus était indispensable pour qu’il soit possible d’ajouter de nouvelles ressources propres à celles dont l’Union européenne dispose déjà, afin de rembourser la dette résultant des emprunts contractés pour les besoins de l’initiative </w:t>
      </w:r>
      <w:proofErr w:type="spellStart"/>
      <w:r>
        <w:rPr>
          <w:rFonts w:asciiTheme="minorHAnsi" w:hAnsiTheme="minorHAnsi"/>
          <w:i/>
          <w:sz w:val="24"/>
        </w:rPr>
        <w:t>NextGenerationEU</w:t>
      </w:r>
      <w:proofErr w:type="spellEnd"/>
      <w:r>
        <w:rPr>
          <w:rFonts w:asciiTheme="minorHAnsi" w:hAnsiTheme="minorHAnsi"/>
          <w:i/>
          <w:sz w:val="24"/>
        </w:rPr>
        <w:t>, sans mettre en péril les budgets de ses autres programmes et instruments, ni augmenter fortement la contribution des États membres au titre de la ressource propre fondée sur le revenu national brut (RNB).</w:t>
      </w:r>
    </w:p>
    <w:p w14:paraId="7AEB80A7" w14:textId="74F686BE" w:rsidR="003C5B4E" w:rsidRPr="005D38B7" w:rsidRDefault="003C5B4E" w:rsidP="00E004D3">
      <w:pPr>
        <w:spacing w:line="240" w:lineRule="auto"/>
        <w:rPr>
          <w:rFonts w:asciiTheme="majorHAnsi" w:hAnsiTheme="majorHAnsi" w:cstheme="minorHAnsi"/>
          <w:color w:val="0070C0"/>
          <w:sz w:val="32"/>
          <w:lang w:val="en-GB"/>
        </w:rPr>
      </w:pPr>
    </w:p>
    <w:p w14:paraId="37B373F4" w14:textId="4A0BF9EC" w:rsidR="003C5B4E" w:rsidRPr="005D38B7" w:rsidRDefault="00AA0048" w:rsidP="00841A69">
      <w:pPr>
        <w:pStyle w:val="Heading1"/>
        <w:keepNext/>
        <w:numPr>
          <w:ilvl w:val="0"/>
          <w:numId w:val="0"/>
        </w:numPr>
      </w:pPr>
      <w:r>
        <w:rPr>
          <w:rFonts w:asciiTheme="majorHAnsi" w:hAnsiTheme="majorHAnsi"/>
          <w:color w:val="0070C0"/>
          <w:sz w:val="32"/>
        </w:rPr>
        <w:t>La politique de cohésion</w:t>
      </w:r>
    </w:p>
    <w:p w14:paraId="5FA145A7" w14:textId="77777777" w:rsidR="00714BD7" w:rsidRPr="005D38B7" w:rsidRDefault="003C5B4E" w:rsidP="00841A69">
      <w:pPr>
        <w:keepNext/>
        <w:spacing w:line="240" w:lineRule="auto"/>
        <w:rPr>
          <w:sz w:val="24"/>
          <w:szCs w:val="24"/>
        </w:rPr>
      </w:pPr>
      <w:r>
        <w:rPr>
          <w:rFonts w:asciiTheme="majorHAnsi" w:hAnsiTheme="majorHAnsi"/>
          <w:noProof/>
          <w:color w:val="0070C0"/>
          <w:sz w:val="32"/>
        </w:rPr>
        <mc:AlternateContent>
          <mc:Choice Requires="wps">
            <w:drawing>
              <wp:anchor distT="0" distB="0" distL="114300" distR="114300" simplePos="0" relativeHeight="251666432" behindDoc="0" locked="0" layoutInCell="1" allowOverlap="1" wp14:anchorId="41FB5604" wp14:editId="621FBD47">
                <wp:simplePos x="0" y="0"/>
                <wp:positionH relativeFrom="column">
                  <wp:posOffset>13969</wp:posOffset>
                </wp:positionH>
                <wp:positionV relativeFrom="paragraph">
                  <wp:posOffset>50027</wp:posOffset>
                </wp:positionV>
                <wp:extent cx="5661329" cy="15903"/>
                <wp:effectExtent l="0" t="0" r="34925" b="22225"/>
                <wp:wrapNone/>
                <wp:docPr id="9" name="Straight Connector 9"/>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7A41F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">
                <v:stroke joinstyle="miter"/>
              </v:line>
            </w:pict>
          </mc:Fallback>
        </mc:AlternateContent>
      </w:r>
    </w:p>
    <w:p w14:paraId="1955EF1E" w14:textId="6EBD64D7" w:rsidR="00ED01B0" w:rsidRPr="005D38B7" w:rsidRDefault="00714BD7" w:rsidP="005F7F74">
      <w:pPr>
        <w:pStyle w:val="Heading1"/>
        <w:numPr>
          <w:ilvl w:val="0"/>
          <w:numId w:val="0"/>
        </w:numPr>
        <w:ind w:left="567"/>
        <w:rPr>
          <w:rFonts w:asciiTheme="minorHAnsi" w:hAnsiTheme="minorHAnsi"/>
          <w:i/>
          <w:sz w:val="24"/>
          <w:szCs w:val="24"/>
        </w:rPr>
      </w:pPr>
      <w:r>
        <w:rPr>
          <w:rFonts w:asciiTheme="minorHAnsi" w:hAnsiTheme="minorHAnsi"/>
          <w:i/>
          <w:sz w:val="24"/>
        </w:rPr>
        <w:t>La politique de cohésion a joué un rôle important pour lutter contre les conséquences économiques de la crise de la COVID-19 et contre la crise économique et sociale déclenchée par la guerre en Ukraine. Le CESE a adopté sans attendre des avis d’une grande importance sur la proposition législative concernant l’</w:t>
      </w:r>
      <w:hyperlink r:id="rId49" w:history="1">
        <w:r>
          <w:rPr>
            <w:rStyle w:val="Hyperlink"/>
            <w:rFonts w:asciiTheme="minorHAnsi" w:hAnsiTheme="minorHAnsi"/>
            <w:b/>
            <w:i/>
            <w:sz w:val="24"/>
          </w:rPr>
          <w:t>augmentation du préfinancement provenant des ressources REACT-EU</w:t>
        </w:r>
      </w:hyperlink>
      <w:r>
        <w:rPr>
          <w:rFonts w:asciiTheme="minorHAnsi" w:hAnsiTheme="minorHAnsi"/>
          <w:i/>
          <w:sz w:val="24"/>
        </w:rPr>
        <w:t>, qui vise à créer, dans un premier temps, le programme d’action de cohésion pour les réfugiés en Europe (CARE), puis sur la proposition relative à l’</w:t>
      </w:r>
      <w:hyperlink r:id="rId50" w:history="1">
        <w:r>
          <w:rPr>
            <w:rStyle w:val="Hyperlink"/>
            <w:rFonts w:asciiTheme="minorHAnsi" w:hAnsiTheme="minorHAnsi"/>
            <w:b/>
            <w:i/>
            <w:sz w:val="24"/>
          </w:rPr>
          <w:t>assistance flexible aux territoires (FAST-CARE)</w:t>
        </w:r>
      </w:hyperlink>
      <w:r>
        <w:rPr>
          <w:rFonts w:asciiTheme="minorHAnsi" w:hAnsiTheme="minorHAnsi"/>
          <w:i/>
          <w:sz w:val="24"/>
        </w:rPr>
        <w:t xml:space="preserve">. Le CESE a également adopté un avis sur le </w:t>
      </w:r>
      <w:hyperlink r:id="rId51" w:history="1">
        <w:r>
          <w:rPr>
            <w:rStyle w:val="Hyperlink"/>
            <w:rFonts w:asciiTheme="minorHAnsi" w:hAnsiTheme="minorHAnsi"/>
            <w:b/>
            <w:i/>
            <w:sz w:val="24"/>
          </w:rPr>
          <w:t>huitième rapport sur la cohésion</w:t>
        </w:r>
      </w:hyperlink>
      <w:r>
        <w:rPr>
          <w:rFonts w:asciiTheme="minorHAnsi" w:hAnsiTheme="minorHAnsi"/>
          <w:i/>
          <w:sz w:val="24"/>
        </w:rPr>
        <w:t>, dans lequel il a constaté que des disparités excessives persistaient entre les régions et que la convergence n’atteignait pas encore le niveau attendu. Les partenaires de la société civile, s’appuyant sur le principe de partenariat et la gouvernance à plusieurs niveaux, jouent un rôle important dans la réalisation des objectifs de cohésion territoriale, économique et sociale.</w:t>
      </w:r>
    </w:p>
    <w:p w14:paraId="22FD3F2D" w14:textId="686D6A07" w:rsidR="007E66A5" w:rsidRPr="005D38B7" w:rsidRDefault="007E66A5" w:rsidP="00714BD7">
      <w:pPr>
        <w:spacing w:line="240" w:lineRule="auto"/>
        <w:rPr>
          <w:rFonts w:asciiTheme="minorHAnsi" w:hAnsiTheme="minorHAnsi" w:cstheme="minorHAnsi"/>
          <w:i/>
          <w:kern w:val="28"/>
          <w:sz w:val="24"/>
          <w:szCs w:val="24"/>
          <w:lang w:val="en-GB"/>
        </w:rPr>
      </w:pPr>
    </w:p>
    <w:p w14:paraId="48896FBA" w14:textId="5E5540BB" w:rsidR="007E66A5" w:rsidRPr="005D38B7" w:rsidRDefault="00572922" w:rsidP="005F7F74">
      <w:pPr>
        <w:pStyle w:val="Heading1"/>
        <w:numPr>
          <w:ilvl w:val="0"/>
          <w:numId w:val="0"/>
        </w:numPr>
        <w:ind w:left="567"/>
        <w:rPr>
          <w:rFonts w:asciiTheme="minorHAnsi" w:hAnsiTheme="minorHAnsi"/>
          <w:i/>
          <w:sz w:val="24"/>
          <w:szCs w:val="24"/>
        </w:rPr>
      </w:pPr>
      <w:r>
        <w:rPr>
          <w:rFonts w:asciiTheme="minorHAnsi" w:hAnsiTheme="minorHAnsi"/>
          <w:i/>
          <w:sz w:val="24"/>
        </w:rPr>
        <w:t xml:space="preserve">En outre, le CESE a contribué au débat sur les </w:t>
      </w:r>
      <w:hyperlink r:id="rId52" w:history="1">
        <w:r>
          <w:rPr>
            <w:rStyle w:val="Hyperlink"/>
            <w:rFonts w:asciiTheme="minorHAnsi" w:hAnsiTheme="minorHAnsi"/>
            <w:b/>
            <w:i/>
            <w:sz w:val="24"/>
          </w:rPr>
          <w:t>complémentarités et chevauchements entre la politique de cohésion et la facilité pour la reprise et la résilience (FRR)</w:t>
        </w:r>
      </w:hyperlink>
      <w:r>
        <w:rPr>
          <w:rFonts w:asciiTheme="minorHAnsi" w:hAnsiTheme="minorHAnsi"/>
          <w:i/>
          <w:sz w:val="24"/>
        </w:rPr>
        <w:t xml:space="preserve">, et a été l’une des premières institutions à mettre en évidence les difficultés qui se posaient pour </w:t>
      </w:r>
      <w:r>
        <w:rPr>
          <w:rFonts w:asciiTheme="minorHAnsi" w:hAnsiTheme="minorHAnsi"/>
          <w:i/>
          <w:sz w:val="24"/>
        </w:rPr>
        <w:lastRenderedPageBreak/>
        <w:t>garantir la cohérence et les synergies entre les fonds relevant de la politique de cohésion et la FRR.</w:t>
      </w:r>
    </w:p>
    <w:p w14:paraId="2F605749" w14:textId="1E015613" w:rsidR="00714BD7" w:rsidRPr="005D38B7" w:rsidRDefault="00714BD7" w:rsidP="005F7F74">
      <w:pPr>
        <w:pStyle w:val="Heading1"/>
        <w:numPr>
          <w:ilvl w:val="0"/>
          <w:numId w:val="0"/>
        </w:numPr>
        <w:ind w:left="567"/>
        <w:rPr>
          <w:rFonts w:asciiTheme="minorHAnsi" w:hAnsiTheme="minorHAnsi"/>
          <w:i/>
          <w:sz w:val="24"/>
          <w:szCs w:val="24"/>
          <w:lang w:val="en-GB"/>
        </w:rPr>
      </w:pPr>
    </w:p>
    <w:p w14:paraId="344FE67A" w14:textId="40169E80" w:rsidR="00714BD7" w:rsidRPr="005D38B7" w:rsidRDefault="00F931FE" w:rsidP="005F7F74">
      <w:pPr>
        <w:pStyle w:val="Heading1"/>
        <w:numPr>
          <w:ilvl w:val="0"/>
          <w:numId w:val="0"/>
        </w:numPr>
        <w:ind w:left="567"/>
        <w:rPr>
          <w:rFonts w:asciiTheme="minorHAnsi" w:hAnsiTheme="minorHAnsi"/>
          <w:i/>
          <w:sz w:val="24"/>
          <w:szCs w:val="24"/>
        </w:rPr>
      </w:pPr>
      <w:r>
        <w:rPr>
          <w:rFonts w:asciiTheme="minorHAnsi" w:hAnsiTheme="minorHAnsi"/>
          <w:i/>
          <w:sz w:val="24"/>
        </w:rPr>
        <w:t xml:space="preserve">Le CESE a adopté un avis sur les </w:t>
      </w:r>
      <w:hyperlink r:id="rId53" w:history="1">
        <w:r>
          <w:rPr>
            <w:rStyle w:val="Hyperlink"/>
            <w:rFonts w:asciiTheme="minorHAnsi" w:hAnsiTheme="minorHAnsi"/>
            <w:b/>
            <w:i/>
            <w:sz w:val="24"/>
          </w:rPr>
          <w:t>atouts des régions ultrapériphériques pour l’Union européenne</w:t>
        </w:r>
      </w:hyperlink>
      <w:r>
        <w:rPr>
          <w:rFonts w:asciiTheme="minorHAnsi" w:hAnsiTheme="minorHAnsi"/>
          <w:i/>
          <w:sz w:val="24"/>
        </w:rPr>
        <w:t xml:space="preserve"> à la demande de la présidence française du Conseil de l’Union européenne, dans le cadre duquel toutes les organisations de la société civile des trois États membres possédant ce type de régions (à savoir la France, le Portugal et l’Espagne) ont exprimé leurs points de vue lors d’une </w:t>
      </w:r>
      <w:hyperlink r:id="rId54" w:history="1">
        <w:r>
          <w:rPr>
            <w:rStyle w:val="Hyperlink"/>
            <w:rFonts w:asciiTheme="minorHAnsi" w:hAnsiTheme="minorHAnsi"/>
            <w:i/>
            <w:sz w:val="24"/>
          </w:rPr>
          <w:t>audition</w:t>
        </w:r>
      </w:hyperlink>
      <w:r>
        <w:rPr>
          <w:rFonts w:asciiTheme="minorHAnsi" w:hAnsiTheme="minorHAnsi"/>
          <w:i/>
          <w:sz w:val="24"/>
        </w:rPr>
        <w:t xml:space="preserve"> publique. Les résultats de cette audition et de cet avis ont constitué une précieuse contribution à la communication de la Commission européenne sur la nouvelle stratégie en faveur des régions ultrapériphériques.</w:t>
      </w:r>
    </w:p>
    <w:p w14:paraId="718C1770" w14:textId="266C2949" w:rsidR="00B21BCC" w:rsidRPr="005D38B7" w:rsidRDefault="00B21BCC" w:rsidP="00714BD7">
      <w:pPr>
        <w:spacing w:line="240" w:lineRule="auto"/>
        <w:rPr>
          <w:rFonts w:asciiTheme="minorHAnsi" w:hAnsiTheme="minorHAnsi" w:cstheme="minorHAnsi"/>
          <w:i/>
          <w:kern w:val="28"/>
          <w:sz w:val="24"/>
          <w:szCs w:val="24"/>
          <w:lang w:val="en-GB"/>
        </w:rPr>
      </w:pPr>
    </w:p>
    <w:p w14:paraId="707E9997" w14:textId="4DE2D445" w:rsidR="003C5B4E" w:rsidRPr="005D38B7" w:rsidRDefault="00B21BCC" w:rsidP="00CA2423">
      <w:pPr>
        <w:pStyle w:val="Heading1"/>
        <w:numPr>
          <w:ilvl w:val="0"/>
          <w:numId w:val="0"/>
        </w:numPr>
        <w:ind w:left="567"/>
        <w:rPr>
          <w:rFonts w:asciiTheme="minorHAnsi" w:hAnsiTheme="minorHAnsi"/>
          <w:i/>
          <w:sz w:val="24"/>
          <w:szCs w:val="24"/>
        </w:rPr>
      </w:pPr>
      <w:r>
        <w:rPr>
          <w:rFonts w:asciiTheme="minorHAnsi" w:hAnsiTheme="minorHAnsi"/>
          <w:i/>
          <w:sz w:val="24"/>
        </w:rPr>
        <w:t xml:space="preserve">S’agissant de la cohésion territoriale et du programme urbain, le CESE a reçu une saisine de la présidence tchèque du Conseil l’invitant à contribuer au débat sur les nouveaux </w:t>
      </w:r>
      <w:hyperlink r:id="rId55" w:history="1">
        <w:r>
          <w:rPr>
            <w:rStyle w:val="Hyperlink"/>
            <w:rFonts w:asciiTheme="minorHAnsi" w:hAnsiTheme="minorHAnsi"/>
            <w:b/>
            <w:i/>
            <w:sz w:val="24"/>
          </w:rPr>
          <w:t>partenariats thématiques dans le cadre de l’accord de Ljubljana</w:t>
        </w:r>
      </w:hyperlink>
      <w:r>
        <w:rPr>
          <w:rFonts w:asciiTheme="minorHAnsi" w:hAnsiTheme="minorHAnsi"/>
          <w:i/>
          <w:sz w:val="24"/>
        </w:rPr>
        <w:t>, qui promeuvent des approches à plusieurs niveaux et multipartites en matière de développement urbain durable.</w:t>
      </w:r>
    </w:p>
    <w:p w14:paraId="2B8C57A2" w14:textId="77777777" w:rsidR="00237B1E" w:rsidRPr="005D38B7" w:rsidRDefault="00237B1E" w:rsidP="00AA0048">
      <w:pPr>
        <w:spacing w:line="240" w:lineRule="auto"/>
        <w:rPr>
          <w:rFonts w:asciiTheme="majorHAnsi" w:hAnsiTheme="majorHAnsi" w:cstheme="minorHAnsi"/>
          <w:color w:val="0070C0"/>
          <w:sz w:val="32"/>
          <w:lang w:val="en-GB"/>
        </w:rPr>
      </w:pPr>
    </w:p>
    <w:p w14:paraId="3DEEC592" w14:textId="420AB1E0" w:rsidR="00AA0048" w:rsidRPr="005D38B7" w:rsidRDefault="00AA0048" w:rsidP="00841A69">
      <w:pPr>
        <w:pStyle w:val="Heading1"/>
        <w:keepNext/>
        <w:numPr>
          <w:ilvl w:val="0"/>
          <w:numId w:val="0"/>
        </w:numPr>
      </w:pPr>
      <w:r>
        <w:rPr>
          <w:rFonts w:asciiTheme="majorHAnsi" w:hAnsiTheme="majorHAnsi"/>
          <w:color w:val="0070C0"/>
          <w:sz w:val="32"/>
        </w:rPr>
        <w:t>La fiscalité</w:t>
      </w:r>
    </w:p>
    <w:p w14:paraId="0C1E3AA6" w14:textId="77777777" w:rsidR="00AA0048" w:rsidRPr="005D38B7" w:rsidRDefault="00AA0048"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82816" behindDoc="0" locked="0" layoutInCell="1" allowOverlap="1" wp14:anchorId="45B92964" wp14:editId="6B75BDB6">
                <wp:simplePos x="0" y="0"/>
                <wp:positionH relativeFrom="column">
                  <wp:posOffset>13969</wp:posOffset>
                </wp:positionH>
                <wp:positionV relativeFrom="paragraph">
                  <wp:posOffset>50027</wp:posOffset>
                </wp:positionV>
                <wp:extent cx="5661329" cy="15903"/>
                <wp:effectExtent l="0" t="0" r="34925" b="22225"/>
                <wp:wrapNone/>
                <wp:docPr id="14" name="Straight Connector 1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4"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58F6E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3O4GBvAEAAMkDAAAOAAAAAAAAAAAAAAAAAC4CAABk&#10;cnMvZTJvRG9jLnhtbFBLAQItABQABgAIAAAAIQCRps723gAAAAYBAAAPAAAAAAAAAAAAAAAAABYE&#10;AABkcnMvZG93bnJldi54bWxQSwUGAAAAAAQABADzAAAAIQUAAAAA&#10;">
                <v:stroke joinstyle="miter"/>
              </v:line>
            </w:pict>
          </mc:Fallback>
        </mc:AlternateContent>
      </w:r>
    </w:p>
    <w:p w14:paraId="3DD1E3F2" w14:textId="2D8BC1FD" w:rsidR="00546848" w:rsidRPr="005D38B7" w:rsidRDefault="00546848" w:rsidP="00EC7622">
      <w:pPr>
        <w:ind w:left="567"/>
        <w:rPr>
          <w:rFonts w:asciiTheme="minorHAnsi" w:hAnsiTheme="minorHAnsi" w:cstheme="minorHAnsi"/>
          <w:i/>
          <w:kern w:val="28"/>
          <w:sz w:val="24"/>
          <w:szCs w:val="24"/>
        </w:rPr>
      </w:pPr>
      <w:r>
        <w:rPr>
          <w:rFonts w:asciiTheme="minorHAnsi" w:hAnsiTheme="minorHAnsi"/>
          <w:i/>
          <w:sz w:val="24"/>
        </w:rPr>
        <w:t xml:space="preserve">La fiscalité dans l’économie numérique fait l’objet de débats au niveau international. Dans ses avis sur le </w:t>
      </w:r>
      <w:hyperlink r:id="rId56" w:history="1">
        <w:r>
          <w:rPr>
            <w:rStyle w:val="Hyperlink"/>
            <w:rFonts w:asciiTheme="minorHAnsi" w:hAnsiTheme="minorHAnsi"/>
            <w:b/>
            <w:i/>
            <w:sz w:val="24"/>
          </w:rPr>
          <w:t>rôle de l’impôt sur les sociétés dans la gouvernance d’entreprise</w:t>
        </w:r>
      </w:hyperlink>
      <w:r>
        <w:rPr>
          <w:rFonts w:asciiTheme="minorHAnsi" w:hAnsiTheme="minorHAnsi"/>
          <w:i/>
          <w:sz w:val="24"/>
        </w:rPr>
        <w:t xml:space="preserve">, une </w:t>
      </w:r>
      <w:hyperlink r:id="rId57" w:history="1">
        <w:r>
          <w:rPr>
            <w:rStyle w:val="Hyperlink"/>
            <w:rFonts w:asciiTheme="minorHAnsi" w:hAnsiTheme="minorHAnsi"/>
            <w:b/>
            <w:i/>
            <w:sz w:val="24"/>
          </w:rPr>
          <w:t>fiscalité des entreprises pour le XXI</w:t>
        </w:r>
        <w:r>
          <w:rPr>
            <w:rStyle w:val="Hyperlink"/>
            <w:rFonts w:asciiTheme="minorHAnsi" w:hAnsiTheme="minorHAnsi"/>
            <w:b/>
            <w:i/>
            <w:sz w:val="24"/>
            <w:vertAlign w:val="superscript"/>
          </w:rPr>
          <w:t>e</w:t>
        </w:r>
        <w:r>
          <w:rPr>
            <w:rStyle w:val="Hyperlink"/>
            <w:rFonts w:asciiTheme="minorHAnsi" w:hAnsiTheme="minorHAnsi"/>
            <w:b/>
            <w:i/>
            <w:sz w:val="24"/>
          </w:rPr>
          <w:t> siècle</w:t>
        </w:r>
      </w:hyperlink>
      <w:r>
        <w:rPr>
          <w:rFonts w:asciiTheme="minorHAnsi" w:hAnsiTheme="minorHAnsi"/>
          <w:i/>
          <w:sz w:val="24"/>
        </w:rPr>
        <w:t xml:space="preserve"> et une </w:t>
      </w:r>
      <w:hyperlink r:id="rId58" w:history="1">
        <w:r>
          <w:rPr>
            <w:rStyle w:val="Hyperlink"/>
            <w:rFonts w:asciiTheme="minorHAnsi" w:hAnsiTheme="minorHAnsi"/>
            <w:b/>
            <w:i/>
            <w:sz w:val="24"/>
          </w:rPr>
          <w:t>imposition effective minimale des sociétés</w:t>
        </w:r>
      </w:hyperlink>
      <w:r>
        <w:t>,</w:t>
      </w:r>
      <w:r>
        <w:rPr>
          <w:rFonts w:asciiTheme="minorHAnsi" w:hAnsiTheme="minorHAnsi"/>
          <w:i/>
          <w:sz w:val="24"/>
        </w:rPr>
        <w:t xml:space="preserve"> le Comité a plaidé en faveur d’une mise en œuvre uniforme, concertée et</w:t>
      </w:r>
      <w:r w:rsidR="001335E4">
        <w:rPr>
          <w:rFonts w:asciiTheme="minorHAnsi" w:hAnsiTheme="minorHAnsi"/>
          <w:i/>
          <w:sz w:val="24"/>
        </w:rPr>
        <w:t> </w:t>
      </w:r>
      <w:r>
        <w:rPr>
          <w:rFonts w:asciiTheme="minorHAnsi" w:hAnsiTheme="minorHAnsi"/>
          <w:i/>
          <w:sz w:val="24"/>
        </w:rPr>
        <w:t xml:space="preserve">coordonnée à l’échelle mondiale des piliers 1 et 2 du cadre de l’OCDE. Le Comité a organisé une </w:t>
      </w:r>
      <w:hyperlink r:id="rId59" w:history="1">
        <w:r>
          <w:rPr>
            <w:rStyle w:val="Hyperlink"/>
            <w:rFonts w:asciiTheme="minorHAnsi" w:hAnsiTheme="minorHAnsi"/>
            <w:i/>
            <w:sz w:val="24"/>
          </w:rPr>
          <w:t>consultation publique</w:t>
        </w:r>
      </w:hyperlink>
      <w:r>
        <w:rPr>
          <w:rFonts w:asciiTheme="minorHAnsi" w:hAnsiTheme="minorHAnsi"/>
          <w:i/>
          <w:sz w:val="24"/>
        </w:rPr>
        <w:t xml:space="preserve"> sur la fiscalité des entreprises, laquelle a rencontré un franc succès et a compté parmi ses participants de nombreux représentants de haut niveau des secteurs public et privé.</w:t>
      </w:r>
    </w:p>
    <w:p w14:paraId="382282B2" w14:textId="77777777" w:rsidR="00546848" w:rsidRPr="005D38B7" w:rsidRDefault="00546848" w:rsidP="00EC7622">
      <w:pPr>
        <w:ind w:left="567"/>
        <w:rPr>
          <w:rFonts w:asciiTheme="minorHAnsi" w:hAnsiTheme="minorHAnsi" w:cstheme="minorHAnsi"/>
          <w:i/>
          <w:kern w:val="28"/>
          <w:sz w:val="24"/>
          <w:szCs w:val="24"/>
          <w:lang w:val="en-GB"/>
        </w:rPr>
      </w:pPr>
    </w:p>
    <w:p w14:paraId="09B2D20F" w14:textId="76E82E4C" w:rsidR="00933538" w:rsidRPr="005D38B7" w:rsidRDefault="00546848" w:rsidP="00EC7622">
      <w:pPr>
        <w:ind w:left="567"/>
        <w:rPr>
          <w:rFonts w:asciiTheme="minorHAnsi" w:hAnsiTheme="minorHAnsi" w:cstheme="minorHAnsi"/>
          <w:i/>
          <w:kern w:val="28"/>
          <w:sz w:val="24"/>
          <w:szCs w:val="24"/>
        </w:rPr>
      </w:pPr>
      <w:r>
        <w:rPr>
          <w:rFonts w:asciiTheme="minorHAnsi" w:hAnsiTheme="minorHAnsi"/>
          <w:i/>
          <w:sz w:val="24"/>
        </w:rPr>
        <w:t xml:space="preserve">Le CESE a rendu un avis relatif à un </w:t>
      </w:r>
      <w:hyperlink r:id="rId60" w:history="1">
        <w:r>
          <w:rPr>
            <w:rStyle w:val="Hyperlink"/>
            <w:rFonts w:asciiTheme="minorHAnsi" w:hAnsiTheme="minorHAnsi"/>
            <w:b/>
            <w:i/>
            <w:sz w:val="24"/>
          </w:rPr>
          <w:t>train de mesures pour une fiscalité juste et simple</w:t>
        </w:r>
      </w:hyperlink>
      <w:r>
        <w:rPr>
          <w:rFonts w:asciiTheme="minorHAnsi" w:hAnsiTheme="minorHAnsi"/>
          <w:i/>
          <w:sz w:val="24"/>
        </w:rPr>
        <w:t xml:space="preserve">, dans lequel il a souligné que les audits conjoints devraient être conduits dans le respect des droits des contribuables, y compris ceux énoncés dans la charte des droits fondamentaux de l’Union européenne. </w:t>
      </w:r>
    </w:p>
    <w:p w14:paraId="4CAAE4A3" w14:textId="77777777" w:rsidR="00933538" w:rsidRPr="005D38B7" w:rsidRDefault="00933538" w:rsidP="00EC7622">
      <w:pPr>
        <w:ind w:left="567"/>
        <w:rPr>
          <w:rFonts w:asciiTheme="minorHAnsi" w:hAnsiTheme="minorHAnsi" w:cstheme="minorHAnsi"/>
          <w:i/>
          <w:kern w:val="28"/>
          <w:sz w:val="24"/>
          <w:szCs w:val="24"/>
          <w:lang w:val="en-GB"/>
        </w:rPr>
      </w:pPr>
    </w:p>
    <w:p w14:paraId="2F9961F0" w14:textId="734B685C" w:rsidR="00933538" w:rsidRPr="005D38B7" w:rsidRDefault="00C55E4F" w:rsidP="00EC7622">
      <w:pPr>
        <w:ind w:left="567"/>
        <w:rPr>
          <w:rFonts w:asciiTheme="minorHAnsi" w:hAnsiTheme="minorHAnsi" w:cstheme="minorHAnsi"/>
          <w:i/>
          <w:kern w:val="28"/>
          <w:sz w:val="24"/>
          <w:szCs w:val="24"/>
        </w:rPr>
      </w:pPr>
      <w:r>
        <w:rPr>
          <w:rFonts w:asciiTheme="minorHAnsi" w:hAnsiTheme="minorHAnsi"/>
          <w:i/>
          <w:sz w:val="24"/>
        </w:rPr>
        <w:lastRenderedPageBreak/>
        <w:t xml:space="preserve">En ce qui concerne la </w:t>
      </w:r>
      <w:hyperlink r:id="rId61" w:history="1">
        <w:r>
          <w:rPr>
            <w:rStyle w:val="Hyperlink"/>
            <w:rFonts w:asciiTheme="minorHAnsi" w:hAnsiTheme="minorHAnsi"/>
            <w:b/>
            <w:i/>
            <w:sz w:val="24"/>
          </w:rPr>
          <w:t>lutte contre le recours aux entités écrans</w:t>
        </w:r>
      </w:hyperlink>
      <w:r>
        <w:t>,</w:t>
      </w:r>
      <w:r>
        <w:rPr>
          <w:rFonts w:asciiTheme="minorHAnsi" w:hAnsiTheme="minorHAnsi"/>
          <w:i/>
          <w:sz w:val="24"/>
        </w:rPr>
        <w:t xml:space="preserve"> le CESE a fait valoir qu’une fois les procédures d’enquête concernant des entreprises écrans lancées et</w:t>
      </w:r>
      <w:r w:rsidR="001335E4">
        <w:rPr>
          <w:rFonts w:asciiTheme="minorHAnsi" w:hAnsiTheme="minorHAnsi"/>
          <w:i/>
          <w:sz w:val="24"/>
        </w:rPr>
        <w:t> </w:t>
      </w:r>
      <w:r>
        <w:rPr>
          <w:rFonts w:asciiTheme="minorHAnsi" w:hAnsiTheme="minorHAnsi"/>
          <w:i/>
          <w:sz w:val="24"/>
        </w:rPr>
        <w:t xml:space="preserve">menées à leur terme, leurs conclusions devraient être divulguées au grand public. </w:t>
      </w:r>
    </w:p>
    <w:p w14:paraId="33F8966F" w14:textId="62AFF5D1" w:rsidR="00F54E5E" w:rsidRPr="005D38B7" w:rsidRDefault="00F54E5E" w:rsidP="00EC7622">
      <w:pPr>
        <w:ind w:left="567"/>
        <w:rPr>
          <w:rFonts w:asciiTheme="minorHAnsi" w:hAnsiTheme="minorHAnsi" w:cstheme="minorHAnsi"/>
          <w:i/>
          <w:kern w:val="28"/>
          <w:sz w:val="24"/>
          <w:szCs w:val="24"/>
          <w:lang w:val="en-GB"/>
        </w:rPr>
      </w:pPr>
    </w:p>
    <w:p w14:paraId="7473983E" w14:textId="15F0BEEB" w:rsidR="00F54E5E" w:rsidRPr="00841A69" w:rsidRDefault="00F54E5E" w:rsidP="00841A69">
      <w:pPr>
        <w:ind w:left="567"/>
        <w:rPr>
          <w:rFonts w:asciiTheme="minorHAnsi" w:hAnsiTheme="minorHAnsi" w:cstheme="minorHAnsi"/>
          <w:i/>
          <w:sz w:val="24"/>
          <w:szCs w:val="24"/>
        </w:rPr>
      </w:pPr>
      <w:r>
        <w:rPr>
          <w:rFonts w:asciiTheme="minorHAnsi" w:hAnsiTheme="minorHAnsi"/>
          <w:i/>
          <w:sz w:val="24"/>
        </w:rPr>
        <w:t xml:space="preserve">Dans le contexte du paquet «Ajustement à l’objectif 55», le CESE a aussi adopté un avis sur la </w:t>
      </w:r>
      <w:r>
        <w:rPr>
          <w:rFonts w:asciiTheme="minorHAnsi" w:hAnsiTheme="minorHAnsi"/>
          <w:sz w:val="24"/>
        </w:rPr>
        <w:t xml:space="preserve"> </w:t>
      </w:r>
      <w:hyperlink r:id="rId62" w:history="1">
        <w:r>
          <w:rPr>
            <w:rStyle w:val="Hyperlink"/>
            <w:rFonts w:asciiTheme="minorHAnsi" w:hAnsiTheme="minorHAnsi"/>
            <w:b/>
            <w:i/>
            <w:sz w:val="24"/>
          </w:rPr>
          <w:t>révision de la directive sur la taxation de l’énergie (DTE)</w:t>
        </w:r>
      </w:hyperlink>
      <w:r>
        <w:rPr>
          <w:rFonts w:asciiTheme="minorHAnsi" w:hAnsiTheme="minorHAnsi"/>
          <w:i/>
          <w:sz w:val="24"/>
        </w:rPr>
        <w:t>, dans lequel il se félicite de la nouvelle proposition qui vise à structurer la fiscalité de manière à favoriser les énergies non fossiles durables.</w:t>
      </w:r>
    </w:p>
    <w:p w14:paraId="001C7E9A" w14:textId="77777777" w:rsidR="00933538" w:rsidRPr="00711581" w:rsidRDefault="00933538" w:rsidP="00EC7622">
      <w:pPr>
        <w:ind w:left="567"/>
        <w:rPr>
          <w:rFonts w:asciiTheme="minorHAnsi" w:hAnsiTheme="minorHAnsi" w:cstheme="minorHAnsi"/>
          <w:i/>
          <w:kern w:val="28"/>
          <w:sz w:val="24"/>
          <w:szCs w:val="24"/>
          <w:lang w:val="en-GB"/>
        </w:rPr>
      </w:pPr>
    </w:p>
    <w:p w14:paraId="37BDDCDC" w14:textId="6D443A92" w:rsidR="00047F00" w:rsidRPr="005D38B7" w:rsidRDefault="001605F0" w:rsidP="00EC7622">
      <w:pPr>
        <w:ind w:left="567"/>
        <w:rPr>
          <w:rFonts w:asciiTheme="minorHAnsi" w:hAnsiTheme="minorHAnsi" w:cstheme="minorHAnsi"/>
          <w:i/>
          <w:kern w:val="28"/>
          <w:sz w:val="24"/>
          <w:szCs w:val="24"/>
        </w:rPr>
      </w:pPr>
      <w:r>
        <w:rPr>
          <w:rFonts w:asciiTheme="minorHAnsi" w:hAnsiTheme="minorHAnsi"/>
          <w:i/>
          <w:sz w:val="24"/>
        </w:rPr>
        <w:t>Compte tenu de la crise déclenchée par la pandémie de COVID-19 et des profondes perturbations de l’environnement des entreprises causées par les mesures exceptionnelles imposées par les États membres, le CESE a publié un avis d’initiative sur l’</w:t>
      </w:r>
      <w:hyperlink r:id="rId63" w:history="1">
        <w:r>
          <w:rPr>
            <w:rStyle w:val="Hyperlink"/>
            <w:rFonts w:asciiTheme="minorHAnsi" w:hAnsiTheme="minorHAnsi"/>
            <w:b/>
            <w:i/>
            <w:sz w:val="24"/>
          </w:rPr>
          <w:t>imposition des télétravailleurs transfrontaliers et de leurs employeurs</w:t>
        </w:r>
      </w:hyperlink>
      <w:r>
        <w:rPr>
          <w:rFonts w:asciiTheme="minorHAnsi" w:hAnsiTheme="minorHAnsi"/>
          <w:i/>
          <w:sz w:val="24"/>
        </w:rPr>
        <w:t xml:space="preserve">, qui a rencontré un vif succès et dans le cadre duquel le Comité a également tenu une </w:t>
      </w:r>
      <w:hyperlink r:id="rId64" w:history="1">
        <w:r>
          <w:rPr>
            <w:rStyle w:val="Hyperlink"/>
            <w:rFonts w:asciiTheme="minorHAnsi" w:hAnsiTheme="minorHAnsi"/>
            <w:i/>
            <w:sz w:val="24"/>
          </w:rPr>
          <w:t>audition publique de haut niveau</w:t>
        </w:r>
      </w:hyperlink>
      <w:r>
        <w:rPr>
          <w:rFonts w:asciiTheme="minorHAnsi" w:hAnsiTheme="minorHAnsi"/>
          <w:i/>
          <w:sz w:val="24"/>
        </w:rPr>
        <w:t>.</w:t>
      </w:r>
    </w:p>
    <w:p w14:paraId="58A9A8F0" w14:textId="77777777" w:rsidR="00047F00" w:rsidRPr="005D38B7" w:rsidRDefault="00047F00" w:rsidP="00EC7622">
      <w:pPr>
        <w:ind w:left="567"/>
        <w:rPr>
          <w:rFonts w:asciiTheme="minorHAnsi" w:hAnsiTheme="minorHAnsi" w:cstheme="minorHAnsi"/>
          <w:i/>
          <w:kern w:val="28"/>
          <w:sz w:val="24"/>
          <w:szCs w:val="24"/>
          <w:lang w:val="en-GB"/>
        </w:rPr>
      </w:pPr>
    </w:p>
    <w:p w14:paraId="1759A639" w14:textId="3ECB7455" w:rsidR="00546848" w:rsidRPr="005D38B7" w:rsidRDefault="00315564" w:rsidP="00EC7622">
      <w:pPr>
        <w:ind w:left="567"/>
        <w:rPr>
          <w:rFonts w:asciiTheme="minorHAnsi" w:hAnsiTheme="minorHAnsi" w:cstheme="minorHAnsi"/>
          <w:i/>
          <w:kern w:val="28"/>
          <w:sz w:val="24"/>
          <w:szCs w:val="24"/>
        </w:rPr>
      </w:pPr>
      <w:r>
        <w:rPr>
          <w:rFonts w:asciiTheme="minorHAnsi" w:hAnsiTheme="minorHAnsi"/>
          <w:i/>
          <w:sz w:val="24"/>
        </w:rPr>
        <w:t>Enfin, au cours de ce mandat, la section ECO a poursuivi sa coopération avec le comité d’experts des Nations unies sur la coopération internationale en matière fiscale et a été invitée à contribuer à ses nouveaux travaux dans le domaine de la fiscalité des travailleurs nomades.</w:t>
      </w:r>
    </w:p>
    <w:p w14:paraId="43D72F64" w14:textId="77777777" w:rsidR="003C5B4E" w:rsidRPr="005D38B7" w:rsidRDefault="003C5B4E" w:rsidP="003C5B4E">
      <w:pPr>
        <w:spacing w:line="240" w:lineRule="auto"/>
        <w:rPr>
          <w:rFonts w:asciiTheme="majorHAnsi" w:hAnsiTheme="majorHAnsi" w:cstheme="minorHAnsi"/>
          <w:color w:val="0070C0"/>
          <w:sz w:val="32"/>
          <w:lang w:val="en-GB"/>
        </w:rPr>
      </w:pPr>
    </w:p>
    <w:p w14:paraId="3141DAC8" w14:textId="762CE897" w:rsidR="003C5B4E" w:rsidRPr="005D38B7" w:rsidRDefault="00131A9C" w:rsidP="00841A69">
      <w:pPr>
        <w:pStyle w:val="Heading1"/>
        <w:keepNext/>
        <w:numPr>
          <w:ilvl w:val="0"/>
          <w:numId w:val="0"/>
        </w:numPr>
      </w:pPr>
      <w:r>
        <w:rPr>
          <w:rFonts w:asciiTheme="majorHAnsi" w:hAnsiTheme="majorHAnsi"/>
          <w:color w:val="0070C0"/>
          <w:sz w:val="32"/>
        </w:rPr>
        <w:t>L’écho interinstitutionnel</w:t>
      </w:r>
    </w:p>
    <w:p w14:paraId="46730120"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8480" behindDoc="0" locked="0" layoutInCell="1" allowOverlap="1" wp14:anchorId="76AD4739" wp14:editId="70924E44">
                <wp:simplePos x="0" y="0"/>
                <wp:positionH relativeFrom="column">
                  <wp:posOffset>13969</wp:posOffset>
                </wp:positionH>
                <wp:positionV relativeFrom="paragraph">
                  <wp:posOffset>50027</wp:posOffset>
                </wp:positionV>
                <wp:extent cx="5661329" cy="15903"/>
                <wp:effectExtent l="0" t="0" r="34925" b="22225"/>
                <wp:wrapNone/>
                <wp:docPr id="10" name="Straight Connector 10"/>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0"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0698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V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5E9Tlh6o8eE&#10;Qh+HxPbeOXLQI6MgOTWG2BJg7w54OcVwwCx7UmjzlwSxqbh7XtyFKTFJl7ebTXOzvuNMUqy5vatv&#10;Mmf1DA4Y00fwluVNx412WbxoxelTTHPqNYVwuZm5fNmls4GcbNxXUCSICjYFXUYJ9gbZSdAQCCnB&#10;peZSumRnmNLGLMD678BLfoZCGbN/AS+IUtm7tICtdh7/VD1N15bVnH91YNadLXjy/bk8TLGG5qWY&#10;e5ntPJAvzwX+/AfufgI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CUNvVvAEAAMkDAAAOAAAAAAAAAAAAAAAAAC4CAABk&#10;cnMvZTJvRG9jLnhtbFBLAQItABQABgAIAAAAIQCRps723gAAAAYBAAAPAAAAAAAAAAAAAAAAABYE&#10;AABkcnMvZG93bnJldi54bWxQSwUGAAAAAAQABADzAAAAIQUAAAAA&#10;">
                <v:stroke joinstyle="miter"/>
              </v:line>
            </w:pict>
          </mc:Fallback>
        </mc:AlternateContent>
      </w:r>
    </w:p>
    <w:p w14:paraId="047B9ECB" w14:textId="380B94F0" w:rsidR="00A5024B" w:rsidRPr="005D38B7" w:rsidRDefault="00E045AB" w:rsidP="00732BCF">
      <w:pPr>
        <w:pStyle w:val="Heading1"/>
        <w:numPr>
          <w:ilvl w:val="0"/>
          <w:numId w:val="0"/>
        </w:numPr>
        <w:ind w:left="567"/>
        <w:rPr>
          <w:rFonts w:asciiTheme="minorHAnsi" w:hAnsiTheme="minorHAnsi" w:cstheme="minorHAnsi"/>
          <w:i/>
          <w:sz w:val="24"/>
          <w:szCs w:val="24"/>
        </w:rPr>
      </w:pPr>
      <w:r>
        <w:rPr>
          <w:rFonts w:asciiTheme="minorHAnsi" w:hAnsiTheme="minorHAnsi"/>
          <w:i/>
          <w:sz w:val="24"/>
        </w:rPr>
        <w:t xml:space="preserve">Plusieurs débats en session plénière avec des orateurs de haut niveau ont illustré la force de la coopération interinstitutionnelle. </w:t>
      </w:r>
      <w:r>
        <w:rPr>
          <w:rFonts w:asciiTheme="minorHAnsi" w:hAnsiTheme="minorHAnsi"/>
          <w:b/>
          <w:i/>
          <w:sz w:val="24"/>
        </w:rPr>
        <w:t>Valdis </w:t>
      </w:r>
      <w:proofErr w:type="spellStart"/>
      <w:r>
        <w:rPr>
          <w:rFonts w:asciiTheme="minorHAnsi" w:hAnsiTheme="minorHAnsi"/>
          <w:b/>
          <w:i/>
          <w:sz w:val="24"/>
        </w:rPr>
        <w:t>Dombrovskis</w:t>
      </w:r>
      <w:proofErr w:type="spellEnd"/>
      <w:r>
        <w:rPr>
          <w:rFonts w:asciiTheme="minorHAnsi" w:hAnsiTheme="minorHAnsi"/>
          <w:i/>
          <w:sz w:val="24"/>
        </w:rPr>
        <w:t xml:space="preserve">, vice-président exécutif de la Commission européenne, a débattu avec les membres du CESE lors des sessions plénières de mars 2021 et de mai 2022. En février 2021, le commissaire </w:t>
      </w:r>
      <w:r>
        <w:rPr>
          <w:rFonts w:asciiTheme="minorHAnsi" w:hAnsiTheme="minorHAnsi"/>
          <w:b/>
          <w:i/>
          <w:sz w:val="24"/>
        </w:rPr>
        <w:t>Johannes Hahn</w:t>
      </w:r>
      <w:r>
        <w:rPr>
          <w:rFonts w:asciiTheme="minorHAnsi" w:hAnsiTheme="minorHAnsi"/>
          <w:i/>
          <w:sz w:val="24"/>
        </w:rPr>
        <w:t xml:space="preserve"> a participé au débat avec les membres du CESE lié à l’adoption d’une résolution sur le thème «</w:t>
      </w:r>
      <w:hyperlink r:id="rId65" w:history="1">
        <w:r>
          <w:rPr>
            <w:rStyle w:val="Hyperlink"/>
            <w:rFonts w:asciiTheme="minorHAnsi" w:hAnsiTheme="minorHAnsi"/>
            <w:b/>
            <w:i/>
            <w:sz w:val="24"/>
          </w:rPr>
          <w:t>Participation de la société civile organisée aux plans nationaux pour la reprise et la résilience — Ce qui fonctionne et ce qui ne fonctionne pas</w:t>
        </w:r>
      </w:hyperlink>
      <w:r>
        <w:rPr>
          <w:rFonts w:asciiTheme="minorHAnsi" w:hAnsiTheme="minorHAnsi"/>
          <w:i/>
          <w:sz w:val="24"/>
        </w:rPr>
        <w:t>»</w:t>
      </w:r>
      <w:r>
        <w:t>.</w:t>
      </w:r>
      <w:r>
        <w:rPr>
          <w:rFonts w:asciiTheme="minorHAnsi" w:hAnsiTheme="minorHAnsi"/>
          <w:b/>
          <w:i/>
          <w:sz w:val="24"/>
        </w:rPr>
        <w:t xml:space="preserve"> </w:t>
      </w:r>
      <w:r>
        <w:rPr>
          <w:rFonts w:asciiTheme="minorHAnsi" w:hAnsiTheme="minorHAnsi"/>
          <w:i/>
          <w:sz w:val="24"/>
        </w:rPr>
        <w:t xml:space="preserve">En septembre 2021, la commissaire </w:t>
      </w:r>
      <w:r>
        <w:rPr>
          <w:rFonts w:asciiTheme="minorHAnsi" w:hAnsiTheme="minorHAnsi"/>
          <w:b/>
          <w:i/>
          <w:sz w:val="24"/>
        </w:rPr>
        <w:t>Elisa Ferreira</w:t>
      </w:r>
      <w:r>
        <w:rPr>
          <w:rFonts w:asciiTheme="minorHAnsi" w:hAnsiTheme="minorHAnsi"/>
          <w:i/>
          <w:sz w:val="24"/>
        </w:rPr>
        <w:t xml:space="preserve"> a débattu avec les membres du CESE de l’avenir de la politique de cohésion. Lors de la session plénière de décembre 2021, le CESE a organisé un débat avec la commissaire </w:t>
      </w:r>
      <w:proofErr w:type="spellStart"/>
      <w:r>
        <w:rPr>
          <w:rFonts w:asciiTheme="minorHAnsi" w:hAnsiTheme="minorHAnsi"/>
          <w:b/>
          <w:i/>
          <w:sz w:val="24"/>
        </w:rPr>
        <w:t>Mairead</w:t>
      </w:r>
      <w:proofErr w:type="spellEnd"/>
      <w:r>
        <w:rPr>
          <w:rFonts w:asciiTheme="minorHAnsi" w:hAnsiTheme="minorHAnsi"/>
          <w:b/>
          <w:i/>
          <w:sz w:val="24"/>
        </w:rPr>
        <w:t> McGuinness</w:t>
      </w:r>
      <w:r>
        <w:rPr>
          <w:rFonts w:asciiTheme="minorHAnsi" w:hAnsiTheme="minorHAnsi"/>
          <w:i/>
          <w:sz w:val="24"/>
        </w:rPr>
        <w:t xml:space="preserve"> sur la lutte contre le blanchiment d’argent et</w:t>
      </w:r>
      <w:r w:rsidR="001335E4">
        <w:rPr>
          <w:rFonts w:asciiTheme="minorHAnsi" w:hAnsiTheme="minorHAnsi"/>
          <w:i/>
          <w:sz w:val="24"/>
        </w:rPr>
        <w:t> </w:t>
      </w:r>
      <w:r>
        <w:rPr>
          <w:rFonts w:asciiTheme="minorHAnsi" w:hAnsiTheme="minorHAnsi"/>
          <w:i/>
          <w:sz w:val="24"/>
        </w:rPr>
        <w:t>la nécessité de mettre en place une stratégie plus ambitieuse en matière de finance durable.</w:t>
      </w:r>
    </w:p>
    <w:p w14:paraId="50DB1255" w14:textId="64651723" w:rsidR="006579DD" w:rsidRPr="005D38B7" w:rsidRDefault="006579DD" w:rsidP="006579DD">
      <w:pPr>
        <w:rPr>
          <w:lang w:val="en-GB"/>
        </w:rPr>
      </w:pPr>
    </w:p>
    <w:p w14:paraId="7E0366BA" w14:textId="16ADA6F1" w:rsidR="00E045AB" w:rsidRPr="005D38B7" w:rsidRDefault="00E045AB" w:rsidP="00E045AB">
      <w:pPr>
        <w:ind w:left="567"/>
        <w:rPr>
          <w:rFonts w:asciiTheme="minorHAnsi" w:hAnsiTheme="minorHAnsi" w:cstheme="minorHAnsi"/>
          <w:i/>
          <w:kern w:val="28"/>
          <w:sz w:val="24"/>
          <w:szCs w:val="24"/>
        </w:rPr>
      </w:pPr>
      <w:r>
        <w:rPr>
          <w:rFonts w:asciiTheme="minorHAnsi" w:hAnsiTheme="minorHAnsi"/>
          <w:i/>
          <w:sz w:val="24"/>
        </w:rPr>
        <w:t xml:space="preserve">En février 2022, le CESE a organisé une </w:t>
      </w:r>
      <w:hyperlink r:id="rId66" w:history="1">
        <w:r>
          <w:rPr>
            <w:rStyle w:val="Hyperlink"/>
            <w:rFonts w:asciiTheme="minorHAnsi" w:hAnsiTheme="minorHAnsi"/>
            <w:i/>
            <w:sz w:val="24"/>
          </w:rPr>
          <w:t>conférence conjointe</w:t>
        </w:r>
      </w:hyperlink>
      <w:r>
        <w:rPr>
          <w:rFonts w:asciiTheme="minorHAnsi" w:hAnsiTheme="minorHAnsi"/>
          <w:b/>
          <w:i/>
          <w:sz w:val="24"/>
        </w:rPr>
        <w:t xml:space="preserve"> avec la direction générale des affaires économiques et financières de la Commission européenne</w:t>
      </w:r>
      <w:r>
        <w:rPr>
          <w:rFonts w:asciiTheme="minorHAnsi" w:hAnsiTheme="minorHAnsi"/>
          <w:i/>
          <w:sz w:val="24"/>
        </w:rPr>
        <w:t xml:space="preserve"> sur la voie à suivre pour la gouvernance économique de l’Union.</w:t>
      </w:r>
    </w:p>
    <w:p w14:paraId="3E3E9723" w14:textId="0238E70C" w:rsidR="00F54E5E" w:rsidRPr="005D38B7" w:rsidRDefault="00F54E5E" w:rsidP="00E045AB">
      <w:pPr>
        <w:ind w:left="567"/>
        <w:rPr>
          <w:rFonts w:asciiTheme="minorHAnsi" w:hAnsiTheme="minorHAnsi" w:cstheme="minorHAnsi"/>
          <w:i/>
          <w:kern w:val="28"/>
          <w:sz w:val="24"/>
          <w:szCs w:val="24"/>
          <w:lang w:val="en-GB"/>
        </w:rPr>
      </w:pPr>
    </w:p>
    <w:p w14:paraId="5C0455DB" w14:textId="17F0860D" w:rsidR="00F54E5E" w:rsidRPr="005D38B7" w:rsidRDefault="00F54E5E" w:rsidP="00E045AB">
      <w:pPr>
        <w:ind w:left="567"/>
        <w:rPr>
          <w:rFonts w:asciiTheme="minorHAnsi" w:hAnsiTheme="minorHAnsi" w:cstheme="minorHAnsi"/>
          <w:i/>
          <w:kern w:val="28"/>
          <w:sz w:val="24"/>
          <w:szCs w:val="24"/>
        </w:rPr>
      </w:pPr>
      <w:r>
        <w:rPr>
          <w:rFonts w:asciiTheme="minorHAnsi" w:hAnsiTheme="minorHAnsi"/>
          <w:i/>
          <w:sz w:val="24"/>
        </w:rPr>
        <w:t xml:space="preserve">En avril 2022, le CESE a organisé une </w:t>
      </w:r>
      <w:hyperlink r:id="rId67" w:history="1">
        <w:r>
          <w:rPr>
            <w:rStyle w:val="Hyperlink"/>
            <w:rFonts w:asciiTheme="minorHAnsi" w:hAnsiTheme="minorHAnsi"/>
            <w:i/>
            <w:sz w:val="24"/>
          </w:rPr>
          <w:t>audition conjointe</w:t>
        </w:r>
      </w:hyperlink>
      <w:r>
        <w:rPr>
          <w:rFonts w:asciiTheme="minorHAnsi" w:hAnsiTheme="minorHAnsi"/>
          <w:b/>
          <w:i/>
          <w:sz w:val="24"/>
        </w:rPr>
        <w:t xml:space="preserve"> avec le Conseil économique, social et environnemental français</w:t>
      </w:r>
      <w:r>
        <w:rPr>
          <w:rFonts w:asciiTheme="minorHAnsi" w:hAnsiTheme="minorHAnsi"/>
          <w:i/>
          <w:sz w:val="24"/>
        </w:rPr>
        <w:t xml:space="preserve"> sur le huitième rapport de cohésion. Cette audition a été catégorisée comme une manifestation officielle de la présidence française du Conseil de l’Union européenne.</w:t>
      </w:r>
    </w:p>
    <w:p w14:paraId="4AA66AA6" w14:textId="6D5640A3" w:rsidR="00125277" w:rsidRPr="005D38B7" w:rsidRDefault="00125277" w:rsidP="00E045AB">
      <w:pPr>
        <w:ind w:left="567"/>
        <w:rPr>
          <w:rFonts w:asciiTheme="minorHAnsi" w:hAnsiTheme="minorHAnsi" w:cstheme="minorHAnsi"/>
          <w:i/>
          <w:kern w:val="28"/>
          <w:sz w:val="24"/>
          <w:szCs w:val="24"/>
          <w:lang w:val="en-GB"/>
        </w:rPr>
      </w:pPr>
    </w:p>
    <w:p w14:paraId="20FAA15B" w14:textId="63F2271C" w:rsidR="00125277" w:rsidRPr="005D38B7" w:rsidRDefault="00125277" w:rsidP="00E045AB">
      <w:pPr>
        <w:ind w:left="567"/>
        <w:rPr>
          <w:rFonts w:asciiTheme="minorHAnsi" w:hAnsiTheme="minorHAnsi" w:cstheme="minorHAnsi"/>
          <w:i/>
          <w:kern w:val="28"/>
          <w:sz w:val="24"/>
          <w:szCs w:val="24"/>
        </w:rPr>
      </w:pPr>
      <w:r>
        <w:rPr>
          <w:rFonts w:asciiTheme="minorHAnsi" w:hAnsiTheme="minorHAnsi"/>
          <w:i/>
          <w:sz w:val="24"/>
        </w:rPr>
        <w:t xml:space="preserve">En juillet 2022, le CESE a organisé un débat sur les partenariats thématiques dans le cadre de l’accord de Ljubljana avec le </w:t>
      </w:r>
      <w:r>
        <w:rPr>
          <w:rFonts w:asciiTheme="minorHAnsi" w:hAnsiTheme="minorHAnsi"/>
          <w:b/>
          <w:i/>
          <w:sz w:val="24"/>
        </w:rPr>
        <w:t>ministère tchèque du développement régional</w:t>
      </w:r>
      <w:r>
        <w:rPr>
          <w:rFonts w:asciiTheme="minorHAnsi" w:hAnsiTheme="minorHAnsi"/>
          <w:i/>
          <w:sz w:val="24"/>
        </w:rPr>
        <w:t xml:space="preserve"> dans le cadre d’un avis exploratoire demandé par la présidence tchèque du Conseil.</w:t>
      </w:r>
    </w:p>
    <w:p w14:paraId="6EA8F9D9" w14:textId="77777777" w:rsidR="00125277" w:rsidRPr="005D38B7" w:rsidRDefault="00125277" w:rsidP="00125277">
      <w:pPr>
        <w:pStyle w:val="Heading3"/>
        <w:numPr>
          <w:ilvl w:val="0"/>
          <w:numId w:val="0"/>
        </w:numPr>
        <w:shd w:val="clear" w:color="auto" w:fill="FFFFFF"/>
        <w:ind w:left="567"/>
        <w:rPr>
          <w:rFonts w:asciiTheme="minorHAnsi" w:hAnsiTheme="minorHAnsi" w:cstheme="minorHAnsi"/>
          <w:i/>
          <w:kern w:val="28"/>
          <w:sz w:val="24"/>
          <w:szCs w:val="24"/>
          <w:lang w:val="en-GB"/>
        </w:rPr>
      </w:pPr>
    </w:p>
    <w:p w14:paraId="5AF0D6F3" w14:textId="76C343D3" w:rsidR="00916F00" w:rsidRPr="005D38B7" w:rsidRDefault="00125277" w:rsidP="008D4977">
      <w:pPr>
        <w:pStyle w:val="Heading3"/>
        <w:numPr>
          <w:ilvl w:val="0"/>
          <w:numId w:val="0"/>
        </w:numPr>
        <w:shd w:val="clear" w:color="auto" w:fill="FFFFFF"/>
        <w:ind w:left="567"/>
        <w:rPr>
          <w:rFonts w:asciiTheme="minorHAnsi" w:hAnsiTheme="minorHAnsi" w:cstheme="minorHAnsi"/>
          <w:i/>
          <w:kern w:val="28"/>
          <w:sz w:val="24"/>
          <w:szCs w:val="24"/>
        </w:rPr>
      </w:pPr>
      <w:r>
        <w:rPr>
          <w:rFonts w:asciiTheme="minorHAnsi" w:hAnsiTheme="minorHAnsi"/>
          <w:i/>
          <w:sz w:val="24"/>
        </w:rPr>
        <w:t xml:space="preserve">Lors de la session plénière du CESE de septembre 2022, Radim Sršeň, </w:t>
      </w:r>
      <w:r>
        <w:rPr>
          <w:rFonts w:asciiTheme="minorHAnsi" w:hAnsiTheme="minorHAnsi"/>
          <w:b/>
          <w:i/>
          <w:sz w:val="24"/>
        </w:rPr>
        <w:t>vice-ministre tchèque du développement régional</w:t>
      </w:r>
      <w:r>
        <w:rPr>
          <w:rFonts w:asciiTheme="minorHAnsi" w:hAnsiTheme="minorHAnsi"/>
          <w:i/>
          <w:sz w:val="24"/>
        </w:rPr>
        <w:t xml:space="preserve">, a participé à un débat sur le rôle de la société civile organisée et des villes en matière de résilience et de reprise dans le contexte de chocs asymétriques et de crises imprévues. </w:t>
      </w:r>
    </w:p>
    <w:p w14:paraId="263270F5" w14:textId="4529BCD9" w:rsidR="00374803" w:rsidRPr="005D38B7" w:rsidRDefault="00374803" w:rsidP="003C5B4E">
      <w:pPr>
        <w:spacing w:line="240" w:lineRule="auto"/>
        <w:rPr>
          <w:rFonts w:asciiTheme="minorHAnsi" w:hAnsiTheme="minorHAnsi" w:cstheme="minorHAnsi"/>
          <w:iCs/>
          <w:kern w:val="28"/>
          <w:sz w:val="32"/>
          <w:szCs w:val="32"/>
          <w:lang w:val="en-GB"/>
        </w:rPr>
      </w:pPr>
    </w:p>
    <w:p w14:paraId="782437C6" w14:textId="57D80A19" w:rsidR="00374803" w:rsidRPr="005D38B7" w:rsidRDefault="00131A9C" w:rsidP="00841A69">
      <w:pPr>
        <w:pStyle w:val="Heading1"/>
        <w:keepNext/>
        <w:numPr>
          <w:ilvl w:val="0"/>
          <w:numId w:val="0"/>
        </w:numPr>
      </w:pPr>
      <w:r>
        <w:rPr>
          <w:rFonts w:asciiTheme="majorHAnsi" w:hAnsiTheme="majorHAnsi"/>
          <w:color w:val="0070C0"/>
          <w:sz w:val="32"/>
        </w:rPr>
        <w:t>Les réalisations en matière de communication</w:t>
      </w:r>
    </w:p>
    <w:p w14:paraId="207C9FCB" w14:textId="3AAD1880" w:rsidR="00131A9C" w:rsidRPr="005D38B7" w:rsidRDefault="00131A9C"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8720" behindDoc="0" locked="0" layoutInCell="1" allowOverlap="1" wp14:anchorId="3513463B" wp14:editId="3F7A1B60">
                <wp:simplePos x="0" y="0"/>
                <wp:positionH relativeFrom="column">
                  <wp:posOffset>13969</wp:posOffset>
                </wp:positionH>
                <wp:positionV relativeFrom="paragraph">
                  <wp:posOffset>50027</wp:posOffset>
                </wp:positionV>
                <wp:extent cx="56613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05AAC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kuwEAAMcDAAAOAAAAZHJzL2Uyb0RvYy54bWysU9uO0zAQfUfiHyy/01xWW7F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t+t1c9PecSbprrm9q28y&#10;Z/UMDhjTR/CW5U3PjXZZuujE8VNM59RrCuFyM+fyZZdOBnKycV9BkRwq2BR0GSTYGWRHQSMgpASX&#10;mkvpkp1hShuzAOu/Ay/5GQplyP4FvCBKZe/SArbaefxT9TRfW1bn/KsDZ93Zgic/nMrDFGtoWoq5&#10;l8nO4/gyLvDn/2/7Ew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JHMv6S7AQAAxwMAAA4AAAAAAAAAAAAAAAAALgIAAGRy&#10;cy9lMm9Eb2MueG1sUEsBAi0AFAAGAAgAAAAhAJGmzvbeAAAABgEAAA8AAAAAAAAAAAAAAAAAFQQA&#10;AGRycy9kb3ducmV2LnhtbFBLBQYAAAAABAAEAPMAAAAgBQAAAAA=&#10;">
                <v:stroke joinstyle="miter"/>
              </v:line>
            </w:pict>
          </mc:Fallback>
        </mc:AlternateContent>
      </w:r>
    </w:p>
    <w:p w14:paraId="59320A8F" w14:textId="1ACFE811" w:rsidR="009119DA" w:rsidRPr="005D38B7" w:rsidRDefault="00B817DE" w:rsidP="00B817DE">
      <w:pPr>
        <w:ind w:left="567"/>
        <w:rPr>
          <w:rFonts w:asciiTheme="minorHAnsi" w:hAnsiTheme="minorHAnsi" w:cstheme="minorHAnsi"/>
          <w:i/>
          <w:sz w:val="24"/>
          <w:szCs w:val="24"/>
        </w:rPr>
      </w:pPr>
      <w:r>
        <w:rPr>
          <w:rFonts w:asciiTheme="minorHAnsi" w:hAnsiTheme="minorHAnsi"/>
          <w:i/>
          <w:sz w:val="24"/>
        </w:rPr>
        <w:t xml:space="preserve">Les travaux de la section ECO ne se limitent pas à l’adoption de ses avis en session plénière du CESE. Le </w:t>
      </w:r>
      <w:hyperlink r:id="rId68" w:history="1">
        <w:r>
          <w:rPr>
            <w:rStyle w:val="Hyperlink"/>
            <w:rFonts w:asciiTheme="minorHAnsi" w:hAnsiTheme="minorHAnsi"/>
            <w:b/>
            <w:i/>
            <w:sz w:val="24"/>
          </w:rPr>
          <w:t>site internet de la section ECO</w:t>
        </w:r>
      </w:hyperlink>
      <w:r>
        <w:rPr>
          <w:rFonts w:asciiTheme="minorHAnsi" w:hAnsiTheme="minorHAnsi"/>
          <w:i/>
          <w:sz w:val="24"/>
        </w:rPr>
        <w:t xml:space="preserve"> est resté le principal pilier des activités de communication qu’elle a menées, dans la mesure où il permet à la section de garantir que les messages clés des avis soient facilement accessibles et lisibles, et qu’ils synthétisent de manière efficace les principales recommandations du Comité. Les deux avis les plus fréquemment consultés sur le site du CESE en 2022 ont tous </w:t>
      </w:r>
      <w:proofErr w:type="gramStart"/>
      <w:r>
        <w:rPr>
          <w:rFonts w:asciiTheme="minorHAnsi" w:hAnsiTheme="minorHAnsi"/>
          <w:i/>
          <w:sz w:val="24"/>
        </w:rPr>
        <w:t>deux été</w:t>
      </w:r>
      <w:proofErr w:type="gramEnd"/>
      <w:r>
        <w:rPr>
          <w:rFonts w:asciiTheme="minorHAnsi" w:hAnsiTheme="minorHAnsi"/>
          <w:i/>
          <w:sz w:val="24"/>
        </w:rPr>
        <w:t xml:space="preserve"> élaborés par la section ECO. Il s’agissait de l’avis sur l’</w:t>
      </w:r>
      <w:hyperlink r:id="rId69" w:history="1">
        <w:r>
          <w:rPr>
            <w:rStyle w:val="Hyperlink"/>
            <w:rFonts w:asciiTheme="minorHAnsi" w:hAnsiTheme="minorHAnsi"/>
            <w:b/>
            <w:i/>
            <w:sz w:val="24"/>
          </w:rPr>
          <w:t>imposition des télétravailleurs transfrontaliers et de leurs employeurs</w:t>
        </w:r>
      </w:hyperlink>
      <w:r>
        <w:rPr>
          <w:rFonts w:asciiTheme="minorHAnsi" w:hAnsiTheme="minorHAnsi"/>
          <w:i/>
          <w:sz w:val="24"/>
        </w:rPr>
        <w:t xml:space="preserve"> et de l’avis sur le </w:t>
      </w:r>
      <w:hyperlink r:id="rId70" w:history="1">
        <w:r>
          <w:rPr>
            <w:rStyle w:val="Hyperlink"/>
            <w:rFonts w:asciiTheme="minorHAnsi" w:hAnsiTheme="minorHAnsi"/>
            <w:b/>
            <w:i/>
            <w:sz w:val="24"/>
          </w:rPr>
          <w:t>point d’accès unique européen (PAUE)</w:t>
        </w:r>
      </w:hyperlink>
      <w:r>
        <w:rPr>
          <w:rFonts w:asciiTheme="minorHAnsi" w:hAnsiTheme="minorHAnsi"/>
          <w:i/>
          <w:sz w:val="24"/>
        </w:rPr>
        <w:t>.</w:t>
      </w:r>
    </w:p>
    <w:p w14:paraId="7CE5FB46" w14:textId="77777777" w:rsidR="009119DA" w:rsidRPr="005D38B7" w:rsidRDefault="009119DA" w:rsidP="00B817DE">
      <w:pPr>
        <w:ind w:left="567"/>
        <w:rPr>
          <w:rFonts w:asciiTheme="minorHAnsi" w:hAnsiTheme="minorHAnsi" w:cstheme="minorHAnsi"/>
          <w:i/>
          <w:sz w:val="24"/>
          <w:szCs w:val="24"/>
          <w:lang w:val="en-GB"/>
        </w:rPr>
      </w:pPr>
    </w:p>
    <w:p w14:paraId="73626CF1" w14:textId="35068B40" w:rsidR="00B817DE" w:rsidRPr="005D38B7" w:rsidRDefault="00B817DE" w:rsidP="00B817DE">
      <w:pPr>
        <w:ind w:left="567"/>
        <w:rPr>
          <w:rFonts w:asciiTheme="minorHAnsi" w:hAnsiTheme="minorHAnsi" w:cstheme="minorHAnsi"/>
          <w:i/>
          <w:sz w:val="24"/>
          <w:szCs w:val="24"/>
        </w:rPr>
      </w:pPr>
      <w:r>
        <w:rPr>
          <w:rFonts w:asciiTheme="minorHAnsi" w:hAnsiTheme="minorHAnsi"/>
          <w:i/>
          <w:sz w:val="24"/>
        </w:rPr>
        <w:t>Un travail considérable a été accompli pour faire connaître les recommandations figurant dans les avis adoptés au cours de ce mandat au moyen d’</w:t>
      </w:r>
      <w:r>
        <w:rPr>
          <w:rFonts w:asciiTheme="minorHAnsi" w:hAnsiTheme="minorHAnsi"/>
          <w:b/>
          <w:i/>
          <w:sz w:val="24"/>
        </w:rPr>
        <w:t>envois</w:t>
      </w:r>
      <w:r>
        <w:rPr>
          <w:rFonts w:asciiTheme="minorHAnsi" w:hAnsiTheme="minorHAnsi"/>
          <w:i/>
          <w:sz w:val="24"/>
        </w:rPr>
        <w:t xml:space="preserve"> massifs ciblés aux partenaires institutionnels, aux parties prenantes concernées et au grand public, </w:t>
      </w:r>
      <w:r>
        <w:rPr>
          <w:rFonts w:asciiTheme="minorHAnsi" w:hAnsiTheme="minorHAnsi"/>
          <w:i/>
          <w:sz w:val="24"/>
        </w:rPr>
        <w:lastRenderedPageBreak/>
        <w:t xml:space="preserve">mais aussi de </w:t>
      </w:r>
      <w:r>
        <w:rPr>
          <w:rFonts w:asciiTheme="minorHAnsi" w:hAnsiTheme="minorHAnsi"/>
          <w:b/>
          <w:i/>
          <w:sz w:val="24"/>
        </w:rPr>
        <w:t>communiqués de presse</w:t>
      </w:r>
      <w:r>
        <w:rPr>
          <w:rFonts w:asciiTheme="minorHAnsi" w:hAnsiTheme="minorHAnsi"/>
          <w:i/>
          <w:sz w:val="24"/>
        </w:rPr>
        <w:t xml:space="preserve"> et d’</w:t>
      </w:r>
      <w:r>
        <w:rPr>
          <w:rFonts w:asciiTheme="minorHAnsi" w:hAnsiTheme="minorHAnsi"/>
          <w:b/>
          <w:i/>
          <w:sz w:val="24"/>
        </w:rPr>
        <w:t>articles web</w:t>
      </w:r>
      <w:r>
        <w:rPr>
          <w:rFonts w:asciiTheme="minorHAnsi" w:hAnsiTheme="minorHAnsi"/>
          <w:i/>
          <w:sz w:val="24"/>
        </w:rPr>
        <w:t xml:space="preserve">, ainsi que sur les médias sociaux, principalement Twitter. </w:t>
      </w:r>
    </w:p>
    <w:p w14:paraId="1D072ACA" w14:textId="77777777" w:rsidR="00B817DE" w:rsidRPr="005D38B7" w:rsidRDefault="00B817DE" w:rsidP="00B817DE">
      <w:pPr>
        <w:ind w:left="567"/>
        <w:rPr>
          <w:rFonts w:asciiTheme="minorHAnsi" w:hAnsiTheme="minorHAnsi" w:cstheme="minorHAnsi"/>
          <w:i/>
          <w:sz w:val="24"/>
          <w:szCs w:val="24"/>
          <w:lang w:val="en-GB"/>
        </w:rPr>
      </w:pPr>
    </w:p>
    <w:p w14:paraId="12F1A579" w14:textId="344A9DCB" w:rsidR="007F3152" w:rsidRPr="005D38B7" w:rsidRDefault="005B2E67" w:rsidP="00841A69">
      <w:pPr>
        <w:ind w:left="567"/>
        <w:rPr>
          <w:rFonts w:asciiTheme="majorHAnsi" w:hAnsiTheme="majorHAnsi" w:cstheme="minorHAnsi"/>
          <w:color w:val="0070C0"/>
          <w:sz w:val="32"/>
        </w:rPr>
      </w:pPr>
      <w:r>
        <w:rPr>
          <w:rFonts w:asciiTheme="minorHAnsi" w:hAnsiTheme="minorHAnsi"/>
          <w:i/>
          <w:sz w:val="24"/>
        </w:rPr>
        <w:t xml:space="preserve">Au cours de ce mandat, la section ECO a entretenu des contacts actifs avec ses abonnés par l’intermédiaire d’échanges animés sur le </w:t>
      </w:r>
      <w:hyperlink r:id="rId71" w:history="1">
        <w:r>
          <w:rPr>
            <w:rStyle w:val="Hyperlink"/>
            <w:rFonts w:asciiTheme="minorHAnsi" w:hAnsiTheme="minorHAnsi"/>
            <w:b/>
            <w:i/>
            <w:sz w:val="24"/>
          </w:rPr>
          <w:t>compte Twitter de la section ECO</w:t>
        </w:r>
      </w:hyperlink>
      <w:r>
        <w:rPr>
          <w:rFonts w:asciiTheme="minorHAnsi" w:hAnsiTheme="minorHAnsi"/>
          <w:i/>
          <w:sz w:val="24"/>
        </w:rPr>
        <w:t>. Ces</w:t>
      </w:r>
      <w:r w:rsidR="001335E4">
        <w:rPr>
          <w:rFonts w:asciiTheme="minorHAnsi" w:hAnsiTheme="minorHAnsi"/>
          <w:i/>
          <w:sz w:val="24"/>
        </w:rPr>
        <w:t> </w:t>
      </w:r>
      <w:r>
        <w:rPr>
          <w:rFonts w:asciiTheme="minorHAnsi" w:hAnsiTheme="minorHAnsi"/>
          <w:i/>
          <w:sz w:val="24"/>
        </w:rPr>
        <w:t xml:space="preserve">efforts ont entraîné une augmentation de plus de 39 % du nombre d’abonnés. </w:t>
      </w:r>
    </w:p>
    <w:p w14:paraId="680AE1C5" w14:textId="31B06B33" w:rsidR="003C5B4E" w:rsidRPr="005D38B7" w:rsidRDefault="003C5B4E" w:rsidP="00841A69">
      <w:pPr>
        <w:pStyle w:val="Heading1"/>
        <w:keepNext/>
        <w:numPr>
          <w:ilvl w:val="0"/>
          <w:numId w:val="0"/>
        </w:numPr>
      </w:pPr>
      <w:r>
        <w:rPr>
          <w:rFonts w:asciiTheme="majorHAnsi" w:hAnsiTheme="majorHAnsi"/>
          <w:color w:val="0070C0"/>
          <w:sz w:val="32"/>
        </w:rPr>
        <w:t>Les perspectives et l’avenir</w:t>
      </w:r>
      <w:r>
        <w:t xml:space="preserve"> </w:t>
      </w:r>
    </w:p>
    <w:p w14:paraId="04843729"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0528" behindDoc="0" locked="0" layoutInCell="1" allowOverlap="1" wp14:anchorId="4A7918D3" wp14:editId="22BA4686">
                <wp:simplePos x="0" y="0"/>
                <wp:positionH relativeFrom="column">
                  <wp:posOffset>13969</wp:posOffset>
                </wp:positionH>
                <wp:positionV relativeFrom="paragraph">
                  <wp:posOffset>50027</wp:posOffset>
                </wp:positionV>
                <wp:extent cx="5661329" cy="15903"/>
                <wp:effectExtent l="0" t="0" r="34925" b="22225"/>
                <wp:wrapNone/>
                <wp:docPr id="11" name="Straight Connector 11"/>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1"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0CF94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2vQ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">
                <v:stroke joinstyle="miter"/>
              </v:line>
            </w:pict>
          </mc:Fallback>
        </mc:AlternateContent>
      </w:r>
    </w:p>
    <w:p w14:paraId="4ED77E98" w14:textId="2C7B0EF8" w:rsidR="005D3E6F" w:rsidRPr="005D38B7" w:rsidRDefault="001F1EC5" w:rsidP="00957A8D">
      <w:pPr>
        <w:pStyle w:val="Heading1"/>
        <w:numPr>
          <w:ilvl w:val="0"/>
          <w:numId w:val="0"/>
        </w:numPr>
        <w:ind w:left="567"/>
        <w:rPr>
          <w:rFonts w:asciiTheme="minorHAnsi" w:hAnsiTheme="minorHAnsi"/>
          <w:i/>
          <w:sz w:val="24"/>
          <w:szCs w:val="24"/>
        </w:rPr>
      </w:pPr>
      <w:r>
        <w:rPr>
          <w:rFonts w:asciiTheme="minorHAnsi" w:hAnsiTheme="minorHAnsi"/>
          <w:i/>
          <w:sz w:val="24"/>
        </w:rPr>
        <w:t xml:space="preserve">L’environnement économique actuel pose des difficultés pour la mise en œuvre de politiques économiques qui visent à la fois à réduire l’inflation et à garantir la croissance économique, l’emploi et la viabilité des finances publiques à moyen et </w:t>
      </w:r>
      <w:proofErr w:type="gramStart"/>
      <w:r>
        <w:rPr>
          <w:rFonts w:asciiTheme="minorHAnsi" w:hAnsiTheme="minorHAnsi"/>
          <w:i/>
          <w:sz w:val="24"/>
        </w:rPr>
        <w:t>long termes</w:t>
      </w:r>
      <w:proofErr w:type="gramEnd"/>
      <w:r>
        <w:rPr>
          <w:rFonts w:asciiTheme="minorHAnsi" w:hAnsiTheme="minorHAnsi"/>
          <w:i/>
          <w:sz w:val="24"/>
        </w:rPr>
        <w:t xml:space="preserve">. La section ECO se tient prête à contribuer à l’élaboration de politiques qui ont pour objectif une </w:t>
      </w:r>
      <w:r>
        <w:rPr>
          <w:rFonts w:asciiTheme="minorHAnsi" w:hAnsiTheme="minorHAnsi"/>
          <w:b/>
          <w:i/>
          <w:sz w:val="24"/>
        </w:rPr>
        <w:t>relance durable et inclusive</w:t>
      </w:r>
      <w:r>
        <w:rPr>
          <w:rFonts w:asciiTheme="minorHAnsi" w:hAnsiTheme="minorHAnsi"/>
          <w:i/>
          <w:sz w:val="24"/>
        </w:rPr>
        <w:t xml:space="preserve"> et la création d’une </w:t>
      </w:r>
      <w:r>
        <w:rPr>
          <w:rFonts w:asciiTheme="minorHAnsi" w:hAnsiTheme="minorHAnsi"/>
          <w:b/>
          <w:i/>
          <w:sz w:val="24"/>
        </w:rPr>
        <w:t>économie résiliente de l’Union</w:t>
      </w:r>
      <w:r w:rsidR="001335E4">
        <w:rPr>
          <w:rFonts w:asciiTheme="minorHAnsi" w:hAnsiTheme="minorHAnsi"/>
          <w:b/>
          <w:i/>
          <w:sz w:val="24"/>
        </w:rPr>
        <w:t> </w:t>
      </w:r>
      <w:r>
        <w:rPr>
          <w:rFonts w:asciiTheme="minorHAnsi" w:hAnsiTheme="minorHAnsi"/>
          <w:b/>
          <w:i/>
          <w:sz w:val="24"/>
        </w:rPr>
        <w:t>européenne</w:t>
      </w:r>
      <w:r>
        <w:rPr>
          <w:rFonts w:asciiTheme="minorHAnsi" w:hAnsiTheme="minorHAnsi"/>
          <w:i/>
          <w:sz w:val="24"/>
        </w:rPr>
        <w:t xml:space="preserve">, tout en </w:t>
      </w:r>
      <w:r>
        <w:rPr>
          <w:rFonts w:asciiTheme="minorHAnsi" w:hAnsiTheme="minorHAnsi"/>
          <w:b/>
          <w:i/>
          <w:sz w:val="24"/>
        </w:rPr>
        <w:t>veillant à mener à bien la double transition écologique et numérique</w:t>
      </w:r>
      <w:r>
        <w:rPr>
          <w:rFonts w:asciiTheme="minorHAnsi" w:hAnsiTheme="minorHAnsi"/>
          <w:i/>
          <w:sz w:val="24"/>
        </w:rPr>
        <w:t>. Dans ce contexte, il y a lieu d’inclure plus efficacement la prospective stratégique dans le processus d’élaboration des politiques de l’Union, de manière à ce qu’elle soit mieux préparée aux chocs futurs.</w:t>
      </w:r>
    </w:p>
    <w:p w14:paraId="402772C1" w14:textId="77777777" w:rsidR="005D3E6F" w:rsidRPr="005D38B7" w:rsidRDefault="005D3E6F" w:rsidP="00957A8D">
      <w:pPr>
        <w:pStyle w:val="Heading1"/>
        <w:numPr>
          <w:ilvl w:val="0"/>
          <w:numId w:val="0"/>
        </w:numPr>
        <w:ind w:left="567"/>
        <w:rPr>
          <w:rFonts w:asciiTheme="minorHAnsi" w:hAnsiTheme="minorHAnsi"/>
          <w:i/>
          <w:sz w:val="24"/>
          <w:szCs w:val="24"/>
          <w:lang w:val="en-GB"/>
        </w:rPr>
      </w:pPr>
    </w:p>
    <w:p w14:paraId="0D38B50E" w14:textId="585540D1" w:rsidR="001F1EC5" w:rsidRPr="005D38B7" w:rsidRDefault="00DD38DF" w:rsidP="00957A8D">
      <w:pPr>
        <w:pStyle w:val="Heading1"/>
        <w:numPr>
          <w:ilvl w:val="0"/>
          <w:numId w:val="0"/>
        </w:numPr>
        <w:ind w:left="567"/>
        <w:rPr>
          <w:rFonts w:asciiTheme="minorHAnsi" w:hAnsiTheme="minorHAnsi"/>
          <w:i/>
          <w:sz w:val="24"/>
          <w:szCs w:val="24"/>
        </w:rPr>
      </w:pPr>
      <w:r>
        <w:rPr>
          <w:rFonts w:asciiTheme="minorHAnsi" w:hAnsiTheme="minorHAnsi"/>
          <w:i/>
          <w:sz w:val="24"/>
        </w:rPr>
        <w:t>S’agissant de l’autonomie stratégique de l’Union, une nouvelle réorientation des flux d’investissement sera nécessaire. La section ECO contribuera aussi</w:t>
      </w:r>
      <w:r>
        <w:t xml:space="preserve"> </w:t>
      </w:r>
      <w:r>
        <w:rPr>
          <w:rFonts w:asciiTheme="minorHAnsi" w:hAnsiTheme="minorHAnsi"/>
          <w:i/>
          <w:sz w:val="24"/>
        </w:rPr>
        <w:t>à l’</w:t>
      </w:r>
      <w:r>
        <w:rPr>
          <w:rFonts w:asciiTheme="minorHAnsi" w:hAnsiTheme="minorHAnsi"/>
          <w:b/>
          <w:i/>
          <w:sz w:val="24"/>
        </w:rPr>
        <w:t>appel en faveur d’un pacte bleu pour l’Europe</w:t>
      </w:r>
      <w:r>
        <w:rPr>
          <w:rFonts w:asciiTheme="minorHAnsi" w:hAnsiTheme="minorHAnsi"/>
          <w:i/>
          <w:sz w:val="24"/>
        </w:rPr>
        <w:t xml:space="preserve">, mettant en exergue l’importance de l’eau dans tous les domaines stratégiques, de même que la nécessité de proposer des stratégies, des méthodes de conception des politiques et des actions coordonnées qui soient à même d’anticiper les défis et de préserver et gérer correctement cette précieuse ressource. </w:t>
      </w:r>
    </w:p>
    <w:p w14:paraId="126C6E81" w14:textId="77777777" w:rsidR="00A55003" w:rsidRPr="005D38B7" w:rsidRDefault="00A55003">
      <w:pPr>
        <w:rPr>
          <w:rFonts w:asciiTheme="minorHAnsi" w:hAnsiTheme="minorHAnsi"/>
          <w:i/>
          <w:kern w:val="28"/>
          <w:sz w:val="24"/>
          <w:szCs w:val="24"/>
          <w:lang w:val="en-GB"/>
        </w:rPr>
      </w:pPr>
    </w:p>
    <w:p w14:paraId="684EAD60" w14:textId="60094ABE" w:rsidR="00BA6B9B" w:rsidRPr="005D38B7" w:rsidRDefault="00BA6B9B">
      <w:pPr>
        <w:pStyle w:val="Heading1"/>
        <w:numPr>
          <w:ilvl w:val="0"/>
          <w:numId w:val="0"/>
        </w:numPr>
        <w:ind w:left="567"/>
        <w:rPr>
          <w:rFonts w:asciiTheme="minorHAnsi" w:hAnsiTheme="minorHAnsi"/>
          <w:i/>
          <w:sz w:val="24"/>
          <w:szCs w:val="24"/>
        </w:rPr>
      </w:pPr>
      <w:r>
        <w:rPr>
          <w:rFonts w:asciiTheme="minorHAnsi" w:hAnsiTheme="minorHAnsi"/>
          <w:i/>
          <w:sz w:val="24"/>
        </w:rPr>
        <w:t xml:space="preserve">L’Union européenne a besoin de mobiliser des ressources financières considérables pour concrétiser les transitions écologique et numérique et remédier à la crise énergétique. Elle doit aussi prendre d’autres mesures pour </w:t>
      </w:r>
      <w:r>
        <w:rPr>
          <w:rFonts w:asciiTheme="minorHAnsi" w:hAnsiTheme="minorHAnsi"/>
          <w:b/>
          <w:i/>
          <w:sz w:val="24"/>
        </w:rPr>
        <w:t>achever l’union des marchés des capitaux et l’union bancaire</w:t>
      </w:r>
      <w:r>
        <w:rPr>
          <w:rFonts w:asciiTheme="minorHAnsi" w:hAnsiTheme="minorHAnsi"/>
          <w:i/>
          <w:sz w:val="24"/>
        </w:rPr>
        <w:t>, afin de faciliter l’accès aux marchés financiers pour les entreprises et les particuliers et d’orienter les ressources vers des investissements à long terme. La section ECO travaille actuellement sur différentes initiatives dans ce domaine et s’attend à de nouvelles propositions d’action au cours de l’année qui vient.</w:t>
      </w:r>
    </w:p>
    <w:p w14:paraId="77D5F90F" w14:textId="77777777" w:rsidR="00BA6B9B" w:rsidRPr="005D38B7" w:rsidRDefault="00BA6B9B">
      <w:pPr>
        <w:pStyle w:val="Heading1"/>
        <w:numPr>
          <w:ilvl w:val="0"/>
          <w:numId w:val="0"/>
        </w:numPr>
        <w:ind w:left="567"/>
        <w:rPr>
          <w:rFonts w:asciiTheme="minorHAnsi" w:hAnsiTheme="minorHAnsi"/>
          <w:i/>
          <w:sz w:val="24"/>
          <w:szCs w:val="24"/>
          <w:lang w:val="en-GB"/>
        </w:rPr>
      </w:pPr>
    </w:p>
    <w:p w14:paraId="730995D9" w14:textId="1404D710" w:rsidR="004C408B" w:rsidRPr="005D38B7" w:rsidRDefault="004C408B">
      <w:pPr>
        <w:pStyle w:val="Heading1"/>
        <w:numPr>
          <w:ilvl w:val="0"/>
          <w:numId w:val="0"/>
        </w:numPr>
        <w:ind w:left="567"/>
        <w:rPr>
          <w:rFonts w:asciiTheme="minorHAnsi" w:hAnsiTheme="minorHAnsi"/>
          <w:i/>
          <w:sz w:val="24"/>
          <w:szCs w:val="24"/>
        </w:rPr>
      </w:pPr>
      <w:r>
        <w:rPr>
          <w:rFonts w:asciiTheme="minorHAnsi" w:hAnsiTheme="minorHAnsi"/>
          <w:i/>
          <w:sz w:val="24"/>
        </w:rPr>
        <w:lastRenderedPageBreak/>
        <w:t>L’</w:t>
      </w:r>
      <w:r>
        <w:rPr>
          <w:rFonts w:asciiTheme="minorHAnsi" w:hAnsiTheme="minorHAnsi"/>
          <w:b/>
          <w:i/>
          <w:sz w:val="24"/>
        </w:rPr>
        <w:t>examen à mi-parcours du cadre financier pluriannuel</w:t>
      </w:r>
      <w:r>
        <w:rPr>
          <w:rFonts w:asciiTheme="minorHAnsi" w:hAnsiTheme="minorHAnsi"/>
          <w:i/>
          <w:sz w:val="24"/>
        </w:rPr>
        <w:t xml:space="preserve"> et les propositions relatives à de </w:t>
      </w:r>
      <w:r>
        <w:rPr>
          <w:rFonts w:asciiTheme="minorHAnsi" w:hAnsiTheme="minorHAnsi"/>
          <w:b/>
          <w:i/>
          <w:sz w:val="24"/>
        </w:rPr>
        <w:t>nouvelles ressources propres</w:t>
      </w:r>
      <w:r>
        <w:rPr>
          <w:rFonts w:asciiTheme="minorHAnsi" w:hAnsiTheme="minorHAnsi"/>
          <w:i/>
          <w:sz w:val="24"/>
        </w:rPr>
        <w:t xml:space="preserve"> imprimeront un nouvel élan aux efforts en vue d’aligner le financement du budget de l’UE sur ses priorités politiques.</w:t>
      </w:r>
    </w:p>
    <w:p w14:paraId="159EC806" w14:textId="78CD9EDA" w:rsidR="00B24A6E" w:rsidRPr="005D38B7" w:rsidRDefault="00B24A6E" w:rsidP="00B24A6E">
      <w:pPr>
        <w:rPr>
          <w:lang w:val="en-GB"/>
        </w:rPr>
      </w:pPr>
    </w:p>
    <w:p w14:paraId="03540C15" w14:textId="18BB4A05" w:rsidR="00B24A6E" w:rsidRPr="005D38B7" w:rsidRDefault="00B24A6E" w:rsidP="005D3E6F">
      <w:pPr>
        <w:ind w:left="567"/>
        <w:rPr>
          <w:rFonts w:asciiTheme="minorHAnsi" w:hAnsiTheme="minorHAnsi"/>
          <w:i/>
          <w:kern w:val="28"/>
          <w:sz w:val="24"/>
          <w:szCs w:val="24"/>
        </w:rPr>
      </w:pPr>
      <w:r>
        <w:rPr>
          <w:rFonts w:asciiTheme="minorHAnsi" w:hAnsiTheme="minorHAnsi"/>
          <w:i/>
          <w:sz w:val="24"/>
        </w:rPr>
        <w:t xml:space="preserve">Le </w:t>
      </w:r>
      <w:r>
        <w:rPr>
          <w:rFonts w:asciiTheme="minorHAnsi" w:hAnsiTheme="minorHAnsi"/>
          <w:b/>
          <w:i/>
          <w:sz w:val="24"/>
        </w:rPr>
        <w:t>cadre international de la fiscalité des entreprises</w:t>
      </w:r>
      <w:r>
        <w:rPr>
          <w:rFonts w:asciiTheme="minorHAnsi" w:hAnsiTheme="minorHAnsi"/>
          <w:i/>
          <w:sz w:val="24"/>
        </w:rPr>
        <w:t xml:space="preserve"> a été récemment remanié par un accord relatif au paquet fiscal du cadre inclusif de l’OCDE et du G20 reposant sur deux piliers. Le CESE continuera d’œuvrer à la mise en place d’un système d’imposition des entreprises qui soit équitable et juste. Dans le même temps, la section ECO continue de chercher des solutions en ce qui concerne la </w:t>
      </w:r>
      <w:r>
        <w:rPr>
          <w:rFonts w:asciiTheme="minorHAnsi" w:hAnsiTheme="minorHAnsi"/>
          <w:b/>
          <w:i/>
          <w:sz w:val="24"/>
        </w:rPr>
        <w:t>fiscalité des travailleurs nomades</w:t>
      </w:r>
      <w:r>
        <w:rPr>
          <w:rFonts w:asciiTheme="minorHAnsi" w:hAnsiTheme="minorHAnsi"/>
          <w:i/>
          <w:sz w:val="24"/>
        </w:rPr>
        <w:t xml:space="preserve"> dans l’Union européenne et au-delà.</w:t>
      </w:r>
    </w:p>
    <w:p w14:paraId="444F4C66" w14:textId="77777777" w:rsidR="00AB24B1" w:rsidRPr="005D38B7" w:rsidRDefault="00AB24B1" w:rsidP="005D3E6F">
      <w:pPr>
        <w:rPr>
          <w:rFonts w:asciiTheme="minorHAnsi" w:hAnsiTheme="minorHAnsi"/>
          <w:i/>
          <w:kern w:val="28"/>
          <w:sz w:val="24"/>
          <w:szCs w:val="24"/>
          <w:lang w:val="en-GB"/>
        </w:rPr>
      </w:pPr>
    </w:p>
    <w:p w14:paraId="0BA0A343" w14:textId="4E98DE21" w:rsidR="00724E9B" w:rsidRPr="005D38B7" w:rsidRDefault="00DD38DF">
      <w:pPr>
        <w:ind w:left="567"/>
        <w:rPr>
          <w:rFonts w:asciiTheme="minorHAnsi" w:hAnsiTheme="minorHAnsi" w:cstheme="minorHAnsi"/>
          <w:b/>
          <w:bCs/>
          <w:i/>
          <w:iCs/>
          <w:sz w:val="24"/>
          <w:szCs w:val="24"/>
        </w:rPr>
      </w:pPr>
      <w:r>
        <w:rPr>
          <w:rFonts w:asciiTheme="minorHAnsi" w:hAnsiTheme="minorHAnsi"/>
          <w:i/>
          <w:sz w:val="24"/>
        </w:rPr>
        <w:t xml:space="preserve">Il nous incombe de trouver un équilibre délicat dans un environnement très instable. D’une part, les défis que posent les événements imprévus pourraient gagner en fréquence et en gravité; aussi la politique de cohésion doit-elle pouvoir réagir avec souplesse. D’autre part, les fonds de cohésion sont destinés à des investissements à long terme dans des régions moins développées et moins riches, et l’on ne peut se permettre de sacrifier la convergence territoriale sur l’autel de telles crises. La section ECO s’emploiera à faire en sorte que le </w:t>
      </w:r>
      <w:r>
        <w:rPr>
          <w:rFonts w:asciiTheme="minorHAnsi" w:hAnsiTheme="minorHAnsi"/>
          <w:b/>
          <w:i/>
          <w:sz w:val="24"/>
        </w:rPr>
        <w:t>principe premier de la politique de cohésion, à savoir la volonté de «ne laisser personne de côté»</w:t>
      </w:r>
      <w:r>
        <w:rPr>
          <w:rFonts w:asciiTheme="minorHAnsi" w:hAnsiTheme="minorHAnsi"/>
          <w:i/>
          <w:sz w:val="24"/>
        </w:rPr>
        <w:t>, continue d’être valable et respecté.</w:t>
      </w:r>
    </w:p>
    <w:p w14:paraId="38EC1B39" w14:textId="54DD25FC" w:rsidR="0070658C" w:rsidRPr="005D38B7" w:rsidRDefault="0070658C">
      <w:pPr>
        <w:ind w:left="567"/>
        <w:rPr>
          <w:rFonts w:asciiTheme="minorHAnsi" w:hAnsiTheme="minorHAnsi" w:cstheme="minorHAnsi"/>
          <w:b/>
          <w:bCs/>
          <w:i/>
          <w:iCs/>
          <w:sz w:val="24"/>
          <w:szCs w:val="24"/>
          <w:lang w:val="en-GB"/>
        </w:rPr>
      </w:pPr>
    </w:p>
    <w:p w14:paraId="1E5B00DD" w14:textId="77777777" w:rsidR="007F3152" w:rsidRPr="005D38B7" w:rsidRDefault="007F3152">
      <w:pPr>
        <w:spacing w:after="160" w:line="259" w:lineRule="auto"/>
        <w:jc w:val="left"/>
        <w:rPr>
          <w:rFonts w:asciiTheme="majorHAnsi" w:hAnsiTheme="majorHAnsi" w:cstheme="minorHAnsi"/>
          <w:color w:val="0070C0"/>
          <w:sz w:val="32"/>
        </w:rPr>
      </w:pPr>
      <w:r>
        <w:br w:type="page"/>
      </w:r>
    </w:p>
    <w:p w14:paraId="0616E206" w14:textId="1ADFFF8A" w:rsidR="003C5B4E" w:rsidRPr="005D38B7" w:rsidRDefault="003C5B4E" w:rsidP="00EB6251">
      <w:pPr>
        <w:pStyle w:val="Heading1"/>
        <w:numPr>
          <w:ilvl w:val="0"/>
          <w:numId w:val="0"/>
        </w:numPr>
      </w:pPr>
      <w:r>
        <w:rPr>
          <w:rFonts w:asciiTheme="majorHAnsi" w:hAnsiTheme="majorHAnsi"/>
          <w:color w:val="0070C0"/>
          <w:sz w:val="32"/>
        </w:rPr>
        <w:lastRenderedPageBreak/>
        <w:t>Annexe — Statistiques clés</w:t>
      </w:r>
      <w:r>
        <w:t xml:space="preserve"> </w:t>
      </w:r>
    </w:p>
    <w:p w14:paraId="36E9AE69" w14:textId="77777777" w:rsidR="003C5B4E" w:rsidRPr="005D38B7" w:rsidRDefault="003C5B4E" w:rsidP="003C5B4E">
      <w:pPr>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2576" behindDoc="0" locked="0" layoutInCell="1" allowOverlap="1" wp14:anchorId="5F303D6C" wp14:editId="58B141A8">
                <wp:simplePos x="0" y="0"/>
                <wp:positionH relativeFrom="column">
                  <wp:posOffset>13969</wp:posOffset>
                </wp:positionH>
                <wp:positionV relativeFrom="paragraph">
                  <wp:posOffset>50027</wp:posOffset>
                </wp:positionV>
                <wp:extent cx="5661329" cy="15903"/>
                <wp:effectExtent l="0" t="0" r="34925" b="22225"/>
                <wp:wrapNone/>
                <wp:docPr id="12" name="Straight Connector 1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2"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pt,3.95pt" to="446.85pt,5.2pt" w14:anchorId="287F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4S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605c8LSGz0m&#10;FPo4JLb3zpGDHhkFyakxxJYAe3fAyymGA2bZk0KbvySITcXd8+IuTIlJurzdbJqb9R1nkmLN7V19&#10;kzmrZ3DAmD6CtyxvOm60y+JFK06fYppTrymEy83M5csunQ3kZOO+giJBVLAp6DJKsDfIToKGQEgJ&#10;LjWX0iU7w5Q2ZgHWfwde8jMUypj9C3hBlMrepQVstfP4p+ppuras5vyrA7PubMGT78/lYYo1NC/F&#10;3Mts54F8eS7w5z9w9xM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C45k4SvAEAAMkDAAAOAAAAAAAAAAAAAAAAAC4CAABk&#10;cnMvZTJvRG9jLnhtbFBLAQItABQABgAIAAAAIQCRps723gAAAAYBAAAPAAAAAAAAAAAAAAAAABYE&#10;AABkcnMvZG93bnJldi54bWxQSwUGAAAAAAQABADzAAAAIQUAAAAA&#10;">
                <v:stroke joinstyle="miter"/>
              </v:line>
            </w:pict>
          </mc:Fallback>
        </mc:AlternateContent>
      </w:r>
    </w:p>
    <w:tbl>
      <w:tblPr>
        <w:tblStyle w:val="TableGrid"/>
        <w:tblW w:w="9061" w:type="dxa"/>
        <w:tblLook w:val="04A0" w:firstRow="1" w:lastRow="0" w:firstColumn="1" w:lastColumn="0" w:noHBand="0" w:noVBand="1"/>
      </w:tblPr>
      <w:tblGrid>
        <w:gridCol w:w="3696"/>
        <w:gridCol w:w="1697"/>
        <w:gridCol w:w="745"/>
        <w:gridCol w:w="745"/>
        <w:gridCol w:w="1384"/>
        <w:gridCol w:w="794"/>
      </w:tblGrid>
      <w:tr w:rsidR="00777881" w:rsidRPr="005D38B7" w14:paraId="793988D6" w14:textId="77777777" w:rsidTr="00516AFE">
        <w:tc>
          <w:tcPr>
            <w:tcW w:w="3737" w:type="dxa"/>
            <w:tcBorders>
              <w:bottom w:val="single" w:sz="4" w:space="0" w:color="auto"/>
            </w:tcBorders>
            <w:shd w:val="clear" w:color="auto" w:fill="0070C0"/>
          </w:tcPr>
          <w:p w14:paraId="3DD4CEC2" w14:textId="77777777" w:rsidR="00777881" w:rsidRPr="005D38B7" w:rsidRDefault="00777881" w:rsidP="00502140">
            <w:pPr>
              <w:jc w:val="center"/>
              <w:rPr>
                <w:rFonts w:asciiTheme="minorHAnsi" w:hAnsiTheme="minorHAnsi"/>
                <w:b/>
                <w:color w:val="FFFFFF" w:themeColor="background1"/>
                <w:lang w:val="en-GB"/>
              </w:rPr>
            </w:pPr>
          </w:p>
        </w:tc>
        <w:tc>
          <w:tcPr>
            <w:tcW w:w="1232" w:type="dxa"/>
            <w:shd w:val="clear" w:color="auto" w:fill="0070C0"/>
          </w:tcPr>
          <w:p w14:paraId="6EDCFDE5" w14:textId="26F6085B" w:rsidR="00EB4C9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À partir du</w:t>
            </w:r>
          </w:p>
          <w:p w14:paraId="280CAF6F" w14:textId="72E0D193" w:rsidR="00777881" w:rsidRPr="005D38B7" w:rsidRDefault="00782852" w:rsidP="00516AFE">
            <w:pPr>
              <w:jc w:val="center"/>
              <w:rPr>
                <w:rFonts w:asciiTheme="minorHAnsi" w:hAnsiTheme="minorHAnsi"/>
                <w:b/>
                <w:color w:val="FFFFFF" w:themeColor="background1"/>
              </w:rPr>
            </w:pPr>
            <w:r>
              <w:rPr>
                <w:rFonts w:asciiTheme="minorHAnsi" w:hAnsiTheme="minorHAnsi"/>
                <w:b/>
                <w:color w:val="FFFFFF" w:themeColor="background1"/>
              </w:rPr>
              <w:t>29 octobre 2020</w:t>
            </w:r>
          </w:p>
        </w:tc>
        <w:tc>
          <w:tcPr>
            <w:tcW w:w="960" w:type="dxa"/>
            <w:shd w:val="clear" w:color="auto" w:fill="0070C0"/>
          </w:tcPr>
          <w:p w14:paraId="09B30FB1" w14:textId="5E60D3CA" w:rsidR="0077788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2021</w:t>
            </w:r>
          </w:p>
        </w:tc>
        <w:tc>
          <w:tcPr>
            <w:tcW w:w="960" w:type="dxa"/>
            <w:shd w:val="clear" w:color="auto" w:fill="0070C0"/>
          </w:tcPr>
          <w:p w14:paraId="6F8A4167" w14:textId="14576DE8" w:rsidR="0077788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2022</w:t>
            </w:r>
          </w:p>
        </w:tc>
        <w:tc>
          <w:tcPr>
            <w:tcW w:w="1086" w:type="dxa"/>
            <w:shd w:val="clear" w:color="auto" w:fill="0070C0"/>
          </w:tcPr>
          <w:p w14:paraId="466DC7FC" w14:textId="47AB4A86" w:rsidR="00EB4C9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Jusqu’au</w:t>
            </w:r>
          </w:p>
          <w:p w14:paraId="356DAF06" w14:textId="35D4F953" w:rsidR="0077788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25 avril 2023</w:t>
            </w:r>
          </w:p>
        </w:tc>
        <w:tc>
          <w:tcPr>
            <w:tcW w:w="1086" w:type="dxa"/>
            <w:shd w:val="clear" w:color="auto" w:fill="0070C0"/>
          </w:tcPr>
          <w:p w14:paraId="4BE05C16" w14:textId="77777777" w:rsidR="00777881" w:rsidRPr="005D38B7" w:rsidRDefault="00777881" w:rsidP="00516AFE">
            <w:pPr>
              <w:jc w:val="center"/>
              <w:rPr>
                <w:rFonts w:asciiTheme="minorHAnsi" w:hAnsiTheme="minorHAnsi"/>
                <w:b/>
                <w:color w:val="FFFFFF" w:themeColor="background1"/>
              </w:rPr>
            </w:pPr>
            <w:r>
              <w:rPr>
                <w:rFonts w:asciiTheme="minorHAnsi" w:hAnsiTheme="minorHAnsi"/>
                <w:b/>
                <w:color w:val="FFFFFF" w:themeColor="background1"/>
              </w:rPr>
              <w:t>Total</w:t>
            </w:r>
          </w:p>
        </w:tc>
      </w:tr>
      <w:tr w:rsidR="00777881" w:rsidRPr="005D38B7" w14:paraId="241FF240" w14:textId="77777777" w:rsidTr="00516AFE">
        <w:tc>
          <w:tcPr>
            <w:tcW w:w="3737" w:type="dxa"/>
            <w:shd w:val="clear" w:color="auto" w:fill="auto"/>
          </w:tcPr>
          <w:p w14:paraId="2F437992" w14:textId="77777777" w:rsidR="00777881" w:rsidRPr="005D38B7" w:rsidRDefault="00777881" w:rsidP="00502140">
            <w:pPr>
              <w:jc w:val="left"/>
              <w:rPr>
                <w:rFonts w:asciiTheme="minorHAnsi" w:hAnsiTheme="minorHAnsi" w:cstheme="minorHAnsi"/>
                <w:b/>
              </w:rPr>
            </w:pPr>
            <w:r>
              <w:rPr>
                <w:rFonts w:asciiTheme="minorHAnsi" w:hAnsiTheme="minorHAnsi"/>
                <w:b/>
              </w:rPr>
              <w:t>Réunions de la section</w:t>
            </w:r>
          </w:p>
        </w:tc>
        <w:tc>
          <w:tcPr>
            <w:tcW w:w="1232" w:type="dxa"/>
          </w:tcPr>
          <w:p w14:paraId="4A9BAB62" w14:textId="1156D641" w:rsidR="00777881" w:rsidRPr="005D38B7" w:rsidRDefault="00516AFE" w:rsidP="00516AFE">
            <w:pPr>
              <w:jc w:val="center"/>
              <w:rPr>
                <w:rFonts w:asciiTheme="minorHAnsi" w:hAnsiTheme="minorHAnsi" w:cstheme="minorHAnsi"/>
              </w:rPr>
            </w:pPr>
            <w:r>
              <w:rPr>
                <w:rFonts w:asciiTheme="minorHAnsi" w:hAnsiTheme="minorHAnsi"/>
              </w:rPr>
              <w:t>2</w:t>
            </w:r>
          </w:p>
        </w:tc>
        <w:tc>
          <w:tcPr>
            <w:tcW w:w="960" w:type="dxa"/>
          </w:tcPr>
          <w:p w14:paraId="510AA42B" w14:textId="4B66360F" w:rsidR="00777881" w:rsidRPr="005D38B7" w:rsidRDefault="00516AFE" w:rsidP="00516AFE">
            <w:pPr>
              <w:jc w:val="center"/>
              <w:rPr>
                <w:rFonts w:asciiTheme="minorHAnsi" w:hAnsiTheme="minorHAnsi" w:cstheme="minorHAnsi"/>
              </w:rPr>
            </w:pPr>
            <w:r>
              <w:rPr>
                <w:rFonts w:asciiTheme="minorHAnsi" w:hAnsiTheme="minorHAnsi"/>
              </w:rPr>
              <w:t>9</w:t>
            </w:r>
          </w:p>
        </w:tc>
        <w:tc>
          <w:tcPr>
            <w:tcW w:w="960" w:type="dxa"/>
          </w:tcPr>
          <w:p w14:paraId="4F9FD6FA" w14:textId="2B34AB00" w:rsidR="00777881" w:rsidRPr="005D38B7" w:rsidRDefault="00516AFE" w:rsidP="00516AFE">
            <w:pPr>
              <w:jc w:val="center"/>
              <w:rPr>
                <w:rFonts w:asciiTheme="minorHAnsi" w:hAnsiTheme="minorHAnsi" w:cstheme="minorHAnsi"/>
              </w:rPr>
            </w:pPr>
            <w:r>
              <w:rPr>
                <w:rFonts w:asciiTheme="minorHAnsi" w:hAnsiTheme="minorHAnsi"/>
              </w:rPr>
              <w:t>9</w:t>
            </w:r>
          </w:p>
        </w:tc>
        <w:tc>
          <w:tcPr>
            <w:tcW w:w="1086" w:type="dxa"/>
          </w:tcPr>
          <w:p w14:paraId="2048F019" w14:textId="1E90F8C4" w:rsidR="00777881" w:rsidRPr="005D38B7" w:rsidRDefault="00516AFE" w:rsidP="00516AFE">
            <w:pPr>
              <w:jc w:val="center"/>
              <w:rPr>
                <w:rFonts w:asciiTheme="minorHAnsi" w:hAnsiTheme="minorHAnsi" w:cstheme="minorHAnsi"/>
              </w:rPr>
            </w:pPr>
            <w:r>
              <w:rPr>
                <w:rFonts w:asciiTheme="minorHAnsi" w:hAnsiTheme="minorHAnsi"/>
              </w:rPr>
              <w:t>3</w:t>
            </w:r>
          </w:p>
        </w:tc>
        <w:tc>
          <w:tcPr>
            <w:tcW w:w="1086" w:type="dxa"/>
          </w:tcPr>
          <w:p w14:paraId="292FA6D5" w14:textId="40C578EA" w:rsidR="00777881" w:rsidRPr="005D38B7" w:rsidRDefault="007D08FC" w:rsidP="00516AFE">
            <w:pPr>
              <w:jc w:val="center"/>
              <w:rPr>
                <w:rFonts w:asciiTheme="minorHAnsi" w:hAnsiTheme="minorHAnsi" w:cstheme="minorHAnsi"/>
                <w:b/>
              </w:rPr>
            </w:pPr>
            <w:r>
              <w:rPr>
                <w:rFonts w:asciiTheme="minorHAnsi" w:hAnsiTheme="minorHAnsi"/>
                <w:b/>
              </w:rPr>
              <w:t>23</w:t>
            </w:r>
          </w:p>
        </w:tc>
      </w:tr>
      <w:tr w:rsidR="00777881" w:rsidRPr="005D38B7" w14:paraId="564C74F4" w14:textId="77777777" w:rsidTr="00516AFE">
        <w:tc>
          <w:tcPr>
            <w:tcW w:w="3737" w:type="dxa"/>
            <w:shd w:val="clear" w:color="auto" w:fill="auto"/>
          </w:tcPr>
          <w:p w14:paraId="789D55EA" w14:textId="598E7041" w:rsidR="00777881" w:rsidRPr="005D38B7" w:rsidRDefault="00777881" w:rsidP="00502140">
            <w:pPr>
              <w:jc w:val="left"/>
              <w:rPr>
                <w:rFonts w:asciiTheme="minorHAnsi" w:hAnsiTheme="minorHAnsi" w:cstheme="minorHAnsi"/>
                <w:b/>
              </w:rPr>
            </w:pPr>
            <w:r>
              <w:rPr>
                <w:rFonts w:asciiTheme="minorHAnsi" w:hAnsiTheme="minorHAnsi"/>
                <w:b/>
              </w:rPr>
              <w:t>Réunions du bureau de la section</w:t>
            </w:r>
          </w:p>
        </w:tc>
        <w:tc>
          <w:tcPr>
            <w:tcW w:w="1232" w:type="dxa"/>
          </w:tcPr>
          <w:p w14:paraId="46F5FBF3" w14:textId="3AA441E8" w:rsidR="00777881" w:rsidRPr="005D38B7" w:rsidRDefault="00516AFE" w:rsidP="00516AFE">
            <w:pPr>
              <w:jc w:val="center"/>
              <w:rPr>
                <w:rFonts w:asciiTheme="minorHAnsi" w:hAnsiTheme="minorHAnsi" w:cstheme="minorHAnsi"/>
              </w:rPr>
            </w:pPr>
            <w:r>
              <w:rPr>
                <w:rFonts w:asciiTheme="minorHAnsi" w:hAnsiTheme="minorHAnsi"/>
              </w:rPr>
              <w:t>2</w:t>
            </w:r>
          </w:p>
        </w:tc>
        <w:tc>
          <w:tcPr>
            <w:tcW w:w="960" w:type="dxa"/>
          </w:tcPr>
          <w:p w14:paraId="65CF828D" w14:textId="5B52BF98" w:rsidR="00777881" w:rsidRPr="005D38B7" w:rsidRDefault="00516AFE" w:rsidP="00516AFE">
            <w:pPr>
              <w:jc w:val="center"/>
              <w:rPr>
                <w:rFonts w:asciiTheme="minorHAnsi" w:hAnsiTheme="minorHAnsi" w:cstheme="minorHAnsi"/>
              </w:rPr>
            </w:pPr>
            <w:r>
              <w:rPr>
                <w:rFonts w:asciiTheme="minorHAnsi" w:hAnsiTheme="minorHAnsi"/>
              </w:rPr>
              <w:t>10</w:t>
            </w:r>
          </w:p>
        </w:tc>
        <w:tc>
          <w:tcPr>
            <w:tcW w:w="960" w:type="dxa"/>
          </w:tcPr>
          <w:p w14:paraId="23CD1AF0" w14:textId="110BF525" w:rsidR="00777881" w:rsidRPr="005D38B7" w:rsidRDefault="00516AFE" w:rsidP="00516AFE">
            <w:pPr>
              <w:jc w:val="center"/>
              <w:rPr>
                <w:rFonts w:asciiTheme="minorHAnsi" w:hAnsiTheme="minorHAnsi" w:cstheme="minorHAnsi"/>
              </w:rPr>
            </w:pPr>
            <w:r>
              <w:rPr>
                <w:rFonts w:asciiTheme="minorHAnsi" w:hAnsiTheme="minorHAnsi"/>
              </w:rPr>
              <w:t>10</w:t>
            </w:r>
          </w:p>
        </w:tc>
        <w:tc>
          <w:tcPr>
            <w:tcW w:w="1086" w:type="dxa"/>
          </w:tcPr>
          <w:p w14:paraId="64D03CED" w14:textId="12C84517" w:rsidR="00777881" w:rsidRPr="005D38B7" w:rsidRDefault="00516AFE" w:rsidP="00516AFE">
            <w:pPr>
              <w:jc w:val="center"/>
              <w:rPr>
                <w:rFonts w:asciiTheme="minorHAnsi" w:hAnsiTheme="minorHAnsi" w:cstheme="minorHAnsi"/>
              </w:rPr>
            </w:pPr>
            <w:r>
              <w:rPr>
                <w:rFonts w:asciiTheme="minorHAnsi" w:hAnsiTheme="minorHAnsi"/>
              </w:rPr>
              <w:t>3</w:t>
            </w:r>
          </w:p>
        </w:tc>
        <w:tc>
          <w:tcPr>
            <w:tcW w:w="1086" w:type="dxa"/>
          </w:tcPr>
          <w:p w14:paraId="23BE4AE8" w14:textId="431D25B7" w:rsidR="00777881" w:rsidRPr="005D38B7" w:rsidRDefault="007D08FC" w:rsidP="00516AFE">
            <w:pPr>
              <w:jc w:val="center"/>
              <w:rPr>
                <w:rFonts w:asciiTheme="minorHAnsi" w:hAnsiTheme="minorHAnsi" w:cstheme="minorHAnsi"/>
                <w:b/>
              </w:rPr>
            </w:pPr>
            <w:r>
              <w:rPr>
                <w:rFonts w:asciiTheme="minorHAnsi" w:hAnsiTheme="minorHAnsi"/>
                <w:b/>
              </w:rPr>
              <w:t>25</w:t>
            </w:r>
          </w:p>
        </w:tc>
      </w:tr>
      <w:tr w:rsidR="00777881" w:rsidRPr="005D38B7" w14:paraId="59D37BC3" w14:textId="77777777" w:rsidTr="00516AFE">
        <w:tc>
          <w:tcPr>
            <w:tcW w:w="3737" w:type="dxa"/>
            <w:shd w:val="clear" w:color="auto" w:fill="auto"/>
          </w:tcPr>
          <w:p w14:paraId="47800BFC" w14:textId="48754667" w:rsidR="00777881" w:rsidRPr="005D38B7" w:rsidRDefault="00777881" w:rsidP="00502140">
            <w:pPr>
              <w:jc w:val="left"/>
              <w:rPr>
                <w:rFonts w:asciiTheme="minorHAnsi" w:hAnsiTheme="minorHAnsi" w:cstheme="minorHAnsi"/>
                <w:b/>
              </w:rPr>
            </w:pPr>
            <w:r>
              <w:rPr>
                <w:rFonts w:asciiTheme="minorHAnsi" w:hAnsiTheme="minorHAnsi"/>
                <w:b/>
              </w:rPr>
              <w:t>Réunions de groupes d’étude</w:t>
            </w:r>
          </w:p>
        </w:tc>
        <w:tc>
          <w:tcPr>
            <w:tcW w:w="1232" w:type="dxa"/>
          </w:tcPr>
          <w:p w14:paraId="1658A767" w14:textId="280F431F" w:rsidR="00777881" w:rsidRPr="005D38B7" w:rsidRDefault="00516AFE" w:rsidP="00516AFE">
            <w:pPr>
              <w:jc w:val="center"/>
              <w:rPr>
                <w:rFonts w:asciiTheme="minorHAnsi" w:hAnsiTheme="minorHAnsi" w:cstheme="minorHAnsi"/>
              </w:rPr>
            </w:pPr>
            <w:r>
              <w:rPr>
                <w:rFonts w:asciiTheme="minorHAnsi" w:hAnsiTheme="minorHAnsi"/>
              </w:rPr>
              <w:t>7</w:t>
            </w:r>
          </w:p>
        </w:tc>
        <w:tc>
          <w:tcPr>
            <w:tcW w:w="960" w:type="dxa"/>
          </w:tcPr>
          <w:p w14:paraId="621AE0A0" w14:textId="2A49A5B9" w:rsidR="00777881" w:rsidRPr="005D38B7" w:rsidRDefault="00516AFE" w:rsidP="00516AFE">
            <w:pPr>
              <w:jc w:val="center"/>
              <w:rPr>
                <w:rFonts w:asciiTheme="minorHAnsi" w:hAnsiTheme="minorHAnsi" w:cstheme="minorHAnsi"/>
              </w:rPr>
            </w:pPr>
            <w:r>
              <w:rPr>
                <w:rFonts w:asciiTheme="minorHAnsi" w:hAnsiTheme="minorHAnsi"/>
              </w:rPr>
              <w:t>42</w:t>
            </w:r>
          </w:p>
        </w:tc>
        <w:tc>
          <w:tcPr>
            <w:tcW w:w="960" w:type="dxa"/>
          </w:tcPr>
          <w:p w14:paraId="229A3532" w14:textId="2D9B29A1" w:rsidR="00777881" w:rsidRPr="005D38B7" w:rsidRDefault="00516AFE" w:rsidP="00516AFE">
            <w:pPr>
              <w:jc w:val="center"/>
              <w:rPr>
                <w:rFonts w:asciiTheme="minorHAnsi" w:hAnsiTheme="minorHAnsi" w:cstheme="minorHAnsi"/>
              </w:rPr>
            </w:pPr>
            <w:r>
              <w:rPr>
                <w:rFonts w:asciiTheme="minorHAnsi" w:hAnsiTheme="minorHAnsi"/>
              </w:rPr>
              <w:t>46</w:t>
            </w:r>
          </w:p>
        </w:tc>
        <w:tc>
          <w:tcPr>
            <w:tcW w:w="1086" w:type="dxa"/>
          </w:tcPr>
          <w:p w14:paraId="3C283B88" w14:textId="071CDCA9" w:rsidR="00777881" w:rsidRPr="005D38B7" w:rsidRDefault="00516AFE" w:rsidP="00516AFE">
            <w:pPr>
              <w:jc w:val="center"/>
              <w:rPr>
                <w:rFonts w:asciiTheme="minorHAnsi" w:hAnsiTheme="minorHAnsi" w:cstheme="minorHAnsi"/>
              </w:rPr>
            </w:pPr>
            <w:r>
              <w:rPr>
                <w:rFonts w:asciiTheme="minorHAnsi" w:hAnsiTheme="minorHAnsi"/>
              </w:rPr>
              <w:t>22</w:t>
            </w:r>
          </w:p>
        </w:tc>
        <w:tc>
          <w:tcPr>
            <w:tcW w:w="1086" w:type="dxa"/>
          </w:tcPr>
          <w:p w14:paraId="6E80AF56" w14:textId="64D6CC8D" w:rsidR="00777881" w:rsidRPr="005D38B7" w:rsidRDefault="007D08FC" w:rsidP="00516AFE">
            <w:pPr>
              <w:jc w:val="center"/>
              <w:rPr>
                <w:rFonts w:asciiTheme="minorHAnsi" w:hAnsiTheme="minorHAnsi" w:cstheme="minorHAnsi"/>
                <w:b/>
              </w:rPr>
            </w:pPr>
            <w:r>
              <w:rPr>
                <w:rFonts w:asciiTheme="minorHAnsi" w:hAnsiTheme="minorHAnsi"/>
                <w:b/>
              </w:rPr>
              <w:t>117</w:t>
            </w:r>
          </w:p>
        </w:tc>
      </w:tr>
      <w:tr w:rsidR="00777881" w:rsidRPr="005D38B7" w14:paraId="567E0A28" w14:textId="77777777" w:rsidTr="00516AFE">
        <w:tc>
          <w:tcPr>
            <w:tcW w:w="3737" w:type="dxa"/>
            <w:shd w:val="clear" w:color="auto" w:fill="auto"/>
          </w:tcPr>
          <w:p w14:paraId="213FDC0E" w14:textId="5B5C807B" w:rsidR="00777881" w:rsidRPr="005D38B7" w:rsidRDefault="00777881" w:rsidP="00502140">
            <w:pPr>
              <w:jc w:val="left"/>
              <w:rPr>
                <w:rFonts w:asciiTheme="minorHAnsi" w:hAnsiTheme="minorHAnsi" w:cstheme="minorHAnsi"/>
                <w:b/>
              </w:rPr>
            </w:pPr>
            <w:r>
              <w:rPr>
                <w:rFonts w:asciiTheme="minorHAnsi" w:hAnsiTheme="minorHAnsi"/>
                <w:b/>
              </w:rPr>
              <w:t>Réunions du groupe d’étude permanent</w:t>
            </w:r>
          </w:p>
        </w:tc>
        <w:tc>
          <w:tcPr>
            <w:tcW w:w="1232" w:type="dxa"/>
          </w:tcPr>
          <w:p w14:paraId="29E9D45D" w14:textId="167FEC39" w:rsidR="00777881"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0A84AE02" w14:textId="231CDC06" w:rsidR="00777881" w:rsidRPr="005D38B7" w:rsidRDefault="00516AFE" w:rsidP="00516AFE">
            <w:pPr>
              <w:jc w:val="center"/>
              <w:rPr>
                <w:rFonts w:asciiTheme="minorHAnsi" w:hAnsiTheme="minorHAnsi" w:cstheme="minorHAnsi"/>
              </w:rPr>
            </w:pPr>
            <w:r>
              <w:rPr>
                <w:rFonts w:asciiTheme="minorHAnsi" w:hAnsiTheme="minorHAnsi"/>
              </w:rPr>
              <w:t>2</w:t>
            </w:r>
          </w:p>
        </w:tc>
        <w:tc>
          <w:tcPr>
            <w:tcW w:w="960" w:type="dxa"/>
          </w:tcPr>
          <w:p w14:paraId="0123A1AD" w14:textId="2531A115" w:rsidR="00777881" w:rsidRPr="005D38B7" w:rsidRDefault="00516AFE" w:rsidP="00516AFE">
            <w:pPr>
              <w:jc w:val="center"/>
              <w:rPr>
                <w:rFonts w:asciiTheme="minorHAnsi" w:hAnsiTheme="minorHAnsi" w:cstheme="minorHAnsi"/>
              </w:rPr>
            </w:pPr>
            <w:r>
              <w:rPr>
                <w:rFonts w:asciiTheme="minorHAnsi" w:hAnsiTheme="minorHAnsi"/>
              </w:rPr>
              <w:t>2</w:t>
            </w:r>
          </w:p>
        </w:tc>
        <w:tc>
          <w:tcPr>
            <w:tcW w:w="1086" w:type="dxa"/>
          </w:tcPr>
          <w:p w14:paraId="1F143B60" w14:textId="4ADF1566" w:rsidR="00777881"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663691A3" w14:textId="338C37A6" w:rsidR="00777881" w:rsidRPr="005D38B7" w:rsidRDefault="007D08FC" w:rsidP="00516AFE">
            <w:pPr>
              <w:jc w:val="center"/>
              <w:rPr>
                <w:rFonts w:asciiTheme="minorHAnsi" w:hAnsiTheme="minorHAnsi" w:cstheme="minorHAnsi"/>
                <w:b/>
              </w:rPr>
            </w:pPr>
            <w:r>
              <w:rPr>
                <w:rFonts w:asciiTheme="minorHAnsi" w:hAnsiTheme="minorHAnsi"/>
                <w:b/>
              </w:rPr>
              <w:t>4</w:t>
            </w:r>
          </w:p>
        </w:tc>
      </w:tr>
      <w:tr w:rsidR="00516AFE" w:rsidRPr="005D38B7" w14:paraId="5FB5E46B" w14:textId="77777777" w:rsidTr="00516AFE">
        <w:tc>
          <w:tcPr>
            <w:tcW w:w="3737" w:type="dxa"/>
            <w:shd w:val="clear" w:color="auto" w:fill="auto"/>
          </w:tcPr>
          <w:p w14:paraId="01A33259" w14:textId="4CCB8DF5" w:rsidR="00516AFE" w:rsidRPr="005D38B7" w:rsidRDefault="00516AFE" w:rsidP="00502140">
            <w:pPr>
              <w:jc w:val="left"/>
              <w:rPr>
                <w:rFonts w:asciiTheme="minorHAnsi" w:hAnsiTheme="minorHAnsi" w:cstheme="minorHAnsi"/>
                <w:b/>
              </w:rPr>
            </w:pPr>
            <w:r>
              <w:rPr>
                <w:rFonts w:asciiTheme="minorHAnsi" w:hAnsiTheme="minorHAnsi"/>
                <w:b/>
              </w:rPr>
              <w:t>Réunions du groupe «Semestre européen»</w:t>
            </w:r>
          </w:p>
        </w:tc>
        <w:tc>
          <w:tcPr>
            <w:tcW w:w="1232" w:type="dxa"/>
          </w:tcPr>
          <w:p w14:paraId="6CCF39BA" w14:textId="4437D0EF" w:rsidR="00516AFE" w:rsidRPr="005D38B7" w:rsidRDefault="00516AFE" w:rsidP="00516AFE">
            <w:pPr>
              <w:jc w:val="center"/>
              <w:rPr>
                <w:rFonts w:asciiTheme="minorHAnsi" w:hAnsiTheme="minorHAnsi" w:cstheme="minorHAnsi"/>
              </w:rPr>
            </w:pPr>
            <w:r>
              <w:rPr>
                <w:rFonts w:asciiTheme="minorHAnsi" w:hAnsiTheme="minorHAnsi"/>
              </w:rPr>
              <w:t>1</w:t>
            </w:r>
          </w:p>
        </w:tc>
        <w:tc>
          <w:tcPr>
            <w:tcW w:w="960" w:type="dxa"/>
          </w:tcPr>
          <w:p w14:paraId="64E673A7" w14:textId="2C5742AF" w:rsidR="00516AFE" w:rsidRPr="005D38B7" w:rsidRDefault="00516AFE" w:rsidP="00516AFE">
            <w:pPr>
              <w:jc w:val="center"/>
              <w:rPr>
                <w:rFonts w:asciiTheme="minorHAnsi" w:hAnsiTheme="minorHAnsi" w:cstheme="minorHAnsi"/>
              </w:rPr>
            </w:pPr>
            <w:r>
              <w:rPr>
                <w:rFonts w:asciiTheme="minorHAnsi" w:hAnsiTheme="minorHAnsi"/>
              </w:rPr>
              <w:t>4</w:t>
            </w:r>
          </w:p>
        </w:tc>
        <w:tc>
          <w:tcPr>
            <w:tcW w:w="960" w:type="dxa"/>
          </w:tcPr>
          <w:p w14:paraId="77EFC660" w14:textId="2AA5EF98" w:rsidR="00516AFE" w:rsidRPr="005D38B7" w:rsidRDefault="00516AFE" w:rsidP="00516AFE">
            <w:pPr>
              <w:jc w:val="center"/>
              <w:rPr>
                <w:rFonts w:asciiTheme="minorHAnsi" w:hAnsiTheme="minorHAnsi" w:cstheme="minorHAnsi"/>
              </w:rPr>
            </w:pPr>
            <w:r>
              <w:rPr>
                <w:rFonts w:asciiTheme="minorHAnsi" w:hAnsiTheme="minorHAnsi"/>
              </w:rPr>
              <w:t>5</w:t>
            </w:r>
          </w:p>
        </w:tc>
        <w:tc>
          <w:tcPr>
            <w:tcW w:w="1086" w:type="dxa"/>
          </w:tcPr>
          <w:p w14:paraId="449A429E" w14:textId="3AE560A7" w:rsidR="00516AFE" w:rsidRPr="005D38B7" w:rsidRDefault="00516AFE" w:rsidP="00516AFE">
            <w:pPr>
              <w:jc w:val="center"/>
              <w:rPr>
                <w:rFonts w:asciiTheme="minorHAnsi" w:hAnsiTheme="minorHAnsi" w:cstheme="minorHAnsi"/>
              </w:rPr>
            </w:pPr>
            <w:r>
              <w:rPr>
                <w:rFonts w:asciiTheme="minorHAnsi" w:hAnsiTheme="minorHAnsi"/>
              </w:rPr>
              <w:t>2</w:t>
            </w:r>
          </w:p>
        </w:tc>
        <w:tc>
          <w:tcPr>
            <w:tcW w:w="1086" w:type="dxa"/>
          </w:tcPr>
          <w:p w14:paraId="6CFA770B" w14:textId="18099EA2" w:rsidR="00516AFE" w:rsidRPr="005D38B7" w:rsidRDefault="007D08FC" w:rsidP="00516AFE">
            <w:pPr>
              <w:jc w:val="center"/>
              <w:rPr>
                <w:rFonts w:asciiTheme="minorHAnsi" w:hAnsiTheme="minorHAnsi" w:cstheme="minorHAnsi"/>
                <w:b/>
              </w:rPr>
            </w:pPr>
            <w:r>
              <w:rPr>
                <w:rFonts w:asciiTheme="minorHAnsi" w:hAnsiTheme="minorHAnsi"/>
                <w:b/>
              </w:rPr>
              <w:t>12</w:t>
            </w:r>
          </w:p>
        </w:tc>
      </w:tr>
      <w:tr w:rsidR="00777881" w:rsidRPr="005D38B7" w14:paraId="1E337A71" w14:textId="77777777" w:rsidTr="00516AFE">
        <w:tc>
          <w:tcPr>
            <w:tcW w:w="3737" w:type="dxa"/>
            <w:shd w:val="clear" w:color="auto" w:fill="auto"/>
          </w:tcPr>
          <w:p w14:paraId="14A5C8DF" w14:textId="77777777" w:rsidR="00777881" w:rsidRPr="005D38B7" w:rsidRDefault="00777881" w:rsidP="00502140">
            <w:pPr>
              <w:jc w:val="left"/>
              <w:rPr>
                <w:rFonts w:asciiTheme="minorHAnsi" w:hAnsiTheme="minorHAnsi" w:cstheme="minorHAnsi"/>
                <w:b/>
              </w:rPr>
            </w:pPr>
            <w:r>
              <w:rPr>
                <w:rFonts w:asciiTheme="minorHAnsi" w:hAnsiTheme="minorHAnsi"/>
                <w:b/>
              </w:rPr>
              <w:t>Avis</w:t>
            </w:r>
          </w:p>
        </w:tc>
        <w:tc>
          <w:tcPr>
            <w:tcW w:w="1232" w:type="dxa"/>
          </w:tcPr>
          <w:p w14:paraId="3717DF97" w14:textId="4417705D" w:rsidR="00777881" w:rsidRPr="005D38B7" w:rsidRDefault="007D08FC" w:rsidP="00516AFE">
            <w:pPr>
              <w:jc w:val="center"/>
              <w:rPr>
                <w:rFonts w:asciiTheme="minorHAnsi" w:hAnsiTheme="minorHAnsi" w:cstheme="minorHAnsi"/>
                <w:b/>
                <w:bCs/>
              </w:rPr>
            </w:pPr>
            <w:r>
              <w:rPr>
                <w:rFonts w:asciiTheme="minorHAnsi" w:hAnsiTheme="minorHAnsi"/>
                <w:b/>
              </w:rPr>
              <w:t>5</w:t>
            </w:r>
          </w:p>
        </w:tc>
        <w:tc>
          <w:tcPr>
            <w:tcW w:w="960" w:type="dxa"/>
          </w:tcPr>
          <w:p w14:paraId="29E96FC2" w14:textId="20EDC3EE" w:rsidR="00777881" w:rsidRPr="005D38B7" w:rsidRDefault="007D08FC" w:rsidP="00516AFE">
            <w:pPr>
              <w:jc w:val="center"/>
              <w:rPr>
                <w:rFonts w:asciiTheme="minorHAnsi" w:hAnsiTheme="minorHAnsi" w:cstheme="minorHAnsi"/>
                <w:b/>
                <w:bCs/>
              </w:rPr>
            </w:pPr>
            <w:r>
              <w:rPr>
                <w:rFonts w:asciiTheme="minorHAnsi" w:hAnsiTheme="minorHAnsi"/>
                <w:b/>
              </w:rPr>
              <w:t>28</w:t>
            </w:r>
          </w:p>
        </w:tc>
        <w:tc>
          <w:tcPr>
            <w:tcW w:w="960" w:type="dxa"/>
          </w:tcPr>
          <w:p w14:paraId="0DC2C43A" w14:textId="5D1F8A89" w:rsidR="00777881" w:rsidRPr="005D38B7" w:rsidRDefault="007D08FC" w:rsidP="00516AFE">
            <w:pPr>
              <w:jc w:val="center"/>
              <w:rPr>
                <w:rFonts w:asciiTheme="minorHAnsi" w:hAnsiTheme="minorHAnsi" w:cstheme="minorHAnsi"/>
                <w:b/>
                <w:bCs/>
              </w:rPr>
            </w:pPr>
            <w:r>
              <w:rPr>
                <w:rFonts w:asciiTheme="minorHAnsi" w:hAnsiTheme="minorHAnsi"/>
                <w:b/>
              </w:rPr>
              <w:t>33</w:t>
            </w:r>
          </w:p>
        </w:tc>
        <w:tc>
          <w:tcPr>
            <w:tcW w:w="1086" w:type="dxa"/>
          </w:tcPr>
          <w:p w14:paraId="7B713F63" w14:textId="6451C0BF" w:rsidR="00777881" w:rsidRPr="005D38B7" w:rsidRDefault="007D08FC" w:rsidP="00516AFE">
            <w:pPr>
              <w:jc w:val="center"/>
              <w:rPr>
                <w:rFonts w:asciiTheme="minorHAnsi" w:hAnsiTheme="minorHAnsi" w:cstheme="minorHAnsi"/>
                <w:b/>
                <w:bCs/>
              </w:rPr>
            </w:pPr>
            <w:r>
              <w:rPr>
                <w:rFonts w:asciiTheme="minorHAnsi" w:hAnsiTheme="minorHAnsi"/>
                <w:b/>
              </w:rPr>
              <w:t>6</w:t>
            </w:r>
          </w:p>
        </w:tc>
        <w:tc>
          <w:tcPr>
            <w:tcW w:w="1086" w:type="dxa"/>
          </w:tcPr>
          <w:p w14:paraId="4299B7F8" w14:textId="76EAF8EC" w:rsidR="00777881" w:rsidRPr="005D38B7" w:rsidRDefault="007D08FC" w:rsidP="00516AFE">
            <w:pPr>
              <w:jc w:val="center"/>
              <w:rPr>
                <w:rFonts w:asciiTheme="minorHAnsi" w:hAnsiTheme="minorHAnsi" w:cstheme="minorHAnsi"/>
                <w:b/>
                <w:bCs/>
              </w:rPr>
            </w:pPr>
            <w:r>
              <w:rPr>
                <w:rFonts w:asciiTheme="minorHAnsi" w:hAnsiTheme="minorHAnsi"/>
                <w:b/>
              </w:rPr>
              <w:t>72</w:t>
            </w:r>
          </w:p>
        </w:tc>
      </w:tr>
      <w:tr w:rsidR="00777881" w:rsidRPr="005D38B7" w14:paraId="034A9452" w14:textId="77777777" w:rsidTr="00516AFE">
        <w:tc>
          <w:tcPr>
            <w:tcW w:w="3737" w:type="dxa"/>
            <w:shd w:val="clear" w:color="auto" w:fill="auto"/>
          </w:tcPr>
          <w:p w14:paraId="37ECF042" w14:textId="39C5A0C0" w:rsidR="00777881" w:rsidRPr="005D38B7" w:rsidRDefault="00777881" w:rsidP="00841A69">
            <w:pPr>
              <w:ind w:left="142"/>
              <w:jc w:val="left"/>
              <w:rPr>
                <w:rFonts w:asciiTheme="minorHAnsi" w:hAnsiTheme="minorHAnsi" w:cstheme="minorHAnsi"/>
              </w:rPr>
            </w:pPr>
            <w:r>
              <w:rPr>
                <w:rFonts w:asciiTheme="minorHAnsi" w:hAnsiTheme="minorHAnsi"/>
              </w:rPr>
              <w:t>Saisines</w:t>
            </w:r>
          </w:p>
        </w:tc>
        <w:tc>
          <w:tcPr>
            <w:tcW w:w="1232" w:type="dxa"/>
          </w:tcPr>
          <w:p w14:paraId="17C9D817" w14:textId="0CB9B69F" w:rsidR="00777881" w:rsidRPr="005D38B7" w:rsidRDefault="00516AFE" w:rsidP="00516AFE">
            <w:pPr>
              <w:jc w:val="center"/>
              <w:rPr>
                <w:rFonts w:asciiTheme="minorHAnsi" w:hAnsiTheme="minorHAnsi" w:cstheme="minorHAnsi"/>
              </w:rPr>
            </w:pPr>
            <w:r>
              <w:rPr>
                <w:rFonts w:asciiTheme="minorHAnsi" w:hAnsiTheme="minorHAnsi"/>
              </w:rPr>
              <w:t>4</w:t>
            </w:r>
          </w:p>
        </w:tc>
        <w:tc>
          <w:tcPr>
            <w:tcW w:w="960" w:type="dxa"/>
          </w:tcPr>
          <w:p w14:paraId="3573A21A" w14:textId="457C1360" w:rsidR="00777881" w:rsidRPr="005D38B7" w:rsidRDefault="00516AFE" w:rsidP="00516AFE">
            <w:pPr>
              <w:jc w:val="center"/>
              <w:rPr>
                <w:rFonts w:asciiTheme="minorHAnsi" w:hAnsiTheme="minorHAnsi" w:cstheme="minorHAnsi"/>
              </w:rPr>
            </w:pPr>
            <w:r>
              <w:rPr>
                <w:rFonts w:asciiTheme="minorHAnsi" w:hAnsiTheme="minorHAnsi"/>
              </w:rPr>
              <w:t>21</w:t>
            </w:r>
          </w:p>
        </w:tc>
        <w:tc>
          <w:tcPr>
            <w:tcW w:w="960" w:type="dxa"/>
          </w:tcPr>
          <w:p w14:paraId="72A70CCE" w14:textId="31BA49C8" w:rsidR="00777881" w:rsidRPr="005D38B7" w:rsidRDefault="000D53BD" w:rsidP="00516AFE">
            <w:pPr>
              <w:jc w:val="center"/>
              <w:rPr>
                <w:rFonts w:asciiTheme="minorHAnsi" w:hAnsiTheme="minorHAnsi" w:cstheme="minorHAnsi"/>
              </w:rPr>
            </w:pPr>
            <w:r>
              <w:rPr>
                <w:rFonts w:asciiTheme="minorHAnsi" w:hAnsiTheme="minorHAnsi"/>
              </w:rPr>
              <w:t>20</w:t>
            </w:r>
          </w:p>
        </w:tc>
        <w:tc>
          <w:tcPr>
            <w:tcW w:w="1086" w:type="dxa"/>
          </w:tcPr>
          <w:p w14:paraId="301E9EAE" w14:textId="145425B6" w:rsidR="00777881" w:rsidRPr="005D38B7" w:rsidRDefault="00516AFE" w:rsidP="00516AFE">
            <w:pPr>
              <w:jc w:val="center"/>
              <w:rPr>
                <w:rFonts w:asciiTheme="minorHAnsi" w:hAnsiTheme="minorHAnsi" w:cstheme="minorHAnsi"/>
              </w:rPr>
            </w:pPr>
            <w:r>
              <w:rPr>
                <w:rFonts w:asciiTheme="minorHAnsi" w:hAnsiTheme="minorHAnsi"/>
              </w:rPr>
              <w:t>6</w:t>
            </w:r>
          </w:p>
        </w:tc>
        <w:tc>
          <w:tcPr>
            <w:tcW w:w="1086" w:type="dxa"/>
          </w:tcPr>
          <w:p w14:paraId="21BA4DE2" w14:textId="0750BEF1" w:rsidR="00777881" w:rsidRPr="005D38B7" w:rsidRDefault="007D08FC" w:rsidP="00516AFE">
            <w:pPr>
              <w:jc w:val="center"/>
              <w:rPr>
                <w:rFonts w:asciiTheme="minorHAnsi" w:hAnsiTheme="minorHAnsi" w:cstheme="minorHAnsi"/>
                <w:bCs/>
              </w:rPr>
            </w:pPr>
            <w:r>
              <w:rPr>
                <w:rFonts w:asciiTheme="minorHAnsi" w:hAnsiTheme="minorHAnsi"/>
              </w:rPr>
              <w:t>51</w:t>
            </w:r>
          </w:p>
        </w:tc>
      </w:tr>
      <w:tr w:rsidR="00777881" w:rsidRPr="005D38B7" w14:paraId="72A49306" w14:textId="77777777" w:rsidTr="00516AFE">
        <w:tc>
          <w:tcPr>
            <w:tcW w:w="3737" w:type="dxa"/>
            <w:shd w:val="clear" w:color="auto" w:fill="auto"/>
          </w:tcPr>
          <w:p w14:paraId="5F28D0A0" w14:textId="6DB4BA1E" w:rsidR="00777881" w:rsidRPr="005D38B7" w:rsidRDefault="00777881" w:rsidP="00841A69">
            <w:pPr>
              <w:ind w:left="142"/>
              <w:jc w:val="left"/>
              <w:rPr>
                <w:rFonts w:asciiTheme="minorHAnsi" w:hAnsiTheme="minorHAnsi" w:cstheme="minorHAnsi"/>
              </w:rPr>
            </w:pPr>
            <w:r>
              <w:rPr>
                <w:rFonts w:asciiTheme="minorHAnsi" w:hAnsiTheme="minorHAnsi"/>
              </w:rPr>
              <w:t>Avis exploratoires</w:t>
            </w:r>
          </w:p>
        </w:tc>
        <w:tc>
          <w:tcPr>
            <w:tcW w:w="1232" w:type="dxa"/>
          </w:tcPr>
          <w:p w14:paraId="3BD864DE" w14:textId="6B44C158" w:rsidR="00777881"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77A261DA" w14:textId="35A2AA3F" w:rsidR="00777881" w:rsidRPr="005D38B7" w:rsidRDefault="005F39DD" w:rsidP="00516AFE">
            <w:pPr>
              <w:jc w:val="center"/>
              <w:rPr>
                <w:rFonts w:asciiTheme="minorHAnsi" w:hAnsiTheme="minorHAnsi" w:cstheme="minorHAnsi"/>
              </w:rPr>
            </w:pPr>
            <w:r>
              <w:rPr>
                <w:rFonts w:asciiTheme="minorHAnsi" w:hAnsiTheme="minorHAnsi"/>
              </w:rPr>
              <w:t>0</w:t>
            </w:r>
          </w:p>
        </w:tc>
        <w:tc>
          <w:tcPr>
            <w:tcW w:w="960" w:type="dxa"/>
          </w:tcPr>
          <w:p w14:paraId="4953896F" w14:textId="7123F737" w:rsidR="00777881" w:rsidRPr="005D38B7" w:rsidRDefault="005E7154" w:rsidP="00516AFE">
            <w:pPr>
              <w:jc w:val="center"/>
              <w:rPr>
                <w:rFonts w:asciiTheme="minorHAnsi" w:hAnsiTheme="minorHAnsi" w:cstheme="minorHAnsi"/>
              </w:rPr>
            </w:pPr>
            <w:r>
              <w:rPr>
                <w:rFonts w:asciiTheme="minorHAnsi" w:hAnsiTheme="minorHAnsi"/>
              </w:rPr>
              <w:t>3</w:t>
            </w:r>
          </w:p>
        </w:tc>
        <w:tc>
          <w:tcPr>
            <w:tcW w:w="1086" w:type="dxa"/>
          </w:tcPr>
          <w:p w14:paraId="2B90D3CB" w14:textId="692C502D" w:rsidR="00777881"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6E19E64A" w14:textId="7D75F09A" w:rsidR="00777881" w:rsidRPr="005D38B7" w:rsidRDefault="007D08FC" w:rsidP="00516AFE">
            <w:pPr>
              <w:jc w:val="center"/>
              <w:rPr>
                <w:rFonts w:asciiTheme="minorHAnsi" w:hAnsiTheme="minorHAnsi" w:cstheme="minorHAnsi"/>
                <w:bCs/>
              </w:rPr>
            </w:pPr>
            <w:r>
              <w:rPr>
                <w:rFonts w:asciiTheme="minorHAnsi" w:hAnsiTheme="minorHAnsi"/>
              </w:rPr>
              <w:t>3</w:t>
            </w:r>
          </w:p>
        </w:tc>
      </w:tr>
      <w:tr w:rsidR="00777881" w:rsidRPr="005D38B7" w14:paraId="295B7F5A" w14:textId="77777777" w:rsidTr="00516AFE">
        <w:tc>
          <w:tcPr>
            <w:tcW w:w="3737" w:type="dxa"/>
            <w:shd w:val="clear" w:color="auto" w:fill="auto"/>
          </w:tcPr>
          <w:p w14:paraId="2EA94DFC" w14:textId="4954FEF8" w:rsidR="00777881" w:rsidRPr="005D38B7" w:rsidRDefault="00777881" w:rsidP="00841A69">
            <w:pPr>
              <w:ind w:left="142"/>
              <w:jc w:val="left"/>
              <w:rPr>
                <w:rFonts w:asciiTheme="minorHAnsi" w:hAnsiTheme="minorHAnsi" w:cstheme="minorHAnsi"/>
              </w:rPr>
            </w:pPr>
            <w:r>
              <w:rPr>
                <w:rFonts w:asciiTheme="minorHAnsi" w:hAnsiTheme="minorHAnsi"/>
              </w:rPr>
              <w:t>Avis d’initiative</w:t>
            </w:r>
          </w:p>
        </w:tc>
        <w:tc>
          <w:tcPr>
            <w:tcW w:w="1232" w:type="dxa"/>
          </w:tcPr>
          <w:p w14:paraId="30217951" w14:textId="640CC51B" w:rsidR="00777881"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0F37D7D2" w14:textId="58F29930" w:rsidR="00777881" w:rsidRPr="005D38B7" w:rsidRDefault="00516AFE" w:rsidP="00516AFE">
            <w:pPr>
              <w:jc w:val="center"/>
              <w:rPr>
                <w:rFonts w:asciiTheme="minorHAnsi" w:hAnsiTheme="minorHAnsi" w:cstheme="minorHAnsi"/>
              </w:rPr>
            </w:pPr>
            <w:r>
              <w:rPr>
                <w:rFonts w:asciiTheme="minorHAnsi" w:hAnsiTheme="minorHAnsi"/>
              </w:rPr>
              <w:t>4</w:t>
            </w:r>
          </w:p>
        </w:tc>
        <w:tc>
          <w:tcPr>
            <w:tcW w:w="960" w:type="dxa"/>
          </w:tcPr>
          <w:p w14:paraId="4923AE7E" w14:textId="6DEBB45B" w:rsidR="00777881" w:rsidRPr="005D38B7" w:rsidRDefault="00516AFE" w:rsidP="00516AFE">
            <w:pPr>
              <w:jc w:val="center"/>
              <w:rPr>
                <w:rFonts w:asciiTheme="minorHAnsi" w:hAnsiTheme="minorHAnsi" w:cstheme="minorHAnsi"/>
              </w:rPr>
            </w:pPr>
            <w:r>
              <w:rPr>
                <w:rFonts w:asciiTheme="minorHAnsi" w:hAnsiTheme="minorHAnsi"/>
              </w:rPr>
              <w:t>9</w:t>
            </w:r>
          </w:p>
        </w:tc>
        <w:tc>
          <w:tcPr>
            <w:tcW w:w="1086" w:type="dxa"/>
          </w:tcPr>
          <w:p w14:paraId="6C5F3A06" w14:textId="0672F2CF" w:rsidR="00777881"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1C41F4DD" w14:textId="7570BD3D" w:rsidR="00777881" w:rsidRPr="005D38B7" w:rsidRDefault="007D08FC" w:rsidP="00516AFE">
            <w:pPr>
              <w:jc w:val="center"/>
              <w:rPr>
                <w:rFonts w:asciiTheme="minorHAnsi" w:hAnsiTheme="minorHAnsi" w:cstheme="minorHAnsi"/>
                <w:bCs/>
              </w:rPr>
            </w:pPr>
            <w:r>
              <w:rPr>
                <w:rFonts w:asciiTheme="minorHAnsi" w:hAnsiTheme="minorHAnsi"/>
              </w:rPr>
              <w:t>13</w:t>
            </w:r>
          </w:p>
        </w:tc>
      </w:tr>
      <w:tr w:rsidR="00516AFE" w:rsidRPr="005D38B7" w14:paraId="48F96FA7" w14:textId="77777777" w:rsidTr="00516AFE">
        <w:tc>
          <w:tcPr>
            <w:tcW w:w="3737" w:type="dxa"/>
            <w:shd w:val="clear" w:color="auto" w:fill="auto"/>
          </w:tcPr>
          <w:p w14:paraId="1C197932" w14:textId="5CC6437D" w:rsidR="00516AFE" w:rsidRPr="005D38B7" w:rsidRDefault="00516AFE" w:rsidP="00841A69">
            <w:pPr>
              <w:ind w:left="142"/>
              <w:jc w:val="left"/>
              <w:rPr>
                <w:rFonts w:asciiTheme="minorHAnsi" w:hAnsiTheme="minorHAnsi" w:cstheme="minorHAnsi"/>
              </w:rPr>
            </w:pPr>
            <w:r>
              <w:rPr>
                <w:rFonts w:asciiTheme="minorHAnsi" w:hAnsiTheme="minorHAnsi"/>
              </w:rPr>
              <w:t>Suppléments d’avis</w:t>
            </w:r>
          </w:p>
        </w:tc>
        <w:tc>
          <w:tcPr>
            <w:tcW w:w="1232" w:type="dxa"/>
          </w:tcPr>
          <w:p w14:paraId="184B42D1" w14:textId="7EA36AC8" w:rsidR="00516AFE" w:rsidRPr="005D38B7" w:rsidRDefault="00516AFE" w:rsidP="00516AFE">
            <w:pPr>
              <w:jc w:val="center"/>
              <w:rPr>
                <w:rFonts w:asciiTheme="minorHAnsi" w:hAnsiTheme="minorHAnsi" w:cstheme="minorHAnsi"/>
              </w:rPr>
            </w:pPr>
            <w:r>
              <w:rPr>
                <w:rFonts w:asciiTheme="minorHAnsi" w:hAnsiTheme="minorHAnsi"/>
              </w:rPr>
              <w:t>1</w:t>
            </w:r>
          </w:p>
        </w:tc>
        <w:tc>
          <w:tcPr>
            <w:tcW w:w="960" w:type="dxa"/>
          </w:tcPr>
          <w:p w14:paraId="1A4F02A0" w14:textId="5E446594" w:rsidR="00516AFE" w:rsidRPr="005D38B7" w:rsidRDefault="00516AFE" w:rsidP="00516AFE">
            <w:pPr>
              <w:jc w:val="center"/>
              <w:rPr>
                <w:rFonts w:asciiTheme="minorHAnsi" w:hAnsiTheme="minorHAnsi" w:cstheme="minorHAnsi"/>
              </w:rPr>
            </w:pPr>
            <w:r>
              <w:rPr>
                <w:rFonts w:asciiTheme="minorHAnsi" w:hAnsiTheme="minorHAnsi"/>
              </w:rPr>
              <w:t>2</w:t>
            </w:r>
          </w:p>
        </w:tc>
        <w:tc>
          <w:tcPr>
            <w:tcW w:w="960" w:type="dxa"/>
          </w:tcPr>
          <w:p w14:paraId="64247E87" w14:textId="00F9C067" w:rsidR="00516AFE"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6716E90B" w14:textId="0856D689" w:rsidR="00516AFE"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74F72954" w14:textId="0118C965" w:rsidR="00516AFE" w:rsidRPr="005D38B7" w:rsidRDefault="007D08FC" w:rsidP="00516AFE">
            <w:pPr>
              <w:jc w:val="center"/>
              <w:rPr>
                <w:rFonts w:asciiTheme="minorHAnsi" w:hAnsiTheme="minorHAnsi" w:cstheme="minorHAnsi"/>
                <w:bCs/>
              </w:rPr>
            </w:pPr>
            <w:r>
              <w:rPr>
                <w:rFonts w:asciiTheme="minorHAnsi" w:hAnsiTheme="minorHAnsi"/>
              </w:rPr>
              <w:t>3</w:t>
            </w:r>
          </w:p>
        </w:tc>
      </w:tr>
      <w:tr w:rsidR="00097A20" w:rsidRPr="005D38B7" w14:paraId="4CAE3C07" w14:textId="77777777" w:rsidTr="00516AFE">
        <w:tc>
          <w:tcPr>
            <w:tcW w:w="3737" w:type="dxa"/>
            <w:shd w:val="clear" w:color="auto" w:fill="auto"/>
          </w:tcPr>
          <w:p w14:paraId="529D3870" w14:textId="3D17F29E" w:rsidR="00097A20" w:rsidRPr="005D38B7" w:rsidRDefault="00097A20" w:rsidP="00841A69">
            <w:pPr>
              <w:ind w:left="142"/>
              <w:jc w:val="left"/>
              <w:rPr>
                <w:rFonts w:asciiTheme="minorHAnsi" w:hAnsiTheme="minorHAnsi" w:cstheme="minorHAnsi"/>
              </w:rPr>
            </w:pPr>
            <w:r>
              <w:rPr>
                <w:rFonts w:asciiTheme="minorHAnsi" w:hAnsiTheme="minorHAnsi"/>
              </w:rPr>
              <w:t>Rapports d’évaluation</w:t>
            </w:r>
          </w:p>
        </w:tc>
        <w:tc>
          <w:tcPr>
            <w:tcW w:w="1232" w:type="dxa"/>
          </w:tcPr>
          <w:p w14:paraId="748B05C3" w14:textId="0670F235" w:rsidR="00097A20"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14690B52" w14:textId="36088F38" w:rsidR="00097A20" w:rsidRPr="005D38B7" w:rsidRDefault="00516AFE" w:rsidP="00516AFE">
            <w:pPr>
              <w:jc w:val="center"/>
              <w:rPr>
                <w:rFonts w:asciiTheme="minorHAnsi" w:hAnsiTheme="minorHAnsi" w:cstheme="minorHAnsi"/>
              </w:rPr>
            </w:pPr>
            <w:r>
              <w:rPr>
                <w:rFonts w:asciiTheme="minorHAnsi" w:hAnsiTheme="minorHAnsi"/>
              </w:rPr>
              <w:t>1</w:t>
            </w:r>
          </w:p>
        </w:tc>
        <w:tc>
          <w:tcPr>
            <w:tcW w:w="960" w:type="dxa"/>
          </w:tcPr>
          <w:p w14:paraId="1CE3F779" w14:textId="016B1CC5" w:rsidR="00097A20" w:rsidRPr="005D38B7" w:rsidRDefault="00516AFE" w:rsidP="00516AFE">
            <w:pPr>
              <w:jc w:val="center"/>
              <w:rPr>
                <w:rFonts w:asciiTheme="minorHAnsi" w:hAnsiTheme="minorHAnsi" w:cstheme="minorHAnsi"/>
              </w:rPr>
            </w:pPr>
            <w:r>
              <w:rPr>
                <w:rFonts w:asciiTheme="minorHAnsi" w:hAnsiTheme="minorHAnsi"/>
              </w:rPr>
              <w:t>1</w:t>
            </w:r>
          </w:p>
        </w:tc>
        <w:tc>
          <w:tcPr>
            <w:tcW w:w="1086" w:type="dxa"/>
          </w:tcPr>
          <w:p w14:paraId="709996A6" w14:textId="053B5D07" w:rsidR="00097A20"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4F355943" w14:textId="2EF2E176" w:rsidR="00097A20" w:rsidRPr="005D38B7" w:rsidRDefault="007D08FC" w:rsidP="00516AFE">
            <w:pPr>
              <w:jc w:val="center"/>
              <w:rPr>
                <w:rFonts w:asciiTheme="minorHAnsi" w:hAnsiTheme="minorHAnsi" w:cstheme="minorHAnsi"/>
                <w:bCs/>
              </w:rPr>
            </w:pPr>
            <w:r>
              <w:rPr>
                <w:rFonts w:asciiTheme="minorHAnsi" w:hAnsiTheme="minorHAnsi"/>
              </w:rPr>
              <w:t>2</w:t>
            </w:r>
          </w:p>
        </w:tc>
      </w:tr>
      <w:tr w:rsidR="00777881" w:rsidRPr="005D38B7" w14:paraId="26647ADA" w14:textId="77777777" w:rsidTr="00516AFE">
        <w:tc>
          <w:tcPr>
            <w:tcW w:w="3737" w:type="dxa"/>
            <w:shd w:val="clear" w:color="auto" w:fill="auto"/>
          </w:tcPr>
          <w:p w14:paraId="6E131EDA" w14:textId="06C3B1E3" w:rsidR="007D08FC" w:rsidRPr="005D38B7" w:rsidRDefault="00777881" w:rsidP="00502140">
            <w:pPr>
              <w:jc w:val="left"/>
              <w:rPr>
                <w:rFonts w:asciiTheme="minorHAnsi" w:hAnsiTheme="minorHAnsi" w:cstheme="minorHAnsi"/>
                <w:b/>
              </w:rPr>
            </w:pPr>
            <w:r>
              <w:rPr>
                <w:rFonts w:asciiTheme="minorHAnsi" w:hAnsiTheme="minorHAnsi"/>
                <w:b/>
              </w:rPr>
              <w:t xml:space="preserve">Missions d’informations </w:t>
            </w:r>
          </w:p>
        </w:tc>
        <w:tc>
          <w:tcPr>
            <w:tcW w:w="1232" w:type="dxa"/>
          </w:tcPr>
          <w:p w14:paraId="6E938FF9" w14:textId="516C9682" w:rsidR="00777881"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2E072A2F" w14:textId="7E083A79" w:rsidR="00777881" w:rsidRPr="005D38B7" w:rsidRDefault="0070787D" w:rsidP="00516AFE">
            <w:pPr>
              <w:jc w:val="center"/>
              <w:rPr>
                <w:rFonts w:asciiTheme="minorHAnsi" w:hAnsiTheme="minorHAnsi" w:cstheme="minorHAnsi"/>
              </w:rPr>
            </w:pPr>
            <w:r>
              <w:rPr>
                <w:rFonts w:asciiTheme="minorHAnsi" w:hAnsiTheme="minorHAnsi"/>
              </w:rPr>
              <w:t>24</w:t>
            </w:r>
          </w:p>
        </w:tc>
        <w:tc>
          <w:tcPr>
            <w:tcW w:w="960" w:type="dxa"/>
          </w:tcPr>
          <w:p w14:paraId="1A5D655C" w14:textId="28233DE6" w:rsidR="00777881" w:rsidRPr="005D38B7" w:rsidRDefault="0070787D" w:rsidP="00516AFE">
            <w:pPr>
              <w:jc w:val="center"/>
              <w:rPr>
                <w:rFonts w:asciiTheme="minorHAnsi" w:hAnsiTheme="minorHAnsi" w:cstheme="minorHAnsi"/>
              </w:rPr>
            </w:pPr>
            <w:r>
              <w:rPr>
                <w:rFonts w:asciiTheme="minorHAnsi" w:hAnsiTheme="minorHAnsi"/>
              </w:rPr>
              <w:t>10</w:t>
            </w:r>
          </w:p>
        </w:tc>
        <w:tc>
          <w:tcPr>
            <w:tcW w:w="1086" w:type="dxa"/>
          </w:tcPr>
          <w:p w14:paraId="63EA281C" w14:textId="51090302" w:rsidR="00777881" w:rsidRPr="005D38B7" w:rsidRDefault="006C131F" w:rsidP="00516AFE">
            <w:pPr>
              <w:jc w:val="center"/>
              <w:rPr>
                <w:rFonts w:asciiTheme="minorHAnsi" w:hAnsiTheme="minorHAnsi" w:cstheme="minorHAnsi"/>
              </w:rPr>
            </w:pPr>
            <w:r>
              <w:rPr>
                <w:rFonts w:asciiTheme="minorHAnsi" w:hAnsiTheme="minorHAnsi"/>
              </w:rPr>
              <w:t>7</w:t>
            </w:r>
          </w:p>
        </w:tc>
        <w:tc>
          <w:tcPr>
            <w:tcW w:w="1086" w:type="dxa"/>
          </w:tcPr>
          <w:p w14:paraId="2911AE9D" w14:textId="667BB97C" w:rsidR="00777881" w:rsidRPr="005D38B7" w:rsidRDefault="0070787D" w:rsidP="00516AFE">
            <w:pPr>
              <w:jc w:val="center"/>
              <w:rPr>
                <w:rFonts w:asciiTheme="minorHAnsi" w:hAnsiTheme="minorHAnsi" w:cstheme="minorHAnsi"/>
                <w:b/>
              </w:rPr>
            </w:pPr>
            <w:r>
              <w:rPr>
                <w:rFonts w:asciiTheme="minorHAnsi" w:hAnsiTheme="minorHAnsi"/>
                <w:b/>
              </w:rPr>
              <w:t>31</w:t>
            </w:r>
          </w:p>
        </w:tc>
      </w:tr>
      <w:tr w:rsidR="00777881" w:rsidRPr="005D38B7" w14:paraId="3B975A8F" w14:textId="77777777" w:rsidTr="00516AFE">
        <w:tc>
          <w:tcPr>
            <w:tcW w:w="3737" w:type="dxa"/>
            <w:tcBorders>
              <w:bottom w:val="single" w:sz="4" w:space="0" w:color="auto"/>
            </w:tcBorders>
            <w:shd w:val="clear" w:color="auto" w:fill="auto"/>
          </w:tcPr>
          <w:p w14:paraId="77C9D169" w14:textId="2387893D" w:rsidR="00777881" w:rsidRPr="005D38B7" w:rsidRDefault="00777881" w:rsidP="00502140">
            <w:pPr>
              <w:jc w:val="left"/>
              <w:rPr>
                <w:rFonts w:asciiTheme="minorHAnsi" w:hAnsiTheme="minorHAnsi" w:cstheme="minorHAnsi"/>
                <w:b/>
              </w:rPr>
            </w:pPr>
            <w:r>
              <w:rPr>
                <w:rFonts w:asciiTheme="minorHAnsi" w:hAnsiTheme="minorHAnsi"/>
                <w:b/>
              </w:rPr>
              <w:t>Conférences et auditions organisées par la section</w:t>
            </w:r>
          </w:p>
        </w:tc>
        <w:tc>
          <w:tcPr>
            <w:tcW w:w="1232" w:type="dxa"/>
            <w:tcBorders>
              <w:bottom w:val="single" w:sz="4" w:space="0" w:color="auto"/>
            </w:tcBorders>
          </w:tcPr>
          <w:p w14:paraId="1473AFA5" w14:textId="41728081" w:rsidR="00777881" w:rsidRPr="005D38B7" w:rsidRDefault="00C40E46" w:rsidP="00516AFE">
            <w:pPr>
              <w:jc w:val="center"/>
              <w:rPr>
                <w:rFonts w:asciiTheme="minorHAnsi" w:hAnsiTheme="minorHAnsi" w:cstheme="minorHAnsi"/>
              </w:rPr>
            </w:pPr>
            <w:r>
              <w:rPr>
                <w:rFonts w:asciiTheme="minorHAnsi" w:hAnsiTheme="minorHAnsi"/>
              </w:rPr>
              <w:t>1</w:t>
            </w:r>
          </w:p>
        </w:tc>
        <w:tc>
          <w:tcPr>
            <w:tcW w:w="960" w:type="dxa"/>
            <w:tcBorders>
              <w:bottom w:val="single" w:sz="4" w:space="0" w:color="auto"/>
            </w:tcBorders>
          </w:tcPr>
          <w:p w14:paraId="35260237" w14:textId="2760C915" w:rsidR="00777881" w:rsidRPr="005D38B7" w:rsidRDefault="00C40E46" w:rsidP="00516AFE">
            <w:pPr>
              <w:jc w:val="center"/>
              <w:rPr>
                <w:rFonts w:asciiTheme="minorHAnsi" w:hAnsiTheme="minorHAnsi" w:cstheme="minorHAnsi"/>
              </w:rPr>
            </w:pPr>
            <w:r>
              <w:rPr>
                <w:rFonts w:asciiTheme="minorHAnsi" w:hAnsiTheme="minorHAnsi"/>
              </w:rPr>
              <w:t>17</w:t>
            </w:r>
          </w:p>
        </w:tc>
        <w:tc>
          <w:tcPr>
            <w:tcW w:w="960" w:type="dxa"/>
            <w:tcBorders>
              <w:bottom w:val="single" w:sz="4" w:space="0" w:color="auto"/>
            </w:tcBorders>
          </w:tcPr>
          <w:p w14:paraId="6401C363" w14:textId="2425D88C" w:rsidR="00777881" w:rsidRPr="005D38B7" w:rsidRDefault="00C40E46" w:rsidP="00516AFE">
            <w:pPr>
              <w:jc w:val="center"/>
              <w:rPr>
                <w:rFonts w:asciiTheme="minorHAnsi" w:hAnsiTheme="minorHAnsi" w:cstheme="minorHAnsi"/>
              </w:rPr>
            </w:pPr>
            <w:r>
              <w:rPr>
                <w:rFonts w:asciiTheme="minorHAnsi" w:hAnsiTheme="minorHAnsi"/>
              </w:rPr>
              <w:t>20</w:t>
            </w:r>
          </w:p>
        </w:tc>
        <w:tc>
          <w:tcPr>
            <w:tcW w:w="1086" w:type="dxa"/>
            <w:tcBorders>
              <w:bottom w:val="single" w:sz="4" w:space="0" w:color="auto"/>
            </w:tcBorders>
          </w:tcPr>
          <w:p w14:paraId="0E2FD771" w14:textId="0A4EAC45" w:rsidR="00777881" w:rsidRPr="005D38B7" w:rsidRDefault="00AF26D9" w:rsidP="00516AFE">
            <w:pPr>
              <w:jc w:val="center"/>
              <w:rPr>
                <w:rFonts w:asciiTheme="minorHAnsi" w:hAnsiTheme="minorHAnsi" w:cstheme="minorHAnsi"/>
              </w:rPr>
            </w:pPr>
            <w:r>
              <w:rPr>
                <w:rFonts w:asciiTheme="minorHAnsi" w:hAnsiTheme="minorHAnsi"/>
              </w:rPr>
              <w:t>3</w:t>
            </w:r>
          </w:p>
        </w:tc>
        <w:tc>
          <w:tcPr>
            <w:tcW w:w="1086" w:type="dxa"/>
            <w:tcBorders>
              <w:bottom w:val="single" w:sz="4" w:space="0" w:color="auto"/>
            </w:tcBorders>
          </w:tcPr>
          <w:p w14:paraId="5C68CD43" w14:textId="60893F79" w:rsidR="00777881" w:rsidRPr="005D38B7" w:rsidRDefault="007D08FC" w:rsidP="00516AFE">
            <w:pPr>
              <w:jc w:val="center"/>
              <w:rPr>
                <w:rFonts w:asciiTheme="minorHAnsi" w:hAnsiTheme="minorHAnsi" w:cstheme="minorHAnsi"/>
                <w:b/>
              </w:rPr>
            </w:pPr>
            <w:r>
              <w:rPr>
                <w:rFonts w:asciiTheme="minorHAnsi" w:hAnsiTheme="minorHAnsi"/>
                <w:b/>
              </w:rPr>
              <w:t>41</w:t>
            </w:r>
          </w:p>
        </w:tc>
      </w:tr>
      <w:tr w:rsidR="00777881" w:rsidRPr="005D38B7" w14:paraId="36603C55" w14:textId="77777777" w:rsidTr="00516AFE">
        <w:tc>
          <w:tcPr>
            <w:tcW w:w="3737" w:type="dxa"/>
            <w:shd w:val="clear" w:color="auto" w:fill="auto"/>
          </w:tcPr>
          <w:p w14:paraId="3879E3E9" w14:textId="21A8A2B5" w:rsidR="00777881" w:rsidRPr="005D38B7" w:rsidRDefault="00777881" w:rsidP="00904086">
            <w:pPr>
              <w:jc w:val="left"/>
              <w:rPr>
                <w:rFonts w:asciiTheme="minorHAnsi" w:hAnsiTheme="minorHAnsi" w:cstheme="minorHAnsi"/>
                <w:b/>
              </w:rPr>
            </w:pPr>
            <w:r>
              <w:rPr>
                <w:rFonts w:asciiTheme="minorHAnsi" w:hAnsiTheme="minorHAnsi"/>
                <w:b/>
              </w:rPr>
              <w:t>Participation des membres à des réunions/manifestations/conférences</w:t>
            </w:r>
          </w:p>
        </w:tc>
        <w:tc>
          <w:tcPr>
            <w:tcW w:w="1232" w:type="dxa"/>
          </w:tcPr>
          <w:p w14:paraId="372931D2" w14:textId="7DCBF066" w:rsidR="00777881" w:rsidRPr="005D38B7" w:rsidRDefault="00516AFE" w:rsidP="00516AFE">
            <w:pPr>
              <w:jc w:val="center"/>
              <w:rPr>
                <w:rFonts w:asciiTheme="minorHAnsi" w:hAnsiTheme="minorHAnsi" w:cstheme="minorHAnsi"/>
              </w:rPr>
            </w:pPr>
            <w:r>
              <w:rPr>
                <w:rFonts w:asciiTheme="minorHAnsi" w:hAnsiTheme="minorHAnsi"/>
              </w:rPr>
              <w:t>8</w:t>
            </w:r>
          </w:p>
        </w:tc>
        <w:tc>
          <w:tcPr>
            <w:tcW w:w="960" w:type="dxa"/>
          </w:tcPr>
          <w:p w14:paraId="42690667" w14:textId="0BCD92CD" w:rsidR="00777881" w:rsidRPr="005D38B7" w:rsidRDefault="00516AFE" w:rsidP="00516AFE">
            <w:pPr>
              <w:jc w:val="center"/>
              <w:rPr>
                <w:rFonts w:asciiTheme="minorHAnsi" w:hAnsiTheme="minorHAnsi" w:cstheme="minorHAnsi"/>
              </w:rPr>
            </w:pPr>
            <w:r>
              <w:rPr>
                <w:rFonts w:asciiTheme="minorHAnsi" w:hAnsiTheme="minorHAnsi"/>
              </w:rPr>
              <w:t>48</w:t>
            </w:r>
          </w:p>
        </w:tc>
        <w:tc>
          <w:tcPr>
            <w:tcW w:w="960" w:type="dxa"/>
          </w:tcPr>
          <w:p w14:paraId="650AFF44" w14:textId="61A36D1D" w:rsidR="00777881" w:rsidRPr="005D38B7" w:rsidRDefault="00516AFE" w:rsidP="00516AFE">
            <w:pPr>
              <w:jc w:val="center"/>
              <w:rPr>
                <w:rFonts w:asciiTheme="minorHAnsi" w:hAnsiTheme="minorHAnsi" w:cstheme="minorHAnsi"/>
              </w:rPr>
            </w:pPr>
            <w:r>
              <w:rPr>
                <w:rFonts w:asciiTheme="minorHAnsi" w:hAnsiTheme="minorHAnsi"/>
              </w:rPr>
              <w:t>93</w:t>
            </w:r>
          </w:p>
        </w:tc>
        <w:tc>
          <w:tcPr>
            <w:tcW w:w="1086" w:type="dxa"/>
          </w:tcPr>
          <w:p w14:paraId="52277156" w14:textId="23F43801" w:rsidR="00777881" w:rsidRPr="005D38B7" w:rsidRDefault="00516AFE" w:rsidP="00516AFE">
            <w:pPr>
              <w:jc w:val="center"/>
              <w:rPr>
                <w:rFonts w:asciiTheme="minorHAnsi" w:hAnsiTheme="minorHAnsi" w:cstheme="minorHAnsi"/>
              </w:rPr>
            </w:pPr>
            <w:r>
              <w:rPr>
                <w:rFonts w:asciiTheme="minorHAnsi" w:hAnsiTheme="minorHAnsi"/>
              </w:rPr>
              <w:t>11</w:t>
            </w:r>
          </w:p>
        </w:tc>
        <w:tc>
          <w:tcPr>
            <w:tcW w:w="1086" w:type="dxa"/>
          </w:tcPr>
          <w:p w14:paraId="4E33DADD" w14:textId="2BCA740A" w:rsidR="00777881" w:rsidRPr="005D38B7" w:rsidRDefault="007D08FC" w:rsidP="00516AFE">
            <w:pPr>
              <w:jc w:val="center"/>
              <w:rPr>
                <w:rFonts w:asciiTheme="minorHAnsi" w:hAnsiTheme="minorHAnsi" w:cstheme="minorHAnsi"/>
                <w:b/>
              </w:rPr>
            </w:pPr>
            <w:r>
              <w:rPr>
                <w:rFonts w:asciiTheme="minorHAnsi" w:hAnsiTheme="minorHAnsi"/>
                <w:b/>
              </w:rPr>
              <w:t>160</w:t>
            </w:r>
          </w:p>
        </w:tc>
      </w:tr>
      <w:tr w:rsidR="00777881" w:rsidRPr="005D38B7" w14:paraId="54C38AE7" w14:textId="77777777" w:rsidTr="00516AFE">
        <w:tc>
          <w:tcPr>
            <w:tcW w:w="3737" w:type="dxa"/>
            <w:shd w:val="clear" w:color="auto" w:fill="auto"/>
          </w:tcPr>
          <w:p w14:paraId="24F75FDF" w14:textId="657CE3B8" w:rsidR="00777881" w:rsidRPr="005D38B7" w:rsidRDefault="00777881" w:rsidP="00502140">
            <w:pPr>
              <w:jc w:val="left"/>
              <w:rPr>
                <w:rFonts w:asciiTheme="minorHAnsi" w:hAnsiTheme="minorHAnsi" w:cstheme="minorHAnsi"/>
                <w:b/>
              </w:rPr>
            </w:pPr>
            <w:r>
              <w:rPr>
                <w:rFonts w:asciiTheme="minorHAnsi" w:hAnsiTheme="minorHAnsi"/>
                <w:b/>
              </w:rPr>
              <w:t>Réunions entre les rapporteurs du CESE ou du Parlement ou les présidents de la section ou de la commission du Parlement</w:t>
            </w:r>
          </w:p>
        </w:tc>
        <w:tc>
          <w:tcPr>
            <w:tcW w:w="1232" w:type="dxa"/>
          </w:tcPr>
          <w:p w14:paraId="4125C36E" w14:textId="6B1535F5" w:rsidR="00777881"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60C72F7F" w14:textId="27C3EFAB" w:rsidR="00777881" w:rsidRPr="005D38B7" w:rsidRDefault="00516AFE" w:rsidP="00516AFE">
            <w:pPr>
              <w:jc w:val="center"/>
              <w:rPr>
                <w:rFonts w:asciiTheme="minorHAnsi" w:hAnsiTheme="minorHAnsi" w:cstheme="minorHAnsi"/>
              </w:rPr>
            </w:pPr>
            <w:r>
              <w:rPr>
                <w:rFonts w:asciiTheme="minorHAnsi" w:hAnsiTheme="minorHAnsi"/>
              </w:rPr>
              <w:t>7</w:t>
            </w:r>
          </w:p>
        </w:tc>
        <w:tc>
          <w:tcPr>
            <w:tcW w:w="960" w:type="dxa"/>
          </w:tcPr>
          <w:p w14:paraId="158500C7" w14:textId="22CE29BF" w:rsidR="00777881" w:rsidRPr="005D38B7" w:rsidRDefault="00516AFE" w:rsidP="00516AFE">
            <w:pPr>
              <w:jc w:val="center"/>
              <w:rPr>
                <w:rFonts w:asciiTheme="minorHAnsi" w:hAnsiTheme="minorHAnsi" w:cstheme="minorHAnsi"/>
              </w:rPr>
            </w:pPr>
            <w:r>
              <w:rPr>
                <w:rFonts w:asciiTheme="minorHAnsi" w:hAnsiTheme="minorHAnsi"/>
              </w:rPr>
              <w:t>6</w:t>
            </w:r>
          </w:p>
        </w:tc>
        <w:tc>
          <w:tcPr>
            <w:tcW w:w="1086" w:type="dxa"/>
          </w:tcPr>
          <w:p w14:paraId="5476017D" w14:textId="5A2447D2" w:rsidR="00777881" w:rsidRPr="005D38B7" w:rsidRDefault="00516AFE" w:rsidP="00516AFE">
            <w:pPr>
              <w:jc w:val="center"/>
              <w:rPr>
                <w:rFonts w:asciiTheme="minorHAnsi" w:hAnsiTheme="minorHAnsi" w:cstheme="minorHAnsi"/>
              </w:rPr>
            </w:pPr>
            <w:r>
              <w:rPr>
                <w:rFonts w:asciiTheme="minorHAnsi" w:hAnsiTheme="minorHAnsi"/>
              </w:rPr>
              <w:t>2</w:t>
            </w:r>
          </w:p>
        </w:tc>
        <w:tc>
          <w:tcPr>
            <w:tcW w:w="1086" w:type="dxa"/>
          </w:tcPr>
          <w:p w14:paraId="4E23F6E5" w14:textId="751628C8" w:rsidR="00777881" w:rsidRPr="005D38B7" w:rsidRDefault="007D08FC" w:rsidP="00516AFE">
            <w:pPr>
              <w:jc w:val="center"/>
              <w:rPr>
                <w:rFonts w:asciiTheme="minorHAnsi" w:hAnsiTheme="minorHAnsi" w:cstheme="minorHAnsi"/>
                <w:b/>
              </w:rPr>
            </w:pPr>
            <w:r>
              <w:rPr>
                <w:rFonts w:asciiTheme="minorHAnsi" w:hAnsiTheme="minorHAnsi"/>
                <w:b/>
              </w:rPr>
              <w:t>15</w:t>
            </w:r>
          </w:p>
        </w:tc>
      </w:tr>
      <w:tr w:rsidR="00135C53" w:rsidRPr="005D38B7" w14:paraId="165C2A9B" w14:textId="77777777" w:rsidTr="00516AFE">
        <w:tc>
          <w:tcPr>
            <w:tcW w:w="3737" w:type="dxa"/>
            <w:shd w:val="clear" w:color="auto" w:fill="auto"/>
          </w:tcPr>
          <w:p w14:paraId="16F961A1" w14:textId="1BA1D755" w:rsidR="00135C53" w:rsidRPr="005D38B7" w:rsidRDefault="00135C53" w:rsidP="00502140">
            <w:pPr>
              <w:jc w:val="left"/>
              <w:rPr>
                <w:rFonts w:asciiTheme="minorHAnsi" w:hAnsiTheme="minorHAnsi" w:cstheme="minorHAnsi"/>
                <w:b/>
              </w:rPr>
            </w:pPr>
            <w:r>
              <w:rPr>
                <w:rFonts w:asciiTheme="minorHAnsi" w:hAnsiTheme="minorHAnsi"/>
                <w:b/>
              </w:rPr>
              <w:t>Réunions des membres du CESE avec des commissaires, des membres de cabinet, des directeurs généraux ou des directeurs de la Commission</w:t>
            </w:r>
          </w:p>
        </w:tc>
        <w:tc>
          <w:tcPr>
            <w:tcW w:w="1232" w:type="dxa"/>
          </w:tcPr>
          <w:p w14:paraId="78230F63" w14:textId="3CE42F69" w:rsidR="00135C53"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7412481E" w14:textId="18FBAD1B" w:rsidR="00135C53" w:rsidRPr="005D38B7" w:rsidRDefault="00516AFE" w:rsidP="00516AFE">
            <w:pPr>
              <w:jc w:val="center"/>
              <w:rPr>
                <w:rFonts w:asciiTheme="minorHAnsi" w:hAnsiTheme="minorHAnsi" w:cstheme="minorHAnsi"/>
              </w:rPr>
            </w:pPr>
            <w:r>
              <w:rPr>
                <w:rFonts w:asciiTheme="minorHAnsi" w:hAnsiTheme="minorHAnsi"/>
              </w:rPr>
              <w:t>0</w:t>
            </w:r>
          </w:p>
        </w:tc>
        <w:tc>
          <w:tcPr>
            <w:tcW w:w="960" w:type="dxa"/>
          </w:tcPr>
          <w:p w14:paraId="7C658A2D" w14:textId="0A2CB61C" w:rsidR="00135C53" w:rsidRPr="005D38B7" w:rsidRDefault="00516AFE" w:rsidP="00516AFE">
            <w:pPr>
              <w:jc w:val="center"/>
              <w:rPr>
                <w:rFonts w:asciiTheme="minorHAnsi" w:hAnsiTheme="minorHAnsi" w:cstheme="minorHAnsi"/>
              </w:rPr>
            </w:pPr>
            <w:r>
              <w:rPr>
                <w:rFonts w:asciiTheme="minorHAnsi" w:hAnsiTheme="minorHAnsi"/>
              </w:rPr>
              <w:t>0</w:t>
            </w:r>
          </w:p>
        </w:tc>
        <w:tc>
          <w:tcPr>
            <w:tcW w:w="1086" w:type="dxa"/>
          </w:tcPr>
          <w:p w14:paraId="5E72D41C" w14:textId="705306B8" w:rsidR="00135C53" w:rsidRPr="005D38B7" w:rsidRDefault="00516AFE" w:rsidP="00516AFE">
            <w:pPr>
              <w:jc w:val="center"/>
              <w:rPr>
                <w:rFonts w:asciiTheme="minorHAnsi" w:hAnsiTheme="minorHAnsi" w:cstheme="minorHAnsi"/>
              </w:rPr>
            </w:pPr>
            <w:r>
              <w:rPr>
                <w:rFonts w:asciiTheme="minorHAnsi" w:hAnsiTheme="minorHAnsi"/>
              </w:rPr>
              <w:t>2</w:t>
            </w:r>
          </w:p>
        </w:tc>
        <w:tc>
          <w:tcPr>
            <w:tcW w:w="1086" w:type="dxa"/>
          </w:tcPr>
          <w:p w14:paraId="7640286F" w14:textId="6E278427" w:rsidR="00135C53" w:rsidRPr="005D38B7" w:rsidRDefault="007D08FC" w:rsidP="00516AFE">
            <w:pPr>
              <w:jc w:val="center"/>
              <w:rPr>
                <w:rFonts w:asciiTheme="minorHAnsi" w:hAnsiTheme="minorHAnsi" w:cstheme="minorHAnsi"/>
                <w:b/>
              </w:rPr>
            </w:pPr>
            <w:r>
              <w:rPr>
                <w:rFonts w:asciiTheme="minorHAnsi" w:hAnsiTheme="minorHAnsi"/>
                <w:b/>
              </w:rPr>
              <w:t>2</w:t>
            </w:r>
          </w:p>
        </w:tc>
      </w:tr>
      <w:tr w:rsidR="00135C53" w:rsidRPr="005D38B7" w14:paraId="24D0C0CE" w14:textId="77777777" w:rsidTr="00516AFE">
        <w:tc>
          <w:tcPr>
            <w:tcW w:w="3737" w:type="dxa"/>
            <w:shd w:val="clear" w:color="auto" w:fill="auto"/>
          </w:tcPr>
          <w:p w14:paraId="6C258F50" w14:textId="31D1EB7A" w:rsidR="00135C53" w:rsidRPr="005D38B7" w:rsidRDefault="00135C53" w:rsidP="00502140">
            <w:pPr>
              <w:jc w:val="left"/>
              <w:rPr>
                <w:rFonts w:asciiTheme="minorHAnsi" w:hAnsiTheme="minorHAnsi" w:cstheme="minorHAnsi"/>
                <w:b/>
              </w:rPr>
            </w:pPr>
            <w:r>
              <w:rPr>
                <w:rFonts w:asciiTheme="minorHAnsi" w:hAnsiTheme="minorHAnsi"/>
                <w:b/>
              </w:rPr>
              <w:t>Réunions des membres du CESE avec des représentants du Conseil, des représentants permanents ou des représentants de la présidence de l’UE</w:t>
            </w:r>
          </w:p>
        </w:tc>
        <w:tc>
          <w:tcPr>
            <w:tcW w:w="1232" w:type="dxa"/>
          </w:tcPr>
          <w:p w14:paraId="77F7D104" w14:textId="3C35A3AD" w:rsidR="00135C53" w:rsidRPr="005D38B7" w:rsidRDefault="00516AFE" w:rsidP="00516AFE">
            <w:pPr>
              <w:jc w:val="center"/>
              <w:rPr>
                <w:rFonts w:asciiTheme="minorHAnsi" w:hAnsiTheme="minorHAnsi" w:cstheme="minorHAnsi"/>
              </w:rPr>
            </w:pPr>
            <w:r>
              <w:rPr>
                <w:rFonts w:asciiTheme="minorHAnsi" w:hAnsiTheme="minorHAnsi"/>
              </w:rPr>
              <w:t>4</w:t>
            </w:r>
          </w:p>
        </w:tc>
        <w:tc>
          <w:tcPr>
            <w:tcW w:w="960" w:type="dxa"/>
          </w:tcPr>
          <w:p w14:paraId="791A8873" w14:textId="70D4EDCD" w:rsidR="00135C53" w:rsidRPr="005D38B7" w:rsidRDefault="00516AFE" w:rsidP="00516AFE">
            <w:pPr>
              <w:jc w:val="center"/>
              <w:rPr>
                <w:rFonts w:asciiTheme="minorHAnsi" w:hAnsiTheme="minorHAnsi" w:cstheme="minorHAnsi"/>
              </w:rPr>
            </w:pPr>
            <w:r>
              <w:rPr>
                <w:rFonts w:asciiTheme="minorHAnsi" w:hAnsiTheme="minorHAnsi"/>
              </w:rPr>
              <w:t>6</w:t>
            </w:r>
          </w:p>
        </w:tc>
        <w:tc>
          <w:tcPr>
            <w:tcW w:w="960" w:type="dxa"/>
          </w:tcPr>
          <w:p w14:paraId="09F1A9AE" w14:textId="33B3B607" w:rsidR="00135C53" w:rsidRPr="005D38B7" w:rsidRDefault="00516AFE" w:rsidP="00516AFE">
            <w:pPr>
              <w:jc w:val="center"/>
              <w:rPr>
                <w:rFonts w:asciiTheme="minorHAnsi" w:hAnsiTheme="minorHAnsi" w:cstheme="minorHAnsi"/>
              </w:rPr>
            </w:pPr>
            <w:r>
              <w:rPr>
                <w:rFonts w:asciiTheme="minorHAnsi" w:hAnsiTheme="minorHAnsi"/>
              </w:rPr>
              <w:t>2</w:t>
            </w:r>
          </w:p>
        </w:tc>
        <w:tc>
          <w:tcPr>
            <w:tcW w:w="1086" w:type="dxa"/>
          </w:tcPr>
          <w:p w14:paraId="17071C1B" w14:textId="105AFB65" w:rsidR="00135C53" w:rsidRPr="005D38B7" w:rsidRDefault="00516AFE" w:rsidP="00516AFE">
            <w:pPr>
              <w:jc w:val="center"/>
              <w:rPr>
                <w:rFonts w:asciiTheme="minorHAnsi" w:hAnsiTheme="minorHAnsi" w:cstheme="minorHAnsi"/>
              </w:rPr>
            </w:pPr>
            <w:r>
              <w:rPr>
                <w:rFonts w:asciiTheme="minorHAnsi" w:hAnsiTheme="minorHAnsi"/>
              </w:rPr>
              <w:t>3</w:t>
            </w:r>
          </w:p>
        </w:tc>
        <w:tc>
          <w:tcPr>
            <w:tcW w:w="1086" w:type="dxa"/>
          </w:tcPr>
          <w:p w14:paraId="06CDEB83" w14:textId="613C38BE" w:rsidR="00135C53" w:rsidRPr="005D38B7" w:rsidRDefault="007D08FC" w:rsidP="00516AFE">
            <w:pPr>
              <w:jc w:val="center"/>
              <w:rPr>
                <w:rFonts w:asciiTheme="minorHAnsi" w:hAnsiTheme="minorHAnsi" w:cstheme="minorHAnsi"/>
                <w:b/>
              </w:rPr>
            </w:pPr>
            <w:r>
              <w:rPr>
                <w:rFonts w:asciiTheme="minorHAnsi" w:hAnsiTheme="minorHAnsi"/>
                <w:b/>
              </w:rPr>
              <w:t>15</w:t>
            </w:r>
          </w:p>
        </w:tc>
      </w:tr>
    </w:tbl>
    <w:p w14:paraId="5197E6A6" w14:textId="77777777" w:rsidR="00E004D3" w:rsidRPr="005D38B7" w:rsidRDefault="00E004D3" w:rsidP="002F4476">
      <w:pPr>
        <w:rPr>
          <w:rFonts w:asciiTheme="minorHAnsi" w:hAnsiTheme="minorHAnsi" w:cstheme="minorHAnsi"/>
          <w:lang w:val="en-GB"/>
        </w:rPr>
      </w:pPr>
    </w:p>
    <w:sectPr w:rsidR="00E004D3" w:rsidRPr="005D38B7" w:rsidSect="000119EA">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E078" w14:textId="77777777" w:rsidR="000233C3" w:rsidRDefault="000233C3" w:rsidP="00FD0832">
      <w:pPr>
        <w:spacing w:line="240" w:lineRule="auto"/>
      </w:pPr>
      <w:r>
        <w:separator/>
      </w:r>
    </w:p>
  </w:endnote>
  <w:endnote w:type="continuationSeparator" w:id="0">
    <w:p w14:paraId="7670E072" w14:textId="77777777" w:rsidR="000233C3" w:rsidRDefault="000233C3"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1B6" w14:textId="77777777" w:rsidR="00343B5A" w:rsidRDefault="0034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88CC" w14:textId="3B94FAE1" w:rsidR="002F2F1C" w:rsidRPr="00287D69" w:rsidRDefault="00287D69" w:rsidP="009E2366">
    <w:pPr>
      <w:pStyle w:val="Footer"/>
      <w:ind w:left="-567" w:right="-567"/>
    </w:pPr>
    <w:r>
      <w:rPr>
        <w:color w:val="000000"/>
      </w:rPr>
      <w:t>EESC-2023-01653-05-00-NB-TRA</w:t>
    </w:r>
    <w:r>
      <w:t xml:space="preserve"> </w:t>
    </w:r>
    <w:r>
      <w:rPr>
        <w:noProof/>
      </w:rPr>
      <mc:AlternateContent>
        <mc:Choice Requires="wps">
          <w:drawing>
            <wp:anchor distT="0" distB="0" distL="114300" distR="114300" simplePos="0" relativeHeight="251659264" behindDoc="0" locked="0" layoutInCell="1" allowOverlap="1" wp14:anchorId="0EFA686E" wp14:editId="3784F185">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6BB3A693" w14:textId="5776FE41"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41A69">
                            <w:rPr>
                              <w:rFonts w:asciiTheme="minorHAnsi" w:hAnsiTheme="minorHAnsi" w:cstheme="minorHAnsi"/>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686E" id="_x0000_t202" coordsize="21600,21600" o:spt="202" path="m,l,21600r21600,l21600,xe">
              <v:stroke joinstyle="miter"/>
              <v:path gradientshapeok="t" o:connecttype="rect"/>
            </v:shapetype>
            <v:shape id="Text Box 7" o:spid="_x0000_s1028"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6BB3A693" w14:textId="5776FE41"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41A69">
                      <w:rPr>
                        <w:rFonts w:asciiTheme="minorHAnsi" w:hAnsiTheme="minorHAnsi" w:cstheme="minorHAnsi"/>
                      </w:rPr>
                      <w:t>1</w:t>
                    </w:r>
                    <w:r w:rsidRPr="003E771B">
                      <w:rPr>
                        <w:rFonts w:asciiTheme="minorHAnsi" w:hAnsiTheme="minorHAnsi" w:cstheme="minorHAnsi"/>
                      </w:rPr>
                      <w:fldChar w:fldCharType="end"/>
                    </w:r>
                  </w:p>
                </w:txbxContent>
              </v:textbox>
              <w10:wrap anchorx="page" anchory="page"/>
            </v:shape>
          </w:pict>
        </mc:Fallback>
      </mc:AlternateContent>
    </w:r>
    <w:r>
      <w:rPr>
        <w:noProof/>
      </w:rPr>
      <w:drawing>
        <wp:anchor distT="269875" distB="0" distL="114300" distR="114300" simplePos="0" relativeHeight="251658240" behindDoc="0" locked="0" layoutInCell="1" allowOverlap="1" wp14:anchorId="02323F95" wp14:editId="5CBDD673">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0559" w14:textId="77777777" w:rsidR="00343B5A" w:rsidRDefault="0034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3F9B" w14:textId="77777777" w:rsidR="000233C3" w:rsidRDefault="000233C3" w:rsidP="00FD0832">
      <w:pPr>
        <w:spacing w:line="240" w:lineRule="auto"/>
      </w:pPr>
      <w:r>
        <w:separator/>
      </w:r>
    </w:p>
  </w:footnote>
  <w:footnote w:type="continuationSeparator" w:id="0">
    <w:p w14:paraId="186510C9" w14:textId="77777777" w:rsidR="000233C3" w:rsidRDefault="000233C3"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08FF" w14:textId="77777777" w:rsidR="00343B5A" w:rsidRDefault="0034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FD8A"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2A" w14:textId="77777777" w:rsidR="00343B5A" w:rsidRDefault="0034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F7"/>
    <w:rsid w:val="00003A18"/>
    <w:rsid w:val="000119EA"/>
    <w:rsid w:val="000152C0"/>
    <w:rsid w:val="000203EF"/>
    <w:rsid w:val="000233C3"/>
    <w:rsid w:val="00033841"/>
    <w:rsid w:val="00035A09"/>
    <w:rsid w:val="00047F00"/>
    <w:rsid w:val="00051F23"/>
    <w:rsid w:val="0005760B"/>
    <w:rsid w:val="00065E0A"/>
    <w:rsid w:val="0006754F"/>
    <w:rsid w:val="00072338"/>
    <w:rsid w:val="00072FD4"/>
    <w:rsid w:val="00080CAA"/>
    <w:rsid w:val="000834C4"/>
    <w:rsid w:val="00084666"/>
    <w:rsid w:val="00084EE4"/>
    <w:rsid w:val="00097A20"/>
    <w:rsid w:val="000A3FB5"/>
    <w:rsid w:val="000A4700"/>
    <w:rsid w:val="000A61C5"/>
    <w:rsid w:val="000D53BD"/>
    <w:rsid w:val="000E0AD5"/>
    <w:rsid w:val="000E5193"/>
    <w:rsid w:val="000F2679"/>
    <w:rsid w:val="000F369F"/>
    <w:rsid w:val="001072F3"/>
    <w:rsid w:val="001158DA"/>
    <w:rsid w:val="001246DB"/>
    <w:rsid w:val="00125277"/>
    <w:rsid w:val="001264D6"/>
    <w:rsid w:val="00127166"/>
    <w:rsid w:val="00131A9C"/>
    <w:rsid w:val="00132A66"/>
    <w:rsid w:val="001335E4"/>
    <w:rsid w:val="00135C53"/>
    <w:rsid w:val="00152AC6"/>
    <w:rsid w:val="00157B75"/>
    <w:rsid w:val="001605F0"/>
    <w:rsid w:val="00166B6B"/>
    <w:rsid w:val="0017344A"/>
    <w:rsid w:val="001A70F3"/>
    <w:rsid w:val="001D3636"/>
    <w:rsid w:val="001E3579"/>
    <w:rsid w:val="001E7648"/>
    <w:rsid w:val="001F083C"/>
    <w:rsid w:val="001F1EC5"/>
    <w:rsid w:val="002018AF"/>
    <w:rsid w:val="002036D9"/>
    <w:rsid w:val="00206F21"/>
    <w:rsid w:val="00210E5E"/>
    <w:rsid w:val="00211DFA"/>
    <w:rsid w:val="00215EAE"/>
    <w:rsid w:val="00225345"/>
    <w:rsid w:val="00237B1E"/>
    <w:rsid w:val="00246692"/>
    <w:rsid w:val="00253784"/>
    <w:rsid w:val="002547F9"/>
    <w:rsid w:val="00266013"/>
    <w:rsid w:val="00266969"/>
    <w:rsid w:val="00270D00"/>
    <w:rsid w:val="00271815"/>
    <w:rsid w:val="00273FC3"/>
    <w:rsid w:val="00275B11"/>
    <w:rsid w:val="00281DB1"/>
    <w:rsid w:val="00287D69"/>
    <w:rsid w:val="0029506C"/>
    <w:rsid w:val="002A2DB2"/>
    <w:rsid w:val="002A6C87"/>
    <w:rsid w:val="002B2B53"/>
    <w:rsid w:val="002D012D"/>
    <w:rsid w:val="002D4A3F"/>
    <w:rsid w:val="002E4E15"/>
    <w:rsid w:val="002E6118"/>
    <w:rsid w:val="002E76D4"/>
    <w:rsid w:val="002F2F1C"/>
    <w:rsid w:val="002F4476"/>
    <w:rsid w:val="00304171"/>
    <w:rsid w:val="003139DA"/>
    <w:rsid w:val="0031423C"/>
    <w:rsid w:val="00315564"/>
    <w:rsid w:val="003160B0"/>
    <w:rsid w:val="00321B55"/>
    <w:rsid w:val="0032588D"/>
    <w:rsid w:val="0033113D"/>
    <w:rsid w:val="00343B5A"/>
    <w:rsid w:val="003566BE"/>
    <w:rsid w:val="00356A1D"/>
    <w:rsid w:val="00370806"/>
    <w:rsid w:val="00371758"/>
    <w:rsid w:val="0037206A"/>
    <w:rsid w:val="00374803"/>
    <w:rsid w:val="0037783D"/>
    <w:rsid w:val="00385AD8"/>
    <w:rsid w:val="003B377B"/>
    <w:rsid w:val="003B39A8"/>
    <w:rsid w:val="003C5B4E"/>
    <w:rsid w:val="003D6526"/>
    <w:rsid w:val="003E10AF"/>
    <w:rsid w:val="003E771B"/>
    <w:rsid w:val="00402188"/>
    <w:rsid w:val="00417634"/>
    <w:rsid w:val="00420416"/>
    <w:rsid w:val="00441EC9"/>
    <w:rsid w:val="00443D86"/>
    <w:rsid w:val="00444120"/>
    <w:rsid w:val="00450A9E"/>
    <w:rsid w:val="00460222"/>
    <w:rsid w:val="0047280D"/>
    <w:rsid w:val="004832D3"/>
    <w:rsid w:val="004A44FE"/>
    <w:rsid w:val="004C0CB0"/>
    <w:rsid w:val="004C408B"/>
    <w:rsid w:val="004C668D"/>
    <w:rsid w:val="004D2176"/>
    <w:rsid w:val="004D3CC0"/>
    <w:rsid w:val="004D6747"/>
    <w:rsid w:val="004E66C0"/>
    <w:rsid w:val="004F2406"/>
    <w:rsid w:val="004F4D9D"/>
    <w:rsid w:val="0050293D"/>
    <w:rsid w:val="00516AFE"/>
    <w:rsid w:val="00525B7C"/>
    <w:rsid w:val="00532394"/>
    <w:rsid w:val="00534167"/>
    <w:rsid w:val="00540E47"/>
    <w:rsid w:val="00541194"/>
    <w:rsid w:val="00541272"/>
    <w:rsid w:val="00546848"/>
    <w:rsid w:val="00547CA3"/>
    <w:rsid w:val="00555777"/>
    <w:rsid w:val="00561772"/>
    <w:rsid w:val="00571207"/>
    <w:rsid w:val="00572922"/>
    <w:rsid w:val="00577EF8"/>
    <w:rsid w:val="0058065A"/>
    <w:rsid w:val="00590915"/>
    <w:rsid w:val="00592972"/>
    <w:rsid w:val="005938BD"/>
    <w:rsid w:val="005A6D0D"/>
    <w:rsid w:val="005B2E67"/>
    <w:rsid w:val="005B7E8E"/>
    <w:rsid w:val="005C2E6D"/>
    <w:rsid w:val="005D38B7"/>
    <w:rsid w:val="005D3E6F"/>
    <w:rsid w:val="005E7154"/>
    <w:rsid w:val="005F39DD"/>
    <w:rsid w:val="005F7F74"/>
    <w:rsid w:val="00601E86"/>
    <w:rsid w:val="00623986"/>
    <w:rsid w:val="00623AB4"/>
    <w:rsid w:val="00625EFE"/>
    <w:rsid w:val="00632CB4"/>
    <w:rsid w:val="00633D3F"/>
    <w:rsid w:val="006409F3"/>
    <w:rsid w:val="00651469"/>
    <w:rsid w:val="00653B7D"/>
    <w:rsid w:val="0065535B"/>
    <w:rsid w:val="006579DD"/>
    <w:rsid w:val="00666497"/>
    <w:rsid w:val="006734EE"/>
    <w:rsid w:val="006A1288"/>
    <w:rsid w:val="006B4640"/>
    <w:rsid w:val="006B66EE"/>
    <w:rsid w:val="006C131F"/>
    <w:rsid w:val="006E3668"/>
    <w:rsid w:val="006F0990"/>
    <w:rsid w:val="00700EAE"/>
    <w:rsid w:val="00702756"/>
    <w:rsid w:val="0070658C"/>
    <w:rsid w:val="0070787D"/>
    <w:rsid w:val="00711581"/>
    <w:rsid w:val="00714BD7"/>
    <w:rsid w:val="00715EF0"/>
    <w:rsid w:val="00723AD1"/>
    <w:rsid w:val="00724E9B"/>
    <w:rsid w:val="00725556"/>
    <w:rsid w:val="00732BCF"/>
    <w:rsid w:val="00736503"/>
    <w:rsid w:val="0073728A"/>
    <w:rsid w:val="0074189B"/>
    <w:rsid w:val="00777881"/>
    <w:rsid w:val="00782852"/>
    <w:rsid w:val="007969AD"/>
    <w:rsid w:val="007A0FED"/>
    <w:rsid w:val="007A5222"/>
    <w:rsid w:val="007C444D"/>
    <w:rsid w:val="007C56DA"/>
    <w:rsid w:val="007D08FC"/>
    <w:rsid w:val="007D128D"/>
    <w:rsid w:val="007E66A5"/>
    <w:rsid w:val="007F29FD"/>
    <w:rsid w:val="007F3152"/>
    <w:rsid w:val="007F7BA9"/>
    <w:rsid w:val="00802033"/>
    <w:rsid w:val="008039C9"/>
    <w:rsid w:val="00810227"/>
    <w:rsid w:val="00811D93"/>
    <w:rsid w:val="00814A14"/>
    <w:rsid w:val="00823FFD"/>
    <w:rsid w:val="00841A69"/>
    <w:rsid w:val="0086137D"/>
    <w:rsid w:val="00876B16"/>
    <w:rsid w:val="00887024"/>
    <w:rsid w:val="00891350"/>
    <w:rsid w:val="008949F4"/>
    <w:rsid w:val="00894B8B"/>
    <w:rsid w:val="008A1287"/>
    <w:rsid w:val="008A55F7"/>
    <w:rsid w:val="008A6A30"/>
    <w:rsid w:val="008B6D94"/>
    <w:rsid w:val="008C05FE"/>
    <w:rsid w:val="008C13EF"/>
    <w:rsid w:val="008C7E89"/>
    <w:rsid w:val="008D4977"/>
    <w:rsid w:val="008D5CCD"/>
    <w:rsid w:val="008F1557"/>
    <w:rsid w:val="008F5FAB"/>
    <w:rsid w:val="0090215B"/>
    <w:rsid w:val="00904086"/>
    <w:rsid w:val="00904795"/>
    <w:rsid w:val="009119DA"/>
    <w:rsid w:val="00913FC9"/>
    <w:rsid w:val="00916F00"/>
    <w:rsid w:val="00917E70"/>
    <w:rsid w:val="00922CB7"/>
    <w:rsid w:val="009269FD"/>
    <w:rsid w:val="00933538"/>
    <w:rsid w:val="009407C2"/>
    <w:rsid w:val="009446BB"/>
    <w:rsid w:val="0094706E"/>
    <w:rsid w:val="00957A8D"/>
    <w:rsid w:val="009751EB"/>
    <w:rsid w:val="00984379"/>
    <w:rsid w:val="00985064"/>
    <w:rsid w:val="00985F7A"/>
    <w:rsid w:val="0098635B"/>
    <w:rsid w:val="009879F6"/>
    <w:rsid w:val="00990594"/>
    <w:rsid w:val="009944C9"/>
    <w:rsid w:val="009A27F5"/>
    <w:rsid w:val="009A5424"/>
    <w:rsid w:val="009B1802"/>
    <w:rsid w:val="009B38B2"/>
    <w:rsid w:val="009B776B"/>
    <w:rsid w:val="009C1CC5"/>
    <w:rsid w:val="009C1E0B"/>
    <w:rsid w:val="009C5FD2"/>
    <w:rsid w:val="009E2366"/>
    <w:rsid w:val="00A03A1F"/>
    <w:rsid w:val="00A03F35"/>
    <w:rsid w:val="00A04F56"/>
    <w:rsid w:val="00A07057"/>
    <w:rsid w:val="00A10FE3"/>
    <w:rsid w:val="00A15DF0"/>
    <w:rsid w:val="00A2307E"/>
    <w:rsid w:val="00A5024B"/>
    <w:rsid w:val="00A52B7C"/>
    <w:rsid w:val="00A55003"/>
    <w:rsid w:val="00A61955"/>
    <w:rsid w:val="00A73836"/>
    <w:rsid w:val="00A87685"/>
    <w:rsid w:val="00A90D10"/>
    <w:rsid w:val="00A93779"/>
    <w:rsid w:val="00AA0048"/>
    <w:rsid w:val="00AA7EA3"/>
    <w:rsid w:val="00AB24B1"/>
    <w:rsid w:val="00AB3A37"/>
    <w:rsid w:val="00AC29C6"/>
    <w:rsid w:val="00AE311A"/>
    <w:rsid w:val="00AF26D9"/>
    <w:rsid w:val="00B01838"/>
    <w:rsid w:val="00B04057"/>
    <w:rsid w:val="00B21BCC"/>
    <w:rsid w:val="00B24A6E"/>
    <w:rsid w:val="00B250D6"/>
    <w:rsid w:val="00B604BE"/>
    <w:rsid w:val="00B65B94"/>
    <w:rsid w:val="00B817DE"/>
    <w:rsid w:val="00B8503E"/>
    <w:rsid w:val="00B954F1"/>
    <w:rsid w:val="00B95E84"/>
    <w:rsid w:val="00BA1C2B"/>
    <w:rsid w:val="00BA6B9B"/>
    <w:rsid w:val="00BB3F04"/>
    <w:rsid w:val="00BB40D8"/>
    <w:rsid w:val="00BC2E1D"/>
    <w:rsid w:val="00BC62A9"/>
    <w:rsid w:val="00BC798F"/>
    <w:rsid w:val="00BE262D"/>
    <w:rsid w:val="00BE2DA5"/>
    <w:rsid w:val="00BF0EAD"/>
    <w:rsid w:val="00BF3397"/>
    <w:rsid w:val="00C0260B"/>
    <w:rsid w:val="00C13432"/>
    <w:rsid w:val="00C1452D"/>
    <w:rsid w:val="00C21978"/>
    <w:rsid w:val="00C30F6F"/>
    <w:rsid w:val="00C3126D"/>
    <w:rsid w:val="00C40CF1"/>
    <w:rsid w:val="00C40E46"/>
    <w:rsid w:val="00C41148"/>
    <w:rsid w:val="00C4124F"/>
    <w:rsid w:val="00C41710"/>
    <w:rsid w:val="00C55E4F"/>
    <w:rsid w:val="00C57AA4"/>
    <w:rsid w:val="00C63F7B"/>
    <w:rsid w:val="00C70B66"/>
    <w:rsid w:val="00C80C20"/>
    <w:rsid w:val="00C841B9"/>
    <w:rsid w:val="00C9335B"/>
    <w:rsid w:val="00CA2423"/>
    <w:rsid w:val="00CA6677"/>
    <w:rsid w:val="00CA6786"/>
    <w:rsid w:val="00CB131D"/>
    <w:rsid w:val="00CC33F8"/>
    <w:rsid w:val="00CD2973"/>
    <w:rsid w:val="00CD70CC"/>
    <w:rsid w:val="00CE0D31"/>
    <w:rsid w:val="00CE28CC"/>
    <w:rsid w:val="00D25F0A"/>
    <w:rsid w:val="00D306D7"/>
    <w:rsid w:val="00D3625B"/>
    <w:rsid w:val="00D40132"/>
    <w:rsid w:val="00D44008"/>
    <w:rsid w:val="00D4497B"/>
    <w:rsid w:val="00D64867"/>
    <w:rsid w:val="00D70505"/>
    <w:rsid w:val="00D7078C"/>
    <w:rsid w:val="00D755DB"/>
    <w:rsid w:val="00D90A46"/>
    <w:rsid w:val="00DA3BC5"/>
    <w:rsid w:val="00DA5BA9"/>
    <w:rsid w:val="00DA633E"/>
    <w:rsid w:val="00DC7FA7"/>
    <w:rsid w:val="00DD38DF"/>
    <w:rsid w:val="00E004D3"/>
    <w:rsid w:val="00E045AB"/>
    <w:rsid w:val="00E178D6"/>
    <w:rsid w:val="00E17C44"/>
    <w:rsid w:val="00E21EBC"/>
    <w:rsid w:val="00E358F7"/>
    <w:rsid w:val="00E40971"/>
    <w:rsid w:val="00E40F0E"/>
    <w:rsid w:val="00E43102"/>
    <w:rsid w:val="00E56DF9"/>
    <w:rsid w:val="00E67617"/>
    <w:rsid w:val="00E74D1A"/>
    <w:rsid w:val="00E83B2F"/>
    <w:rsid w:val="00E85891"/>
    <w:rsid w:val="00E91279"/>
    <w:rsid w:val="00E9670E"/>
    <w:rsid w:val="00E96B9E"/>
    <w:rsid w:val="00EA336F"/>
    <w:rsid w:val="00EA462C"/>
    <w:rsid w:val="00EB12D7"/>
    <w:rsid w:val="00EB4C91"/>
    <w:rsid w:val="00EB6251"/>
    <w:rsid w:val="00EC1A69"/>
    <w:rsid w:val="00EC7622"/>
    <w:rsid w:val="00ED01B0"/>
    <w:rsid w:val="00ED060F"/>
    <w:rsid w:val="00ED1074"/>
    <w:rsid w:val="00ED17DC"/>
    <w:rsid w:val="00ED1F1E"/>
    <w:rsid w:val="00ED21EB"/>
    <w:rsid w:val="00ED75FC"/>
    <w:rsid w:val="00EE0BB7"/>
    <w:rsid w:val="00EE468D"/>
    <w:rsid w:val="00EF24F5"/>
    <w:rsid w:val="00EF7FA9"/>
    <w:rsid w:val="00F10A12"/>
    <w:rsid w:val="00F2058E"/>
    <w:rsid w:val="00F23DF6"/>
    <w:rsid w:val="00F366AB"/>
    <w:rsid w:val="00F404DE"/>
    <w:rsid w:val="00F510F6"/>
    <w:rsid w:val="00F54E5E"/>
    <w:rsid w:val="00F64A4C"/>
    <w:rsid w:val="00F66A72"/>
    <w:rsid w:val="00F67EEB"/>
    <w:rsid w:val="00F743BB"/>
    <w:rsid w:val="00F74E59"/>
    <w:rsid w:val="00F75AFF"/>
    <w:rsid w:val="00F931FE"/>
    <w:rsid w:val="00FA0378"/>
    <w:rsid w:val="00FA5268"/>
    <w:rsid w:val="00FB2C75"/>
    <w:rsid w:val="00FB4B4E"/>
    <w:rsid w:val="00FB7ED5"/>
    <w:rsid w:val="00FB7F98"/>
    <w:rsid w:val="00FD0832"/>
    <w:rsid w:val="00FD39A3"/>
    <w:rsid w:val="00FD4B65"/>
    <w:rsid w:val="00FD67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277B7B"/>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8A55F7"/>
    <w:rPr>
      <w:rFonts w:ascii="Times New Roman" w:eastAsia="Times New Roman" w:hAnsi="Times New Roman" w:cs="Times New Roman"/>
      <w:lang w:val="fr-FR"/>
    </w:rPr>
  </w:style>
  <w:style w:type="character" w:customStyle="1" w:styleId="Heading3Char">
    <w:name w:val="Heading 3 Char"/>
    <w:basedOn w:val="DefaultParagraphFont"/>
    <w:link w:val="Heading3"/>
    <w:rsid w:val="008A55F7"/>
    <w:rPr>
      <w:rFonts w:ascii="Times New Roman" w:eastAsia="Times New Roman" w:hAnsi="Times New Roman" w:cs="Times New Roman"/>
      <w:lang w:val="fr-FR"/>
    </w:rPr>
  </w:style>
  <w:style w:type="character" w:customStyle="1" w:styleId="Heading4Char">
    <w:name w:val="Heading 4 Char"/>
    <w:basedOn w:val="DefaultParagraphFont"/>
    <w:link w:val="Heading4"/>
    <w:rsid w:val="008A55F7"/>
    <w:rPr>
      <w:rFonts w:ascii="Times New Roman" w:eastAsia="Times New Roman" w:hAnsi="Times New Roman" w:cs="Times New Roman"/>
      <w:lang w:val="fr-FR"/>
    </w:rPr>
  </w:style>
  <w:style w:type="character" w:customStyle="1" w:styleId="Heading5Char">
    <w:name w:val="Heading 5 Char"/>
    <w:basedOn w:val="DefaultParagraphFont"/>
    <w:link w:val="Heading5"/>
    <w:rsid w:val="008A55F7"/>
    <w:rPr>
      <w:rFonts w:ascii="Times New Roman" w:eastAsia="Times New Roman" w:hAnsi="Times New Roman" w:cs="Times New Roman"/>
      <w:lang w:val="fr-FR"/>
    </w:rPr>
  </w:style>
  <w:style w:type="character" w:customStyle="1" w:styleId="Heading6Char">
    <w:name w:val="Heading 6 Char"/>
    <w:basedOn w:val="DefaultParagraphFont"/>
    <w:link w:val="Heading6"/>
    <w:rsid w:val="008A55F7"/>
    <w:rPr>
      <w:rFonts w:ascii="Times New Roman" w:eastAsia="Times New Roman" w:hAnsi="Times New Roman" w:cs="Times New Roman"/>
      <w:lang w:val="fr-FR"/>
    </w:rPr>
  </w:style>
  <w:style w:type="character" w:customStyle="1" w:styleId="Heading7Char">
    <w:name w:val="Heading 7 Char"/>
    <w:basedOn w:val="DefaultParagraphFont"/>
    <w:link w:val="Heading7"/>
    <w:rsid w:val="008A55F7"/>
    <w:rPr>
      <w:rFonts w:ascii="Times New Roman" w:eastAsia="Times New Roman" w:hAnsi="Times New Roman" w:cs="Times New Roman"/>
      <w:lang w:val="fr-FR"/>
    </w:rPr>
  </w:style>
  <w:style w:type="character" w:customStyle="1" w:styleId="Heading8Char">
    <w:name w:val="Heading 8 Char"/>
    <w:basedOn w:val="DefaultParagraphFont"/>
    <w:link w:val="Heading8"/>
    <w:rsid w:val="008A55F7"/>
    <w:rPr>
      <w:rFonts w:ascii="Times New Roman" w:eastAsia="Times New Roman" w:hAnsi="Times New Roman" w:cs="Times New Roman"/>
      <w:lang w:val="fr-FR"/>
    </w:rPr>
  </w:style>
  <w:style w:type="character" w:customStyle="1" w:styleId="Heading9Char">
    <w:name w:val="Heading 9 Char"/>
    <w:basedOn w:val="DefaultParagraphFont"/>
    <w:link w:val="Heading9"/>
    <w:rsid w:val="008A55F7"/>
    <w:rPr>
      <w:rFonts w:ascii="Times New Roman" w:eastAsia="Times New Roman" w:hAnsi="Times New Roman" w:cs="Times New Roman"/>
      <w:lang w:val="fr-FR"/>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fr-FR"/>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fr-FR"/>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fr-FR"/>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fr-FR"/>
    </w:rPr>
  </w:style>
  <w:style w:type="table" w:styleId="TableGrid">
    <w:name w:val="Table Grid"/>
    <w:basedOn w:val="TableNormal"/>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119EA"/>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0119EA"/>
    <w:pPr>
      <w:spacing w:after="100" w:line="259" w:lineRule="auto"/>
      <w:ind w:left="220"/>
      <w:jc w:val="left"/>
    </w:pPr>
    <w:rPr>
      <w:rFonts w:asciiTheme="minorHAnsi" w:eastAsiaTheme="minorEastAsia" w:hAnsiTheme="minorHAnsi"/>
    </w:rPr>
  </w:style>
  <w:style w:type="paragraph" w:styleId="TOC1">
    <w:name w:val="toc 1"/>
    <w:basedOn w:val="Normal"/>
    <w:next w:val="Normal"/>
    <w:autoRedefine/>
    <w:uiPriority w:val="39"/>
    <w:unhideWhenUsed/>
    <w:rsid w:val="000119EA"/>
    <w:pPr>
      <w:spacing w:after="100" w:line="259" w:lineRule="auto"/>
      <w:jc w:val="left"/>
    </w:pPr>
    <w:rPr>
      <w:rFonts w:asciiTheme="minorHAnsi" w:eastAsiaTheme="minorEastAsia" w:hAnsiTheme="minorHAnsi"/>
    </w:rPr>
  </w:style>
  <w:style w:type="paragraph" w:styleId="TOC3">
    <w:name w:val="toc 3"/>
    <w:basedOn w:val="Normal"/>
    <w:next w:val="Normal"/>
    <w:autoRedefine/>
    <w:uiPriority w:val="39"/>
    <w:unhideWhenUsed/>
    <w:rsid w:val="000119EA"/>
    <w:pPr>
      <w:spacing w:after="100" w:line="259" w:lineRule="auto"/>
      <w:ind w:left="440"/>
      <w:jc w:val="left"/>
    </w:pPr>
    <w:rPr>
      <w:rFonts w:asciiTheme="minorHAnsi" w:eastAsiaTheme="minorEastAsia" w:hAnsiTheme="minorHAnsi"/>
    </w:rPr>
  </w:style>
  <w:style w:type="character" w:styleId="CommentReference">
    <w:name w:val="annotation reference"/>
    <w:basedOn w:val="DefaultParagraphFont"/>
    <w:uiPriority w:val="99"/>
    <w:semiHidden/>
    <w:unhideWhenUsed/>
    <w:rsid w:val="00E045AB"/>
    <w:rPr>
      <w:sz w:val="16"/>
      <w:szCs w:val="16"/>
    </w:rPr>
  </w:style>
  <w:style w:type="paragraph" w:styleId="CommentText">
    <w:name w:val="annotation text"/>
    <w:basedOn w:val="Normal"/>
    <w:link w:val="CommentTextChar"/>
    <w:uiPriority w:val="99"/>
    <w:semiHidden/>
    <w:unhideWhenUsed/>
    <w:rsid w:val="00E045AB"/>
    <w:pPr>
      <w:spacing w:line="240" w:lineRule="auto"/>
    </w:pPr>
    <w:rPr>
      <w:sz w:val="20"/>
      <w:szCs w:val="20"/>
    </w:rPr>
  </w:style>
  <w:style w:type="character" w:customStyle="1" w:styleId="CommentTextChar">
    <w:name w:val="Comment Text Char"/>
    <w:basedOn w:val="DefaultParagraphFont"/>
    <w:link w:val="CommentText"/>
    <w:uiPriority w:val="99"/>
    <w:semiHidden/>
    <w:rsid w:val="00E045AB"/>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045AB"/>
    <w:rPr>
      <w:b/>
      <w:bCs/>
    </w:rPr>
  </w:style>
  <w:style w:type="character" w:customStyle="1" w:styleId="CommentSubjectChar">
    <w:name w:val="Comment Subject Char"/>
    <w:basedOn w:val="CommentTextChar"/>
    <w:link w:val="CommentSubject"/>
    <w:uiPriority w:val="99"/>
    <w:semiHidden/>
    <w:rsid w:val="00E045AB"/>
    <w:rPr>
      <w:rFonts w:ascii="Times New Roman" w:eastAsia="Times New Roman" w:hAnsi="Times New Roman" w:cs="Times New Roman"/>
      <w:b/>
      <w:bCs/>
      <w:sz w:val="20"/>
      <w:szCs w:val="20"/>
      <w:lang w:val="fr-FR"/>
    </w:rPr>
  </w:style>
  <w:style w:type="character" w:customStyle="1" w:styleId="UnresolvedMention1">
    <w:name w:val="Unresolved Mention1"/>
    <w:basedOn w:val="DefaultParagraphFont"/>
    <w:uiPriority w:val="99"/>
    <w:semiHidden/>
    <w:unhideWhenUsed/>
    <w:rsid w:val="00A03A1F"/>
    <w:rPr>
      <w:color w:val="605E5C"/>
      <w:shd w:val="clear" w:color="auto" w:fill="E1DFDD"/>
    </w:rPr>
  </w:style>
  <w:style w:type="character" w:styleId="FollowedHyperlink">
    <w:name w:val="FollowedHyperlink"/>
    <w:basedOn w:val="DefaultParagraphFont"/>
    <w:uiPriority w:val="99"/>
    <w:semiHidden/>
    <w:unhideWhenUsed/>
    <w:rsid w:val="008A6A30"/>
    <w:rPr>
      <w:color w:val="954F72" w:themeColor="followedHyperlink"/>
      <w:u w:val="single"/>
    </w:rPr>
  </w:style>
  <w:style w:type="character" w:styleId="Strong">
    <w:name w:val="Strong"/>
    <w:basedOn w:val="DefaultParagraphFont"/>
    <w:uiPriority w:val="22"/>
    <w:qFormat/>
    <w:rsid w:val="00EE0BB7"/>
    <w:rPr>
      <w:b/>
      <w:bCs/>
    </w:rPr>
  </w:style>
  <w:style w:type="paragraph" w:styleId="Revision">
    <w:name w:val="Revision"/>
    <w:hidden/>
    <w:uiPriority w:val="99"/>
    <w:semiHidden/>
    <w:rsid w:val="00916F0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108">
      <w:bodyDiv w:val="1"/>
      <w:marLeft w:val="0"/>
      <w:marRight w:val="0"/>
      <w:marTop w:val="0"/>
      <w:marBottom w:val="0"/>
      <w:divBdr>
        <w:top w:val="none" w:sz="0" w:space="0" w:color="auto"/>
        <w:left w:val="none" w:sz="0" w:space="0" w:color="auto"/>
        <w:bottom w:val="none" w:sz="0" w:space="0" w:color="auto"/>
        <w:right w:val="none" w:sz="0" w:space="0" w:color="auto"/>
      </w:divBdr>
    </w:div>
    <w:div w:id="197473125">
      <w:bodyDiv w:val="1"/>
      <w:marLeft w:val="0"/>
      <w:marRight w:val="0"/>
      <w:marTop w:val="0"/>
      <w:marBottom w:val="0"/>
      <w:divBdr>
        <w:top w:val="none" w:sz="0" w:space="0" w:color="auto"/>
        <w:left w:val="none" w:sz="0" w:space="0" w:color="auto"/>
        <w:bottom w:val="none" w:sz="0" w:space="0" w:color="auto"/>
        <w:right w:val="none" w:sz="0" w:space="0" w:color="auto"/>
      </w:divBdr>
    </w:div>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556823020">
      <w:bodyDiv w:val="1"/>
      <w:marLeft w:val="0"/>
      <w:marRight w:val="0"/>
      <w:marTop w:val="0"/>
      <w:marBottom w:val="0"/>
      <w:divBdr>
        <w:top w:val="none" w:sz="0" w:space="0" w:color="auto"/>
        <w:left w:val="none" w:sz="0" w:space="0" w:color="auto"/>
        <w:bottom w:val="none" w:sz="0" w:space="0" w:color="auto"/>
        <w:right w:val="none" w:sz="0" w:space="0" w:color="auto"/>
      </w:divBdr>
    </w:div>
    <w:div w:id="646513187">
      <w:bodyDiv w:val="1"/>
      <w:marLeft w:val="0"/>
      <w:marRight w:val="0"/>
      <w:marTop w:val="0"/>
      <w:marBottom w:val="0"/>
      <w:divBdr>
        <w:top w:val="none" w:sz="0" w:space="0" w:color="auto"/>
        <w:left w:val="none" w:sz="0" w:space="0" w:color="auto"/>
        <w:bottom w:val="none" w:sz="0" w:space="0" w:color="auto"/>
        <w:right w:val="none" w:sz="0" w:space="0" w:color="auto"/>
      </w:divBdr>
    </w:div>
    <w:div w:id="676660759">
      <w:bodyDiv w:val="1"/>
      <w:marLeft w:val="0"/>
      <w:marRight w:val="0"/>
      <w:marTop w:val="0"/>
      <w:marBottom w:val="0"/>
      <w:divBdr>
        <w:top w:val="none" w:sz="0" w:space="0" w:color="auto"/>
        <w:left w:val="none" w:sz="0" w:space="0" w:color="auto"/>
        <w:bottom w:val="none" w:sz="0" w:space="0" w:color="auto"/>
        <w:right w:val="none" w:sz="0" w:space="0" w:color="auto"/>
      </w:divBdr>
    </w:div>
    <w:div w:id="812481632">
      <w:bodyDiv w:val="1"/>
      <w:marLeft w:val="0"/>
      <w:marRight w:val="0"/>
      <w:marTop w:val="0"/>
      <w:marBottom w:val="0"/>
      <w:divBdr>
        <w:top w:val="none" w:sz="0" w:space="0" w:color="auto"/>
        <w:left w:val="none" w:sz="0" w:space="0" w:color="auto"/>
        <w:bottom w:val="none" w:sz="0" w:space="0" w:color="auto"/>
        <w:right w:val="none" w:sz="0" w:space="0" w:color="auto"/>
      </w:divBdr>
    </w:div>
    <w:div w:id="955018537">
      <w:bodyDiv w:val="1"/>
      <w:marLeft w:val="0"/>
      <w:marRight w:val="0"/>
      <w:marTop w:val="0"/>
      <w:marBottom w:val="0"/>
      <w:divBdr>
        <w:top w:val="none" w:sz="0" w:space="0" w:color="auto"/>
        <w:left w:val="none" w:sz="0" w:space="0" w:color="auto"/>
        <w:bottom w:val="none" w:sz="0" w:space="0" w:color="auto"/>
        <w:right w:val="none" w:sz="0" w:space="0" w:color="auto"/>
      </w:divBdr>
    </w:div>
    <w:div w:id="1233545948">
      <w:bodyDiv w:val="1"/>
      <w:marLeft w:val="0"/>
      <w:marRight w:val="0"/>
      <w:marTop w:val="0"/>
      <w:marBottom w:val="0"/>
      <w:divBdr>
        <w:top w:val="none" w:sz="0" w:space="0" w:color="auto"/>
        <w:left w:val="none" w:sz="0" w:space="0" w:color="auto"/>
        <w:bottom w:val="none" w:sz="0" w:space="0" w:color="auto"/>
        <w:right w:val="none" w:sz="0" w:space="0" w:color="auto"/>
      </w:divBdr>
    </w:div>
    <w:div w:id="1303342711">
      <w:bodyDiv w:val="1"/>
      <w:marLeft w:val="0"/>
      <w:marRight w:val="0"/>
      <w:marTop w:val="0"/>
      <w:marBottom w:val="0"/>
      <w:divBdr>
        <w:top w:val="none" w:sz="0" w:space="0" w:color="auto"/>
        <w:left w:val="none" w:sz="0" w:space="0" w:color="auto"/>
        <w:bottom w:val="none" w:sz="0" w:space="0" w:color="auto"/>
        <w:right w:val="none" w:sz="0" w:space="0" w:color="auto"/>
      </w:divBdr>
    </w:div>
    <w:div w:id="1405032781">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 w:id="1816485490">
      <w:bodyDiv w:val="1"/>
      <w:marLeft w:val="0"/>
      <w:marRight w:val="0"/>
      <w:marTop w:val="0"/>
      <w:marBottom w:val="0"/>
      <w:divBdr>
        <w:top w:val="none" w:sz="0" w:space="0" w:color="auto"/>
        <w:left w:val="none" w:sz="0" w:space="0" w:color="auto"/>
        <w:bottom w:val="none" w:sz="0" w:space="0" w:color="auto"/>
        <w:right w:val="none" w:sz="0" w:space="0" w:color="auto"/>
      </w:divBdr>
    </w:div>
    <w:div w:id="1853835052">
      <w:bodyDiv w:val="1"/>
      <w:marLeft w:val="0"/>
      <w:marRight w:val="0"/>
      <w:marTop w:val="0"/>
      <w:marBottom w:val="0"/>
      <w:divBdr>
        <w:top w:val="none" w:sz="0" w:space="0" w:color="auto"/>
        <w:left w:val="none" w:sz="0" w:space="0" w:color="auto"/>
        <w:bottom w:val="none" w:sz="0" w:space="0" w:color="auto"/>
        <w:right w:val="none" w:sz="0" w:space="0" w:color="auto"/>
      </w:divBdr>
    </w:div>
    <w:div w:id="1926184962">
      <w:bodyDiv w:val="1"/>
      <w:marLeft w:val="0"/>
      <w:marRight w:val="0"/>
      <w:marTop w:val="0"/>
      <w:marBottom w:val="0"/>
      <w:divBdr>
        <w:top w:val="none" w:sz="0" w:space="0" w:color="auto"/>
        <w:left w:val="none" w:sz="0" w:space="0" w:color="auto"/>
        <w:bottom w:val="none" w:sz="0" w:space="0" w:color="auto"/>
        <w:right w:val="none" w:sz="0" w:space="0" w:color="auto"/>
      </w:divBdr>
    </w:div>
    <w:div w:id="2050717264">
      <w:bodyDiv w:val="1"/>
      <w:marLeft w:val="0"/>
      <w:marRight w:val="0"/>
      <w:marTop w:val="0"/>
      <w:marBottom w:val="0"/>
      <w:divBdr>
        <w:top w:val="none" w:sz="0" w:space="0" w:color="auto"/>
        <w:left w:val="none" w:sz="0" w:space="0" w:color="auto"/>
        <w:bottom w:val="none" w:sz="0" w:space="0" w:color="auto"/>
        <w:right w:val="none" w:sz="0" w:space="0" w:color="auto"/>
      </w:divBdr>
    </w:div>
    <w:div w:id="2087458197">
      <w:bodyDiv w:val="1"/>
      <w:marLeft w:val="0"/>
      <w:marRight w:val="0"/>
      <w:marTop w:val="0"/>
      <w:marBottom w:val="0"/>
      <w:divBdr>
        <w:top w:val="none" w:sz="0" w:space="0" w:color="auto"/>
        <w:left w:val="none" w:sz="0" w:space="0" w:color="auto"/>
        <w:bottom w:val="none" w:sz="0" w:space="0" w:color="auto"/>
        <w:right w:val="none" w:sz="0" w:space="0" w:color="auto"/>
      </w:divBdr>
    </w:div>
    <w:div w:id="20951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esc.europa.eu/fr/our-work/opinions-information-reports/opinions?search=politique+%C3%A9conomique+de+la+zone+euro&amp;field_related_sections_target_id_entityreference_filter=12916&amp;status=All&amp;opinion_type=All&amp;rapporteur=&amp;plenary_session=&amp;opinion_number=&amp;year%5Bvalue%5D%5Byear%5D=&amp;related_event=All&amp;related_observatory=All&amp;body_references_file_name=All&amp;body_references_number=" TargetMode="External"/><Relationship Id="rId26" Type="http://schemas.openxmlformats.org/officeDocument/2006/relationships/hyperlink" Target="https://www.eesc.europa.eu/fr/agenda/our-events/events/digital-euro-challenges-and-opportunities" TargetMode="External"/><Relationship Id="rId39" Type="http://schemas.openxmlformats.org/officeDocument/2006/relationships/hyperlink" Target="https://www.eesc.europa.eu/fr/our-work/opinions-information-reports/opinions/strategie-renouvelee-en-matiere-de-finance-durable" TargetMode="External"/><Relationship Id="rId21" Type="http://schemas.openxmlformats.org/officeDocument/2006/relationships/hyperlink" Target="https://www.eesc.europa.eu/fr/agenda/our-events/events/beyond-gdp-measures-successful-recovery-and-sustainable-and-resilient-eu-economy" TargetMode="External"/><Relationship Id="rId34" Type="http://schemas.openxmlformats.org/officeDocument/2006/relationships/hyperlink" Target="https://www.eesc.europa.eu/fr/our-work/opinions-information-reports/opinions/revision-du-reglement-relatif-aux-fonds-europeens-dinvestissement-long-terme-eltif" TargetMode="External"/><Relationship Id="rId42" Type="http://schemas.openxmlformats.org/officeDocument/2006/relationships/hyperlink" Target="https://www.eesc.europa.eu/fr/our-work/opinions-information-reports/opinions/social-taxonomy-challenges-and-opportunities" TargetMode="External"/><Relationship Id="rId47" Type="http://schemas.openxmlformats.org/officeDocument/2006/relationships/hyperlink" Target="https://www.eesc.europa.eu/fr/our-work/opinions-information-reports/opinions/strategie-de-financement-nextgenerationue" TargetMode="External"/><Relationship Id="rId50" Type="http://schemas.openxmlformats.org/officeDocument/2006/relationships/hyperlink" Target="https://www.eesc.europa.eu/fr/our-work/opinions-information-reports/opinions/fast-care" TargetMode="External"/><Relationship Id="rId55" Type="http://schemas.openxmlformats.org/officeDocument/2006/relationships/hyperlink" Target="https://www.eesc.europa.eu/fr/our-work/opinions-information-reports/opinions/partenariats-thematiques-dans-le-cadre-de-laccord-de-ljubljana" TargetMode="External"/><Relationship Id="rId63" Type="http://schemas.openxmlformats.org/officeDocument/2006/relationships/hyperlink" Target="https://www.eesc.europa.eu/fr/our-work/opinions-information-reports/opinions/imposition-des-teletravailleurs-transfrontaliers-et-de-leurs-employeurs" TargetMode="External"/><Relationship Id="rId68" Type="http://schemas.openxmlformats.org/officeDocument/2006/relationships/hyperlink" Target="https://www.eesc.europa.eu/fr/sections-other-bodies/sections-commission/economic-and-monetary-union-and-economic-and-social-cohesion-eco/section-meetings" TargetMode="External"/><Relationship Id="rId7" Type="http://schemas.openxmlformats.org/officeDocument/2006/relationships/settings" Target="settings.xml"/><Relationship Id="rId71" Type="http://schemas.openxmlformats.org/officeDocument/2006/relationships/hyperlink" Target="https://twitter.com/eesc_eco"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eesc.europa.eu/fr/our-work/opinions-information-reports/opinions/solvency-ii-review" TargetMode="External"/><Relationship Id="rId11" Type="http://schemas.openxmlformats.org/officeDocument/2006/relationships/header" Target="header1.xml"/><Relationship Id="rId24" Type="http://schemas.openxmlformats.org/officeDocument/2006/relationships/hyperlink" Target="https://www.eesc.europa.eu/fr/agenda/our-events/events/european-economic-and-financial-system-fostering-openness-strength-and-resilience-covid-19-context" TargetMode="External"/><Relationship Id="rId32" Type="http://schemas.openxmlformats.org/officeDocument/2006/relationships/hyperlink" Target="https://www.eesc.europa.eu/fr/our-work/opinions-information-reports/opinions/priip-prolongation-des-dispositions-transitoires" TargetMode="External"/><Relationship Id="rId37" Type="http://schemas.openxmlformats.org/officeDocument/2006/relationships/hyperlink" Target="https://www.eesc.europa.eu/fr/our-work/opinions-information-reports/opinions/recapitalisation-des-entreprises-de-lunion-une-solution-innovante-pour-une-reprise-durable-et-inclusive" TargetMode="External"/><Relationship Id="rId40" Type="http://schemas.openxmlformats.org/officeDocument/2006/relationships/hyperlink" Target="https://www.eesc.europa.eu/fr/our-work/opinions-information-reports/opinions/norme-de-lue-en-matiere-dobligations-vertes" TargetMode="External"/><Relationship Id="rId45" Type="http://schemas.openxmlformats.org/officeDocument/2006/relationships/hyperlink" Target="https://www.eesc.europa.eu/fr/our-work/opinions-information-reports/opinions/crypto-actifs-et-technologie-des-registres-distribues" TargetMode="External"/><Relationship Id="rId53" Type="http://schemas.openxmlformats.org/officeDocument/2006/relationships/hyperlink" Target="https://www.eesc.europa.eu/fr/our-work/opinions-information-reports/opinions/les-atouts-des-regions-ultraperipheriques-pour-lunion-europeenne" TargetMode="External"/><Relationship Id="rId58" Type="http://schemas.openxmlformats.org/officeDocument/2006/relationships/hyperlink" Target="https://www.eesc.europa.eu/fr/our-work/opinions-information-reports/opinions/imposition-effective-minimale-des-societes" TargetMode="External"/><Relationship Id="rId66" Type="http://schemas.openxmlformats.org/officeDocument/2006/relationships/hyperlink" Target="https://www.eesc.europa.eu/fr/agenda/our-events/events/la-voie-suivre-pour-la-gouvernance-economique-de-lu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esc.europa.eu/fr/our-work/opinions-information-reports/information-reports/evaluation-european-fund-strategic-investment-20" TargetMode="External"/><Relationship Id="rId28" Type="http://schemas.openxmlformats.org/officeDocument/2006/relationships/hyperlink" Target="https://www.eesc.europa.eu/fr/our-work/opinions-information-reports/opinions/banking-package-2021" TargetMode="External"/><Relationship Id="rId36" Type="http://schemas.openxmlformats.org/officeDocument/2006/relationships/hyperlink" Target="https://www.eesc.europa.eu/fr/our-work/opinions-information-reports/opinions/depositaires-centraux-de-valeurs-mobilieres-reexamen" TargetMode="External"/><Relationship Id="rId49" Type="http://schemas.openxmlformats.org/officeDocument/2006/relationships/hyperlink" Target="https://www.eesc.europa.eu/fr/our-work/opinions-information-reports/opinions/augmentation-du-prefinancement-provenant-des-ressources-react-eu" TargetMode="External"/><Relationship Id="rId57" Type="http://schemas.openxmlformats.org/officeDocument/2006/relationships/hyperlink" Target="https://www.eesc.europa.eu/fr/our-work/opinions-information-reports/opinions/fiscalite-des-entreprises-pour-le-xxie-siecle" TargetMode="External"/><Relationship Id="rId61" Type="http://schemas.openxmlformats.org/officeDocument/2006/relationships/hyperlink" Target="https://www.eesc.europa.eu/fr/our-work/opinions-information-reports/opinions/lutter-contre-le-recours-aux-entites-ecrans" TargetMode="External"/><Relationship Id="rId10" Type="http://schemas.openxmlformats.org/officeDocument/2006/relationships/endnotes" Target="endnotes.xml"/><Relationship Id="rId19" Type="http://schemas.openxmlformats.org/officeDocument/2006/relationships/hyperlink" Target="https://www.eesc.europa.eu/fr/our-work/opinions-information-reports/opinions/reshaping-eu-fiscal-framework-sustainable-recovery-and-just-transition-own-initiative-opinion-gr-ii" TargetMode="External"/><Relationship Id="rId31" Type="http://schemas.openxmlformats.org/officeDocument/2006/relationships/hyperlink" Target="https://www.eesc.europa.eu/fr/our-work/opinions-information-reports/opinions/revision-du-reglement-concernant-les-marches-dinstruments-financiers-mifir-systeme-consolide-de-publication" TargetMode="External"/><Relationship Id="rId44" Type="http://schemas.openxmlformats.org/officeDocument/2006/relationships/hyperlink" Target="https://www.eesc.europa.eu/fr/our-work/opinions-information-reports/opinions/les-crypto-actifs-enjeux-et-possibilites" TargetMode="External"/><Relationship Id="rId52" Type="http://schemas.openxmlformats.org/officeDocument/2006/relationships/hyperlink" Target="https://www.eesc.europa.eu/fr/our-work/opinions-information-reports/opinions/le-role-de-la-politique-de-cohesion-dans-la-lutte-contre-les-inegalites-durant-la-nouvelle-periode-de-programmation" TargetMode="External"/><Relationship Id="rId60" Type="http://schemas.openxmlformats.org/officeDocument/2006/relationships/hyperlink" Target="https://www.eesc.europa.eu/fr/our-work/opinions-information-reports/opinions/train-de-mesures-pour-une-fiscalite-juste-et-simple" TargetMode="External"/><Relationship Id="rId65" Type="http://schemas.openxmlformats.org/officeDocument/2006/relationships/hyperlink" Target="https://www.eesc.europa.eu/fr/documents/resolution/participation-de-la-societe-civile-organisee-aux-plans-nationaux-pour-la-reprise-et-la-resilience-ce-qui-fonctionne-e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esc.europa.eu/fr/our-work/opinions-information-reports/opinions/depasser-les-mesures-axees-sur-le-pib-pour-une-reprise-fructueuse-et-une-economie-europeenne-durable-et-resiliente-avis" TargetMode="External"/><Relationship Id="rId27" Type="http://schemas.openxmlformats.org/officeDocument/2006/relationships/hyperlink" Target="https://www.eesc.europa.eu/fr/our-work/opinions-information-reports/opinions/euro-numerique" TargetMode="External"/><Relationship Id="rId30" Type="http://schemas.openxmlformats.org/officeDocument/2006/relationships/hyperlink" Target="https://www.eesc.europa.eu/fr/our-work/opinions-information-reports/opinions/european-single-access-point-esap" TargetMode="External"/><Relationship Id="rId35" Type="http://schemas.openxmlformats.org/officeDocument/2006/relationships/hyperlink" Target="https://www.eesc.europa.eu/fr/our-work/opinions-information-reports/opinions/regles-de-cotation-pour-les-marches-publics-legislation-sur-la-cotation" TargetMode="External"/><Relationship Id="rId43" Type="http://schemas.openxmlformats.org/officeDocument/2006/relationships/hyperlink" Target="https://www.eesc.europa.eu/fr/our-work/opinions-information-reports/opinions/strategie-de-lue-en-matiere-de-financement-numerique" TargetMode="External"/><Relationship Id="rId48" Type="http://schemas.openxmlformats.org/officeDocument/2006/relationships/hyperlink" Target="https://www.eesc.europa.eu/fr/our-work/opinions-information-reports/opinions/proposition-de-decision-relative-aux-ressources-propres" TargetMode="External"/><Relationship Id="rId56" Type="http://schemas.openxmlformats.org/officeDocument/2006/relationships/hyperlink" Target="https://www.eesc.europa.eu/fr/our-work/opinions-information-reports/opinions/le-role-de-limpot-sur-les-societes-dans-la-gouvernance-dentreprise" TargetMode="External"/><Relationship Id="rId64" Type="http://schemas.openxmlformats.org/officeDocument/2006/relationships/hyperlink" Target="https://www.eesc.europa.eu/fr/agenda/our-events/events/fiscalite-des-teletravailleurs-les-enjeux-post-covid-19" TargetMode="External"/><Relationship Id="rId69" Type="http://schemas.openxmlformats.org/officeDocument/2006/relationships/hyperlink" Target="https://www.eesc.europa.eu/fr/our-work/opinions-information-reports/opinions/imposition-des-teletravailleurs-transfrontaliers-et-de-leurs-employeurs" TargetMode="External"/><Relationship Id="rId8" Type="http://schemas.openxmlformats.org/officeDocument/2006/relationships/webSettings" Target="webSettings.xml"/><Relationship Id="rId51" Type="http://schemas.openxmlformats.org/officeDocument/2006/relationships/hyperlink" Target="https://www.eesc.europa.eu/fr/our-work/opinions-information-reports/opinions/8e-rapport-sur-la-cohes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eesc.europa.eu/fr/our-work/opinions-information-reports/opinions/systeme-economique-et-financier-de-lue-favoriser-louverture-la-solidite-et-la-resilience" TargetMode="External"/><Relationship Id="rId33" Type="http://schemas.openxmlformats.org/officeDocument/2006/relationships/hyperlink" Target="https://www.eesc.europa.eu/fr/our-work/opinions-information-reports/opinions/utilisation-de-documents-dinformations-cles-par-les-societes-de-gestion-dopcvm" TargetMode="External"/><Relationship Id="rId38" Type="http://schemas.openxmlformats.org/officeDocument/2006/relationships/hyperlink" Target="https://www.eesc.europa.eu/fr/agenda/our-events/events/recapitaliser-les-entreprises-de-lue-un-moyen-innovant-de-parvenir-une-reprise-durable-et-inclusive" TargetMode="External"/><Relationship Id="rId46" Type="http://schemas.openxmlformats.org/officeDocument/2006/relationships/hyperlink" Target="https://www.eesc.europa.eu/fr/our-work/opinions-information-reports/opinions/train-de-mesures-legislatives-relatives-la-lutte-contre-le-blanchiment-de-capitaux" TargetMode="External"/><Relationship Id="rId59" Type="http://schemas.openxmlformats.org/officeDocument/2006/relationships/hyperlink" Target="https://www.eesc.europa.eu/fr/agenda/our-events/events/role-corporate-taxes-corporate-governance-addressing-debt-equity-bias" TargetMode="External"/><Relationship Id="rId67" Type="http://schemas.openxmlformats.org/officeDocument/2006/relationships/hyperlink" Target="https://www.eesc.europa.eu/fr/agenda/our-events/events/pour-une-politique-de-cohesion-inclusive-durable-renforcee-et-efficiente-en-europe-lavis-de-la-societe-civile-europeenne" TargetMode="External"/><Relationship Id="rId20" Type="http://schemas.openxmlformats.org/officeDocument/2006/relationships/hyperlink" Target="https://www.eesc.europa.eu/fr/our-work/opinions-information-reports/opinions/communication-relative-des-orientations-pour-une-reforme-du-cadre-de-gouvernance-economique-de-lue" TargetMode="External"/><Relationship Id="rId41" Type="http://schemas.openxmlformats.org/officeDocument/2006/relationships/hyperlink" Target="https://www.eesc.europa.eu/fr/our-work/opinions-information-reports/opinions/taxinomie-de-la-finance-durable-changement-climatique" TargetMode="External"/><Relationship Id="rId54" Type="http://schemas.openxmlformats.org/officeDocument/2006/relationships/hyperlink" Target="https://www.eesc.europa.eu/fr/agenda/our-events/events/hearing-benefits-outermost-regions-european-union/programme" TargetMode="External"/><Relationship Id="rId62" Type="http://schemas.openxmlformats.org/officeDocument/2006/relationships/hyperlink" Target="https://www.eesc.europa.eu/fr/our-work/opinions-information-reports/opinions/revision-de-la-directive-sur-la-taxation-de-lenergie-dte" TargetMode="External"/><Relationship Id="rId70" Type="http://schemas.openxmlformats.org/officeDocument/2006/relationships/hyperlink" Target="https://www.eesc.europa.eu/fr/our-work/opinions-information-reports/opinions/european-single-access-point-esa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XMKEDVFMMJCW-1587818345-4092</_dlc_DocId>
    <_dlc_DocIdUrl xmlns="56a5413d-c261-4a00-870c-a20d3379ae6d">
      <Url>http://dm2016/eesc/2023/_layouts/15/DocIdRedir.aspx?ID=XMKEDVFMMJCW-1587818345-4092</Url>
      <Description>XMKEDVFMMJCW-1587818345-4092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2023-04-19T12:00:00+00:00</ProductionDate>
    <DocumentNumber xmlns="5e8f28df-38cd-4f6e-b090-faa878e96575">1653</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2023-04-25T12:00:00+00:00</MeetingDate>
    <TaxCatchAll xmlns="56a5413d-c261-4a00-870c-a20d3379ae6d">
      <Value>16</Value>
      <Value>10</Value>
      <Value>7</Value>
      <Value>52</Value>
      <Value>5</Value>
      <Value>6</Value>
      <Value>3</Value>
      <Value>53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4234</FicheNumber>
    <OriginalSender xmlns="56a5413d-c261-4a00-870c-a20d3379ae6d">
      <UserInfo>
        <DisplayName>Masutti Valeria</DisplayName>
        <AccountId>1443</AccountId>
        <AccountType/>
      </UserInfo>
    </OriginalSender>
    <DocumentPart xmlns="56a5413d-c261-4a00-870c-a20d3379ae6d">5</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944406-5B03-4940-9F2D-A3E8ADF7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5e8f28df-38cd-4f6e-b090-faa878e9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83BF4-732F-4A86-9898-7E3D494CE330}">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5e8f28df-38cd-4f6e-b090-faa878e96575"/>
  </ds:schemaRefs>
</ds:datastoreItem>
</file>

<file path=customXml/itemProps3.xml><?xml version="1.0" encoding="utf-8"?>
<ds:datastoreItem xmlns:ds="http://schemas.openxmlformats.org/officeDocument/2006/customXml" ds:itemID="{04060C54-E694-450E-815C-5D4A18FE1EB9}">
  <ds:schemaRefs>
    <ds:schemaRef ds:uri="http://schemas.microsoft.com/sharepoint/v3/contenttype/forms"/>
  </ds:schemaRefs>
</ds:datastoreItem>
</file>

<file path=customXml/itemProps4.xml><?xml version="1.0" encoding="utf-8"?>
<ds:datastoreItem xmlns:ds="http://schemas.openxmlformats.org/officeDocument/2006/customXml" ds:itemID="{0765CF57-71A9-4E87-8164-F93981406E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4852</Words>
  <Characters>26686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Pt_C.3.a_ANN2_ECO</dc:title>
  <dc:subject>NB</dc:subject>
  <dc:creator>Filip Van Landegem</dc:creator>
  <cp:keywords>EESC-2023-01653-05-00-NB-TRA-EN</cp:keywords>
  <dc:description>Rapporteur:  - Original language: EN - Date of document: 19/04/2023 - Date of meeting: 15/25/2023 09:15 - External documents:  - Administrator: Mme JEANPIERRE Françoise Simone Marie-José</dc:description>
  <cp:lastModifiedBy>Bokorova Zuzana</cp:lastModifiedBy>
  <cp:revision>2</cp:revision>
  <cp:lastPrinted>2019-11-26T12:02:00Z</cp:lastPrinted>
  <dcterms:created xsi:type="dcterms:W3CDTF">2023-05-15T05:36:00Z</dcterms:created>
  <dcterms:modified xsi:type="dcterms:W3CDTF">2023-05-15T05:36:00Z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30/03/2023</vt:lpwstr>
  </property>
  <property fmtid="{D5CDD505-2E9C-101B-9397-08002B2CF9AE}" pid="4" name="Pref_Time">
    <vt:lpwstr>16:39:00</vt:lpwstr>
  </property>
  <property fmtid="{D5CDD505-2E9C-101B-9397-08002B2CF9AE}" pid="5" name="Pref_User">
    <vt:lpwstr>enied</vt:lpwstr>
  </property>
  <property fmtid="{D5CDD505-2E9C-101B-9397-08002B2CF9AE}" pid="6" name="Pref_FileName">
    <vt:lpwstr>EESC-2023-01653-05-00-NB-TRA-EN-CRR.docx</vt:lpwstr>
  </property>
  <property fmtid="{D5CDD505-2E9C-101B-9397-08002B2CF9AE}" pid="7" name="ContentTypeId">
    <vt:lpwstr>0x010100EA97B91038054C99906057A708A1480A002B0B8D40B797884EA0DC4175FDD89B23</vt:lpwstr>
  </property>
  <property fmtid="{D5CDD505-2E9C-101B-9397-08002B2CF9AE}" pid="8" name="_dlc_DocIdItemGuid">
    <vt:lpwstr>44442c0d-5170-4001-b248-658c6e0e0395</vt:lpwstr>
  </property>
  <property fmtid="{D5CDD505-2E9C-101B-9397-08002B2CF9AE}" pid="9" name="AvailableTranslations">
    <vt:lpwstr>10;#FR|d2afafd3-4c81-4f60-8f52-ee33f2f54ff3;#16;#DE|f6b31e5a-26fa-4935-b661-318e46daf27e;#5;#EN|f2175f21-25d7-44a3-96da-d6a61b075e1b</vt:lpwstr>
  </property>
  <property fmtid="{D5CDD505-2E9C-101B-9397-08002B2CF9AE}" pid="10" name="DocumentType_0">
    <vt:lpwstr>NB|086d36d2-b81a-4b8e-8d1e-a22010addc8b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1653</vt:i4>
  </property>
  <property fmtid="{D5CDD505-2E9C-101B-9397-08002B2CF9AE}" pid="14" name="DocumentYear">
    <vt:i4>2023</vt:i4>
  </property>
  <property fmtid="{D5CDD505-2E9C-101B-9397-08002B2CF9AE}" pid="15" name="DocumentVersion">
    <vt:i4>0</vt:i4>
  </property>
  <property fmtid="{D5CDD505-2E9C-101B-9397-08002B2CF9AE}" pid="16" name="FicheNumber">
    <vt:i4>4234</vt:i4>
  </property>
  <property fmtid="{D5CDD505-2E9C-101B-9397-08002B2CF9AE}" pid="17" name="DocumentStatus">
    <vt:lpwstr>3;#TRA|150d2a88-1431-44e6-a8ca-0bb753ab8672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52;#NB|086d36d2-b81a-4b8e-8d1e-a22010addc8b</vt:lpwstr>
  </property>
  <property fmtid="{D5CDD505-2E9C-101B-9397-08002B2CF9AE}" pid="22" name="RequestingService">
    <vt:lpwstr>Greffe</vt:lpwstr>
  </property>
  <property fmtid="{D5CDD505-2E9C-101B-9397-08002B2CF9AE}" pid="23" name="Confidentiality">
    <vt:lpwstr>6;#Internal|2451815e-8241-4bbf-a22e-1ab710712bf2</vt:lpwstr>
  </property>
  <property fmtid="{D5CDD505-2E9C-101B-9397-08002B2CF9AE}" pid="24" name="MeetingName_0">
    <vt:lpwstr>BUR CESE|4274fb1d-1fa2-4436-baac-f79426b09598</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53;#BUR CESE|4274fb1d-1fa2-4436-baac-f79426b09598</vt:lpwstr>
  </property>
  <property fmtid="{D5CDD505-2E9C-101B-9397-08002B2CF9AE}" pid="28" name="MeetingDate">
    <vt:filetime>2023-04-25T12:00:00Z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7;#Final|ea5e6674-7b27-4bac-b091-73adbb394efe;#52;#NB|086d36d2-b81a-4b8e-8d1e-a22010addc8b;#5;#EN|f2175f21-25d7-44a3-96da-d6a61b075e1b;#6;#Internal|2451815e-8241-4bbf-a22e-1ab710712bf2;#3;#TRA|150d2a88-1431-44e6-a8ca-0bb753ab8672;#53;#BUR CESE|4274fb1d-1fa2-4436-baac-f79426b09598;#1;#EESC|422833ec-8d7e-4e65-8e4e-8bed07ffb729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