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header6.xml" ContentType="application/vnd.openxmlformats-officedocument.wordprocessingml.header+xml"/>
  <Override PartName="/word/header7.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Pr="002D15C6" w:rsidR="00574C9B" w:rsidTr="008E4CC5" w14:paraId="4B18B74B" w14:textId="77777777">
        <w:trPr>
          <w:jc w:val="center"/>
        </w:trPr>
        <w:tc>
          <w:tcPr>
            <w:tcW w:w="5000" w:type="pct"/>
            <w:vAlign w:val="center"/>
          </w:tcPr>
          <w:p w:rsidRPr="002D15C6" w:rsidR="00574C9B" w:rsidP="006125A1" w:rsidRDefault="003D770E" w14:paraId="4B8F14AB" w14:textId="7557E94C">
            <w:pPr>
              <w:jc w:val="center"/>
              <w:rPr>
                <w:b/>
                <w:sz w:val="72"/>
                <w:szCs w:val="72"/>
              </w:rPr>
            </w:pPr>
            <w:r>
              <w:rPr>
                <w:b/>
                <w:sz w:val="72"/>
              </w:rPr>
              <w:t>ΨΗΦΙΣΜΑ</w:t>
            </w:r>
          </w:p>
        </w:tc>
      </w:tr>
      <w:tr w:rsidRPr="002D15C6" w:rsidR="00574C9B" w:rsidTr="008E4CC5" w14:paraId="428F80C1" w14:textId="77777777">
        <w:trPr>
          <w:trHeight w:val="567"/>
          <w:jc w:val="center"/>
        </w:trPr>
        <w:tc>
          <w:tcPr>
            <w:tcW w:w="5000" w:type="pct"/>
            <w:vAlign w:val="center"/>
          </w:tcPr>
          <w:p w:rsidRPr="002D15C6" w:rsidR="00574C9B" w:rsidP="006125A1" w:rsidRDefault="00574C9B" w14:paraId="0E3C838D" w14:textId="77777777">
            <w:pPr>
              <w:jc w:val="center"/>
              <w:rPr>
                <w:sz w:val="24"/>
                <w:szCs w:val="24"/>
              </w:rPr>
            </w:pPr>
            <w:r>
              <w:rPr>
                <w:sz w:val="24"/>
              </w:rPr>
              <w:t>Ευρωπαϊκή Οικονομική και Κοινωνική Επιτροπή</w:t>
            </w:r>
          </w:p>
        </w:tc>
      </w:tr>
      <w:tr w:rsidRPr="002D15C6" w:rsidR="00574C9B" w:rsidTr="008E4CC5" w14:paraId="5FCA7EB1" w14:textId="77777777">
        <w:trPr>
          <w:jc w:val="center"/>
        </w:trPr>
        <w:tc>
          <w:tcPr>
            <w:tcW w:w="5000" w:type="pct"/>
            <w:vAlign w:val="center"/>
          </w:tcPr>
          <w:p w:rsidRPr="002D15C6" w:rsidR="00574C9B" w:rsidP="006125A1" w:rsidRDefault="009D6C65" w14:paraId="164B3F5D" w14:textId="67A8F65F">
            <w:pPr>
              <w:jc w:val="center"/>
              <w:rPr>
                <w:b/>
                <w:sz w:val="44"/>
                <w:szCs w:val="44"/>
              </w:rPr>
            </w:pPr>
            <w:bookmarkStart w:name="_GoBack" w:id="0"/>
            <w:r>
              <w:rPr>
                <w:b/>
                <w:sz w:val="44"/>
              </w:rPr>
              <w:t>Ενωμένοι για τη Δημοκρατία</w:t>
            </w:r>
            <w:bookmarkEnd w:id="0"/>
          </w:p>
        </w:tc>
      </w:tr>
      <w:tr w:rsidRPr="002D15C6" w:rsidR="00574C9B" w:rsidTr="008E4CC5" w14:paraId="0A2CA787" w14:textId="77777777">
        <w:trPr>
          <w:jc w:val="center"/>
        </w:trPr>
        <w:tc>
          <w:tcPr>
            <w:tcW w:w="5000" w:type="pct"/>
            <w:vAlign w:val="center"/>
          </w:tcPr>
          <w:p w:rsidRPr="002D15C6" w:rsidR="00574C9B" w:rsidP="006125A1" w:rsidRDefault="00574C9B" w14:paraId="766B3712" w14:textId="77777777">
            <w:pPr>
              <w:overflowPunct w:val="0"/>
              <w:autoSpaceDE w:val="0"/>
              <w:autoSpaceDN w:val="0"/>
              <w:adjustRightInd w:val="0"/>
              <w:jc w:val="center"/>
              <w:textAlignment w:val="baseline"/>
              <w:rPr>
                <w:b/>
                <w:position w:val="24"/>
                <w:sz w:val="24"/>
                <w:szCs w:val="24"/>
              </w:rPr>
            </w:pPr>
            <w:r>
              <w:rPr>
                <w:sz w:val="24"/>
              </w:rPr>
              <w:t>_____________</w:t>
            </w:r>
          </w:p>
        </w:tc>
      </w:tr>
      <w:tr w:rsidRPr="002D15C6" w:rsidR="00574C9B" w:rsidTr="008E4CC5" w14:paraId="2110FDEB" w14:textId="77777777">
        <w:trPr>
          <w:jc w:val="center"/>
        </w:trPr>
        <w:tc>
          <w:tcPr>
            <w:tcW w:w="5000" w:type="pct"/>
            <w:vAlign w:val="center"/>
          </w:tcPr>
          <w:p w:rsidRPr="002D15C6" w:rsidR="00574C9B" w:rsidP="006125A1" w:rsidRDefault="00574C9B" w14:paraId="59F181E4" w14:textId="77777777">
            <w:pPr>
              <w:jc w:val="center"/>
              <w:rPr>
                <w:sz w:val="24"/>
                <w:szCs w:val="24"/>
                <w:lang w:val="en-GB"/>
              </w:rPr>
            </w:pPr>
          </w:p>
        </w:tc>
      </w:tr>
      <w:tr w:rsidRPr="002D15C6" w:rsidR="00574C9B" w:rsidTr="008E4CC5" w14:paraId="5DF7EBEA" w14:textId="77777777">
        <w:trPr>
          <w:jc w:val="center"/>
        </w:trPr>
        <w:tc>
          <w:tcPr>
            <w:tcW w:w="5000" w:type="pct"/>
            <w:vAlign w:val="center"/>
          </w:tcPr>
          <w:p w:rsidRPr="002D15C6" w:rsidR="001B034E" w:rsidP="006125A1" w:rsidRDefault="00574C9B" w14:paraId="176B49B4" w14:textId="77777777">
            <w:pPr>
              <w:jc w:val="center"/>
              <w:rPr>
                <w:sz w:val="24"/>
                <w:szCs w:val="24"/>
              </w:rPr>
            </w:pPr>
            <w:r>
              <w:rPr>
                <w:sz w:val="24"/>
              </w:rPr>
              <w:t>Εισηγητές:</w:t>
            </w:r>
          </w:p>
          <w:p w:rsidRPr="002D15C6" w:rsidR="001B034E" w:rsidP="001B034E" w:rsidRDefault="001B034E" w14:paraId="271EE051" w14:textId="6154E993">
            <w:pPr>
              <w:jc w:val="center"/>
              <w:rPr>
                <w:b/>
                <w:sz w:val="24"/>
                <w:szCs w:val="24"/>
              </w:rPr>
            </w:pPr>
            <w:proofErr w:type="spellStart"/>
            <w:r>
              <w:rPr>
                <w:b/>
                <w:sz w:val="24"/>
              </w:rPr>
              <w:t>Stefano</w:t>
            </w:r>
            <w:proofErr w:type="spellEnd"/>
            <w:r>
              <w:rPr>
                <w:b/>
                <w:sz w:val="24"/>
              </w:rPr>
              <w:t xml:space="preserve"> MALLIA (MT-I)</w:t>
            </w:r>
          </w:p>
          <w:p w:rsidRPr="002D15C6" w:rsidR="001B034E" w:rsidP="001B034E" w:rsidRDefault="001B034E" w14:paraId="669041FD" w14:textId="650737EF">
            <w:pPr>
              <w:jc w:val="center"/>
              <w:rPr>
                <w:b/>
                <w:sz w:val="24"/>
                <w:szCs w:val="24"/>
              </w:rPr>
            </w:pPr>
            <w:proofErr w:type="spellStart"/>
            <w:r>
              <w:rPr>
                <w:b/>
                <w:sz w:val="24"/>
              </w:rPr>
              <w:t>Oliver</w:t>
            </w:r>
            <w:proofErr w:type="spellEnd"/>
            <w:r>
              <w:rPr>
                <w:b/>
                <w:sz w:val="24"/>
              </w:rPr>
              <w:t xml:space="preserve"> RÖPKE (AT-II)</w:t>
            </w:r>
          </w:p>
          <w:p w:rsidRPr="002D15C6" w:rsidR="00574C9B" w:rsidP="001B034E" w:rsidRDefault="001B034E" w14:paraId="23E9DE0A" w14:textId="39914531">
            <w:pPr>
              <w:jc w:val="center"/>
              <w:rPr>
                <w:sz w:val="24"/>
                <w:szCs w:val="24"/>
              </w:rPr>
            </w:pPr>
            <w:proofErr w:type="spellStart"/>
            <w:r>
              <w:rPr>
                <w:b/>
                <w:sz w:val="24"/>
              </w:rPr>
              <w:t>Séamus</w:t>
            </w:r>
            <w:proofErr w:type="spellEnd"/>
            <w:r>
              <w:rPr>
                <w:b/>
                <w:sz w:val="24"/>
              </w:rPr>
              <w:t xml:space="preserve"> BOLAND (IE-III)</w:t>
            </w:r>
          </w:p>
        </w:tc>
      </w:tr>
      <w:tr w:rsidRPr="002D15C6" w:rsidR="00CB7CD0" w:rsidTr="008E4CC5" w14:paraId="1AE590E4" w14:textId="77777777">
        <w:trPr>
          <w:jc w:val="center"/>
        </w:trPr>
        <w:tc>
          <w:tcPr>
            <w:tcW w:w="5000" w:type="pct"/>
            <w:vAlign w:val="center"/>
          </w:tcPr>
          <w:p w:rsidRPr="002D15C6" w:rsidR="00CB7CD0" w:rsidP="006125A1" w:rsidRDefault="00CB7CD0" w14:paraId="3CA82D7B" w14:textId="13C3FA80">
            <w:pPr>
              <w:jc w:val="center"/>
              <w:rPr>
                <w:sz w:val="24"/>
                <w:szCs w:val="24"/>
                <w:lang w:val="en-GB"/>
              </w:rPr>
            </w:pPr>
          </w:p>
        </w:tc>
      </w:tr>
    </w:tbl>
    <w:p w:rsidRPr="002D15C6" w:rsidR="00574C9B" w:rsidP="00574C9B" w:rsidRDefault="00574C9B" w14:paraId="0B225863" w14:textId="77777777">
      <w:r>
        <w:rPr>
          <w:noProof/>
          <w:sz w:val="20"/>
          <w:lang w:val="en-US"/>
        </w:rPr>
        <mc:AlternateContent>
          <mc:Choice Requires="wps">
            <w:drawing>
              <wp:anchor distT="0" distB="0" distL="114300" distR="114300" simplePos="0" relativeHeight="251659264" behindDoc="1" locked="0" layoutInCell="0" allowOverlap="1" wp14:editId="2906E5EC" wp14:anchorId="3735E109">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03B00903" w14:textId="77777777">
                            <w:pPr>
                              <w:jc w:val="center"/>
                            </w:pPr>
                            <w:r>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735E109">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574C9B" w14:paraId="03B00903" w14:textId="77777777">
                      <w:pPr>
                        <w:jc w:val="center"/>
                      </w:pPr>
                      <w:r>
                        <w:rPr>
                          <w:rFonts w:ascii="Arial" w:hAnsi="Arial"/>
                          <w:b/>
                          <w:sz w:val="48"/>
                        </w:rPr>
                        <w:t>EL</w:t>
                      </w:r>
                    </w:p>
                  </w:txbxContent>
                </v:textbox>
                <w10:wrap anchorx="margin" anchory="page"/>
              </v:shape>
            </w:pict>
          </mc:Fallback>
        </mc:AlternateContent>
      </w:r>
    </w:p>
    <w:p w:rsidRPr="002D15C6" w:rsidR="00574C9B" w:rsidP="00574C9B" w:rsidRDefault="00574C9B" w14:paraId="3FA5826A" w14:textId="77777777">
      <w:pPr>
        <w:rPr>
          <w:lang w:val="en-GB"/>
        </w:rPr>
      </w:pPr>
    </w:p>
    <w:p w:rsidRPr="002D15C6" w:rsidR="00574C9B" w:rsidP="00574C9B" w:rsidRDefault="00574C9B" w14:paraId="4B88FC0A" w14:textId="77777777">
      <w:pPr>
        <w:rPr>
          <w:lang w:val="en-GB"/>
        </w:rPr>
        <w:sectPr w:rsidRPr="002D15C6" w:rsidR="00574C9B" w:rsidSect="002D15C6">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2D15C6" w:rsidR="00AC5114" w:rsidTr="00E15BF4" w14:paraId="02CCD765" w14:textId="77777777">
        <w:tc>
          <w:tcPr>
            <w:tcW w:w="3085" w:type="dxa"/>
          </w:tcPr>
          <w:p w:rsidRPr="002D15C6" w:rsidR="00AC5114" w:rsidP="0058411F" w:rsidRDefault="00AC5114" w14:paraId="539F8317" w14:textId="77777777">
            <w:pPr>
              <w:autoSpaceDE w:val="0"/>
              <w:autoSpaceDN w:val="0"/>
              <w:jc w:val="left"/>
              <w:rPr>
                <w:szCs w:val="20"/>
              </w:rPr>
            </w:pPr>
            <w:r>
              <w:lastRenderedPageBreak/>
              <w:t>Νομική βάση</w:t>
            </w:r>
          </w:p>
        </w:tc>
        <w:tc>
          <w:tcPr>
            <w:tcW w:w="6204" w:type="dxa"/>
            <w:vAlign w:val="bottom"/>
          </w:tcPr>
          <w:p w:rsidRPr="002D15C6" w:rsidR="00AC5114" w:rsidP="0058411F" w:rsidRDefault="00AC5114" w14:paraId="2974D99B" w14:textId="10A945DA">
            <w:pPr>
              <w:autoSpaceDE w:val="0"/>
              <w:autoSpaceDN w:val="0"/>
              <w:jc w:val="left"/>
              <w:rPr>
                <w:szCs w:val="20"/>
              </w:rPr>
            </w:pPr>
            <w:r>
              <w:t>Άρθρο 50 του Εσωτερικού Κανονισμού</w:t>
            </w:r>
          </w:p>
        </w:tc>
      </w:tr>
      <w:tr w:rsidRPr="002D15C6" w:rsidR="00AC5114" w:rsidTr="00E15BF4" w14:paraId="5EFF5047" w14:textId="77777777">
        <w:tc>
          <w:tcPr>
            <w:tcW w:w="3085" w:type="dxa"/>
          </w:tcPr>
          <w:p w:rsidRPr="002D15C6" w:rsidR="00AC5114" w:rsidP="0058411F" w:rsidRDefault="00AC5114" w14:paraId="076FE721" w14:textId="77777777">
            <w:pPr>
              <w:autoSpaceDE w:val="0"/>
              <w:autoSpaceDN w:val="0"/>
              <w:jc w:val="left"/>
              <w:rPr>
                <w:szCs w:val="20"/>
                <w:lang w:val="en-GB"/>
              </w:rPr>
            </w:pPr>
          </w:p>
        </w:tc>
        <w:tc>
          <w:tcPr>
            <w:tcW w:w="6204" w:type="dxa"/>
            <w:vAlign w:val="bottom"/>
          </w:tcPr>
          <w:p w:rsidRPr="002D15C6" w:rsidR="00AC5114" w:rsidP="0058411F" w:rsidRDefault="00AC5114" w14:paraId="6B02A19F" w14:textId="61988DEF">
            <w:pPr>
              <w:autoSpaceDE w:val="0"/>
              <w:autoSpaceDN w:val="0"/>
              <w:jc w:val="left"/>
              <w:rPr>
                <w:szCs w:val="20"/>
                <w:lang w:val="en-GB"/>
              </w:rPr>
            </w:pPr>
          </w:p>
        </w:tc>
      </w:tr>
      <w:tr w:rsidRPr="002D15C6" w:rsidR="0058411F" w:rsidTr="00E15BF4" w14:paraId="7AE47B93" w14:textId="77777777">
        <w:tc>
          <w:tcPr>
            <w:tcW w:w="3085" w:type="dxa"/>
          </w:tcPr>
          <w:p w:rsidRPr="002D15C6" w:rsidR="0058411F" w:rsidP="0058411F" w:rsidRDefault="0058411F" w14:paraId="26DE3092" w14:textId="77777777">
            <w:pPr>
              <w:autoSpaceDE w:val="0"/>
              <w:autoSpaceDN w:val="0"/>
              <w:jc w:val="left"/>
            </w:pPr>
            <w:r>
              <w:t>Έγκριση από την Ολομέλεια</w:t>
            </w:r>
          </w:p>
        </w:tc>
        <w:tc>
          <w:tcPr>
            <w:tcW w:w="6204" w:type="dxa"/>
            <w:vAlign w:val="bottom"/>
          </w:tcPr>
          <w:p w:rsidRPr="002D15C6" w:rsidR="0058411F" w:rsidP="0058411F" w:rsidRDefault="00840EED" w14:paraId="34FA2183" w14:textId="1A44CA92">
            <w:pPr>
              <w:autoSpaceDE w:val="0"/>
              <w:autoSpaceDN w:val="0"/>
              <w:jc w:val="left"/>
            </w:pPr>
            <w:r>
              <w:t>23/03/2023</w:t>
            </w:r>
          </w:p>
        </w:tc>
      </w:tr>
      <w:tr w:rsidRPr="002D15C6" w:rsidR="0058411F" w:rsidTr="00E15BF4" w14:paraId="2FE8AE44" w14:textId="77777777">
        <w:tc>
          <w:tcPr>
            <w:tcW w:w="3085" w:type="dxa"/>
          </w:tcPr>
          <w:p w:rsidRPr="002D15C6" w:rsidR="0058411F" w:rsidP="0058411F" w:rsidRDefault="0058411F" w14:paraId="2A65A034" w14:textId="77777777">
            <w:pPr>
              <w:autoSpaceDE w:val="0"/>
              <w:autoSpaceDN w:val="0"/>
              <w:jc w:val="left"/>
            </w:pPr>
            <w:r>
              <w:t>Σύνοδος ολομέλειας αριθ.</w:t>
            </w:r>
          </w:p>
        </w:tc>
        <w:tc>
          <w:tcPr>
            <w:tcW w:w="6204" w:type="dxa"/>
            <w:vAlign w:val="bottom"/>
          </w:tcPr>
          <w:p w:rsidRPr="002D15C6" w:rsidR="0058411F" w:rsidP="0058411F" w:rsidRDefault="003D770E" w14:paraId="17BFB0A7" w14:textId="038FD8DA">
            <w:pPr>
              <w:autoSpaceDE w:val="0"/>
              <w:autoSpaceDN w:val="0"/>
              <w:jc w:val="left"/>
            </w:pPr>
            <w:r>
              <w:t>577</w:t>
            </w:r>
          </w:p>
        </w:tc>
      </w:tr>
      <w:tr w:rsidRPr="002D15C6" w:rsidR="0058411F" w:rsidTr="00E15BF4" w14:paraId="3889B17A" w14:textId="77777777">
        <w:tc>
          <w:tcPr>
            <w:tcW w:w="3085" w:type="dxa"/>
          </w:tcPr>
          <w:p w:rsidRPr="002D15C6" w:rsidR="0058411F" w:rsidP="0058411F" w:rsidRDefault="0058411F" w14:paraId="0C723801" w14:textId="77777777">
            <w:pPr>
              <w:autoSpaceDE w:val="0"/>
              <w:autoSpaceDN w:val="0"/>
              <w:jc w:val="left"/>
            </w:pPr>
            <w:r>
              <w:t>Αποτέλεσμα της ψηφοφορίας</w:t>
            </w:r>
            <w:r>
              <w:br/>
              <w:t>(υπέρ/κατά/αποχές)</w:t>
            </w:r>
          </w:p>
        </w:tc>
        <w:tc>
          <w:tcPr>
            <w:tcW w:w="6204" w:type="dxa"/>
            <w:vAlign w:val="bottom"/>
          </w:tcPr>
          <w:p w:rsidRPr="002D15C6" w:rsidR="0058411F" w:rsidP="0058411F" w:rsidRDefault="00840EED" w14:paraId="14DB34EA" w14:textId="7639235A">
            <w:pPr>
              <w:autoSpaceDE w:val="0"/>
              <w:autoSpaceDN w:val="0"/>
              <w:jc w:val="left"/>
            </w:pPr>
            <w:r>
              <w:t>181/0/5</w:t>
            </w:r>
          </w:p>
        </w:tc>
      </w:tr>
    </w:tbl>
    <w:p w:rsidRPr="002D15C6" w:rsidR="00AC5114" w:rsidP="00574C9B" w:rsidRDefault="00AC5114" w14:paraId="156A5F34" w14:textId="77777777">
      <w:pPr>
        <w:rPr>
          <w:lang w:val="en-GB"/>
        </w:rPr>
      </w:pPr>
    </w:p>
    <w:p w:rsidRPr="002D15C6" w:rsidR="00AC5114" w:rsidP="00574C9B" w:rsidRDefault="00AC5114" w14:paraId="2CD3051D" w14:textId="77777777">
      <w:pPr>
        <w:rPr>
          <w:lang w:val="en-GB"/>
        </w:rPr>
        <w:sectPr w:rsidRPr="002D15C6" w:rsidR="00AC5114" w:rsidSect="002D15C6">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rsidRPr="002D15C6" w:rsidR="009D6C65" w:rsidP="009D6C65" w:rsidRDefault="009D6C65" w14:paraId="753B7479" w14:textId="77777777">
      <w:r>
        <w:lastRenderedPageBreak/>
        <w:t xml:space="preserve">Η </w:t>
      </w:r>
      <w:proofErr w:type="spellStart"/>
      <w:r>
        <w:t>μεταπανδημική</w:t>
      </w:r>
      <w:proofErr w:type="spellEnd"/>
      <w:r>
        <w:t xml:space="preserve"> ανάκαμψη, οι δημοκρατικές αξίες, ο χώρος της κοινωνίας των πολιτών, η ελευθερία των μέσων ενημέρωσης, η πολυμορφία και η φιλελεύθερη δημοκρατία βρίσκονται υπό πίεση και στις δύο πλευρές των συνόρων της ΕΕ και έχουν επιδεινωθεί από την έναρξη του πολέμου στο ευρωπαϊκό έδαφος: λιγότερο από το 50 % του παγκόσμιου πληθυσμού ζει σε ένα δημοκρατικό σύστημα.</w:t>
      </w:r>
    </w:p>
    <w:p w:rsidRPr="002D15C6" w:rsidR="009D6C65" w:rsidP="009D6C65" w:rsidRDefault="009D6C65" w14:paraId="04F034A1" w14:textId="77777777">
      <w:pPr>
        <w:rPr>
          <w:rFonts w:eastAsia="Calibri"/>
          <w:lang w:val="en-GB"/>
        </w:rPr>
      </w:pPr>
    </w:p>
    <w:p w:rsidRPr="002D15C6" w:rsidR="009D6C65" w:rsidP="009D6C65" w:rsidRDefault="009D6C65" w14:paraId="0E1FC2E8" w14:textId="77777777">
      <w:r>
        <w:t xml:space="preserve">Καθώς ο κόσμος εξακολουθεί να γίνεται μάρτυρας του αποτρόπαιου πολέμου στην Ουκρανία και των καταστροφικών ανθρωπιστικών, κοινωνικών και οικονομικών συνεπειών του, η ΕΟΚΕ απευθύνει έκκληση για την ενίσχυση της δημοκρατίας και των δημοκρατικών αξιών. </w:t>
      </w:r>
    </w:p>
    <w:p w:rsidRPr="002D15C6" w:rsidR="009D6C65" w:rsidP="009D6C65" w:rsidRDefault="009D6C65" w14:paraId="7384FD85" w14:textId="77777777">
      <w:pPr>
        <w:rPr>
          <w:rFonts w:eastAsia="Calibri"/>
          <w:lang w:val="en-GB"/>
        </w:rPr>
      </w:pPr>
    </w:p>
    <w:p w:rsidRPr="002D15C6" w:rsidR="009D6C65" w:rsidP="009D6C65" w:rsidRDefault="009D6C65" w14:paraId="4FFEBCD8" w14:textId="77777777">
      <w:pPr>
        <w:rPr>
          <w:rFonts w:cstheme="minorHAnsi"/>
        </w:rPr>
      </w:pPr>
      <w:r>
        <w:t>Η έκτακτη κινητοποίηση των οργανώσεων της κοινωνίας των πολιτών της ΕΕ που παρέχουν ανθρωπιστική, υλικοτεχνική και ιατρική βοήθεια στον ουκρανικό λαό κατέδειξε επίσης τη σημασία μιας καλά συνδεδεμένης, αποτελεσματικής και δυναμικής κοινωνίας των πολιτών. Πέραν της Ουκρανίας, βλέπουμε επίσης κινήματα βάσης που αγωνίζονται για τη δημοκρατία στο Ιράν, τη Λευκορωσία και τη Μολδαβία. Η ενίσχυσή τους ενισχύει τις δημοκρατίες.</w:t>
      </w:r>
    </w:p>
    <w:p w:rsidRPr="002D15C6" w:rsidR="009D6C65" w:rsidP="009D6C65" w:rsidRDefault="009D6C65" w14:paraId="7A9F891A" w14:textId="77777777">
      <w:pPr>
        <w:rPr>
          <w:rFonts w:eastAsia="Calibri"/>
          <w:lang w:val="en-GB"/>
        </w:rPr>
      </w:pPr>
    </w:p>
    <w:p w:rsidRPr="002D15C6" w:rsidR="009D6C65" w:rsidP="009D6C65" w:rsidRDefault="009D6C65" w14:paraId="555B9418" w14:textId="77777777">
      <w:r>
        <w:t>Τώρα είναι πιο σημαντικό από ποτέ να επενδύσουμε στην ενίσχυση της ανθεκτικότητας των δημοκρατιών και στην καλύτερη διασφάλιση των θεμελιωδών δικαιωμάτων μας, στην οικοδόμηση μακροχρόνιας ειρήνης και σταθερότητας και εν τέλει στην επίτευξη ευημερίας για όλους.</w:t>
      </w:r>
    </w:p>
    <w:p w:rsidRPr="002D15C6" w:rsidR="009D6C65" w:rsidP="009D6C65" w:rsidRDefault="009D6C65" w14:paraId="354D3B0E" w14:textId="77777777">
      <w:pPr>
        <w:rPr>
          <w:rFonts w:eastAsia="Calibri"/>
          <w:lang w:val="en-GB"/>
        </w:rPr>
      </w:pPr>
    </w:p>
    <w:p w:rsidRPr="002D15C6" w:rsidR="009D6C65" w:rsidP="009D6C65" w:rsidRDefault="009D6C65" w14:paraId="6EDF55DC" w14:textId="77777777">
      <w:r>
        <w:t>Δεν υπάρχει αμφιβολία ότι θα πρέπει να προβληματιστούμε από κοινού σχετικά με νέες προσεγγίσεις για την ενίσχυση των δομών της συμμετοχικής δημοκρατίας. Μια ισχυρή, ανεξάρτητη και ποικιλόμορφη κοινωνία των πολιτών είναι πιο σημαντική από ποτέ ως βασική συνιστώσα της διασφάλισης της ενεργού συμμετοχής στα κοινά και της ανθεκτικής δημοκρατίας που μπορούν να διαφυλάξουν το κράτος δικαίου, τα θεμελιώδη δικαιώματα, την ελευθερία της έκφρασης και την ακεραιότητα του δημοκρατικού τρόπου ζωής μας. Η δημοκρατία στην ΕΕ είναι άρρηκτα και αμετάκλητα συνδεδεμένη με τις έννοιες της ισότητας, της δικαιοσύνης, του σεβασμού των ανθρωπίνων δικαιωμάτων και της απαγόρευσης των διακρίσεων, όπως ορίζεται στο άρθρο 2 της ΣΕΕ.</w:t>
      </w:r>
    </w:p>
    <w:p w:rsidRPr="002D15C6" w:rsidR="009D6C65" w:rsidP="009D6C65" w:rsidRDefault="009D6C65" w14:paraId="08EDC798" w14:textId="77777777">
      <w:pPr>
        <w:rPr>
          <w:rFonts w:eastAsia="Calibri"/>
          <w:lang w:val="en-GB"/>
        </w:rPr>
      </w:pPr>
    </w:p>
    <w:p w:rsidRPr="002D15C6" w:rsidR="009D6C65" w:rsidP="009D6C65" w:rsidRDefault="009D6C65" w14:paraId="250ED0A3" w14:textId="77777777">
      <w:r>
        <w:t>Σε καιρούς πολυσχιδών αλλαγών και προκλήσεων, η διαβουλευτική/συμμετοχική δημοκρατία μπορεί να αποτελέσει μέρος μιας ευρύτερης εικόνας της συστημικής αλλαγής που απαιτείται. Υπάρχουν πολλά παραδείγματα που, εάν εφαρμοστούν αποτελεσματικά, μπορούν να δώσουν τη δυνατότητα στους υπεύθυνους χάραξης πολιτικής να λάβουν δύσκολες αποφάσεις σχετικά με τα πιο ακανθώδη προβλήματα δημόσιας πολιτικής και να ενισχύσουν την εμπιστοσύνη μεταξύ των πολιτών και των κυβερνήσεων. Προϋπόθεση είναι να διασφαλιστεί ότι λαμβάνεται υπόψη η πολυμορφία των απόψεων και το δικαίωμα ελεύθερης έκφρασης. Ωστόσο, η συμμετοχική δημοκρατία δεν αποτελεί πανάκεια. Οι δημοκρατικές κοινωνίες αντιμετωπίζουν ευρύ φάσμα προκλήσεων, οι οποίες απαιτούν διαφορετικές μεθόδους συμμετοχής. Ως εκ τούτου, η δημοκρατική διακυβέρνηση απαιτεί τη χρήση διαφορετικών μηχανισμών για διαφορετικούς σκοπούς, ώστε να αξιοποιούνται τα πλεονεκτήματα και οι αδυναμίες τους.</w:t>
      </w:r>
    </w:p>
    <w:p w:rsidRPr="002D15C6" w:rsidR="009D6C65" w:rsidP="009D6C65" w:rsidRDefault="009D6C65" w14:paraId="4466BC74" w14:textId="77777777">
      <w:pPr>
        <w:rPr>
          <w:rFonts w:eastAsia="Calibri"/>
          <w:lang w:val="en-GB"/>
        </w:rPr>
      </w:pPr>
    </w:p>
    <w:p w:rsidRPr="002D15C6" w:rsidR="009D6C65" w:rsidP="002D70C0" w:rsidRDefault="009D6C65" w14:paraId="345893AB" w14:textId="77777777">
      <w:pPr>
        <w:keepNext/>
        <w:keepLines/>
      </w:pPr>
      <w:r>
        <w:t>Πρέπει να επιδιώξουμε συλλογικά μια νέα ισορροπία μεταξύ της αντιπροσωπευτικής δημοκρατίας, της συμμετοχικής δημοκρατίας και της άμεσης δημοκρατίας.</w:t>
      </w:r>
    </w:p>
    <w:p w:rsidRPr="002D15C6" w:rsidR="009D6C65" w:rsidP="002D70C0" w:rsidRDefault="009D6C65" w14:paraId="4525E5AE" w14:textId="77777777">
      <w:pPr>
        <w:keepNext/>
        <w:keepLines/>
        <w:rPr>
          <w:rFonts w:eastAsia="Calibri"/>
          <w:lang w:val="en-GB"/>
        </w:rPr>
      </w:pPr>
    </w:p>
    <w:p w:rsidRPr="002D15C6" w:rsidR="009D6C65" w:rsidP="002D70C0" w:rsidRDefault="009D6C65" w14:paraId="59E926E4" w14:textId="77777777">
      <w:pPr>
        <w:keepNext/>
        <w:keepLines/>
      </w:pPr>
      <w:r>
        <w:t>Τα συμπεράσματα της Διάσκεψης για το Μέλλον της Ευρώπης (</w:t>
      </w:r>
      <w:proofErr w:type="spellStart"/>
      <w:r>
        <w:t>CoFoE</w:t>
      </w:r>
      <w:proofErr w:type="spellEnd"/>
      <w:r>
        <w:t xml:space="preserve">) σχετικά με την ευρωπαϊκή δημοκρατία, της 9ης Μαΐου 2022, και συγκεκριμένα οι προτάσεις 36 και 39, </w:t>
      </w:r>
      <w:r>
        <w:rPr>
          <w:b/>
        </w:rPr>
        <w:t>θέτουν τους στόχους της αύξησης της συμμετοχής των πολιτών και της ενίσχυσης των δομών της συμμετοχικής δημοκρατίας και των διαβουλευτικών δράσεων.</w:t>
      </w:r>
      <w:r>
        <w:t xml:space="preserve"> Λαμβάνοντας υπόψη τα αποτελέσματα της Διάσκεψης για το Μέλλον της Ευρώπης και τον σημαντικό ρόλο που διαδραματίζει ήδη η Ευρωπαϊκή Οικονομική και Κοινωνική Επιτροπή (ΕΟΚΕ), η ΕΟΚΕ επιθυμεί να σκιαγραφήσει διάφορες επιλογές που θα μπορούσαν να διαμορφώσουν ένα στρατηγικό σχέδιο θεσμικών μεταρρυθμίσεων για την καλύτερη εξυπηρέτηση των σκοπών της ΕΟΚΕ.</w:t>
      </w:r>
    </w:p>
    <w:p w:rsidRPr="002D15C6" w:rsidR="009D6C65" w:rsidP="009D6C65" w:rsidRDefault="009D6C65" w14:paraId="6085DB22" w14:textId="77777777">
      <w:pPr>
        <w:rPr>
          <w:lang w:val="en-GB"/>
        </w:rPr>
      </w:pPr>
    </w:p>
    <w:p w:rsidRPr="002D15C6" w:rsidR="009D6C65" w:rsidP="009D6C65" w:rsidRDefault="009D6C65" w14:paraId="0A348D2F" w14:textId="77777777">
      <w:pPr>
        <w:keepNext/>
        <w:keepLines/>
      </w:pPr>
      <w:r>
        <w:rPr>
          <w:b/>
          <w:color w:val="000000" w:themeColor="text1"/>
        </w:rPr>
        <w:t>Στο πλαίσιο αυτό, και με βάση τις Ημέρες της Κοινωνίας των Πολιτών 2023, η Ευρωπαϊκή Οικονομική και Κοινωνική Επιτροπή (ΕΟΚΕ):</w:t>
      </w:r>
    </w:p>
    <w:p w:rsidRPr="002D15C6" w:rsidR="009D6C65" w:rsidP="009D6C65" w:rsidRDefault="009D6C65" w14:paraId="1D18F1C8" w14:textId="77777777">
      <w:pPr>
        <w:keepNext/>
        <w:keepLines/>
        <w:rPr>
          <w:rFonts w:eastAsia="Calibri"/>
          <w:b/>
          <w:bCs/>
          <w:color w:val="000000" w:themeColor="text1"/>
          <w:lang w:val="en-GB"/>
        </w:rPr>
      </w:pPr>
    </w:p>
    <w:p w:rsidRPr="002D15C6" w:rsidR="009D6C65" w:rsidP="009D6C65" w:rsidRDefault="009D6C65" w14:paraId="610057DA" w14:textId="77777777">
      <w:pPr>
        <w:pStyle w:val="ListParagraph"/>
        <w:numPr>
          <w:ilvl w:val="0"/>
          <w:numId w:val="5"/>
        </w:numPr>
        <w:ind w:left="567" w:hanging="567"/>
      </w:pPr>
      <w:r>
        <w:t xml:space="preserve">ζητεί την αποτελεσματική εφαρμογή του άρθρου 11 της ΣΕΕ, συμπεριλαμβανομένης μιας </w:t>
      </w:r>
      <w:r>
        <w:rPr>
          <w:b/>
        </w:rPr>
        <w:t>ευρωπαϊκής στρατηγικής για την κοινωνία των πολιτών</w:t>
      </w:r>
      <w:r>
        <w:t xml:space="preserve"> και ενός ευρωπαϊκού καταστατικού για τους συλλόγους με στόχο τη σύνδεση διαφόρων δομικών στοιχείων για έναν χώρο πραγματικά ενδυναμωτικό και χωρίς αποκλεισμούς, προκειμένου να ανανεωθεί η δέσμευση και να καθιερωθεί διαρθρωμένος διάλογος με τους πολίτες σε όλα τα θεσμικά όργανα της ΕΕ, μεταξύ άλλων με την πρόσκληση της οργανωμένης κοινωνίας των πολιτών, ειδικότερα, σε κοινωνικές συνόδους κορυφής και διασκέψεις υψηλού επιπέδου. Για την ουσιαστικότερη και ευρύτερη συμμετοχή του τομέα της κοινωνίας των πολιτών, οι πόροι είναι επίσης σημαντικοί. Χρειάζονται καλύτερες ευκαιρίες χρηματοδότησης και δίκαια και διαφανή πλαίσια πολιτικής για τις ΟΚΠ, συμπεριλαμβανομένης της διασυνοριακής προστασίας, για την ανάπτυξη ικανοτήτων και ανθεκτικότητας για όλες τις οργανώσεις της κοινωνίας των πολιτών (ΟΚΠ), συμπεριλαμβανομένων των οργανώσεων νεολαίας, της κοινωνικής οικονομίας και του εθελοντικού τομέα, καθώς και πρόσβαση σε ευέλικτους και βιώσιμους πόρους, είτε ιδιωτικούς είτε δημόσιους·</w:t>
      </w:r>
    </w:p>
    <w:p w:rsidRPr="002D15C6" w:rsidR="009D6C65" w:rsidP="009D6C65" w:rsidRDefault="009D6C65" w14:paraId="653729FF" w14:textId="77777777">
      <w:pPr>
        <w:rPr>
          <w:lang w:val="en-GB"/>
        </w:rPr>
      </w:pPr>
    </w:p>
    <w:p w:rsidRPr="002D15C6" w:rsidR="009D6C65" w:rsidP="009D6C65" w:rsidRDefault="009D6C65" w14:paraId="105319BF" w14:textId="77777777">
      <w:pPr>
        <w:pStyle w:val="ListParagraph"/>
        <w:numPr>
          <w:ilvl w:val="0"/>
          <w:numId w:val="5"/>
        </w:numPr>
        <w:ind w:left="567" w:hanging="567"/>
      </w:pPr>
      <w:r>
        <w:t>τονίζει την ανάγκη ενίσχυσης του βασικού ρόλου της οργανωμένης κοινωνίας των πολιτών και των κοινωνικών εταίρων στη στήριξη της διαβουλευτικής δημοκρατίας, προς συμπλήρωση της αντιπροσωπευτικής δημοκρατίας, ώστε να ενισχυθεί περαιτέρω ο διάλογος με τους πολίτες σε όλα τα κράτη μέλη και σε επίπεδο ΕΕ. Η δύναμη και η ισχύς των ευρωπαϊκών δημοκρατιών βασίζονται στη σταθερή και ευρεία συνεργασία μεταξύ της ΕΕ και των κρατών μελών της, η οποία πρέπει να συμβάλει στην ανάπτυξη των ικανοτήτων των οργανώσεων της κοινωνίας των πολιτών, δεδομένου ότι οι ανεξάρτητες ΟΚΠ είναι «θεματοφύλακες του κοινού καλού», με κεντρικό ρόλο στον εντοπισμό βιώσιμων λύσεων, στην προώθηση κοινωνικών καινοτομιών και στην οικοδόμηση αμοιβαίας εμπιστοσύνης εντός των κοινωνιών. Οι ΟΚΠ συμβάλλουν επίσης στον εντοπισμό διαδικασιών, στην παροχή εμπειρογνωμοσύνης για την αύξηση της πολυμορφίας των συζητήσεων και στη διευκόλυνση της συμμετοχικής δημοκρατίας, όπως ορίζεται στις Συνθήκες·</w:t>
      </w:r>
    </w:p>
    <w:p w:rsidRPr="002D15C6" w:rsidR="009D6C65" w:rsidP="009D6C65" w:rsidRDefault="009D6C65" w14:paraId="5F0F5C66" w14:textId="77777777">
      <w:pPr>
        <w:rPr>
          <w:lang w:val="en-GB"/>
        </w:rPr>
      </w:pPr>
    </w:p>
    <w:p w:rsidRPr="002D15C6" w:rsidR="009D6C65" w:rsidP="002D70C0" w:rsidRDefault="009D6C65" w14:paraId="3F68F91F" w14:textId="143B7AE5">
      <w:pPr>
        <w:pStyle w:val="ListParagraph"/>
        <w:keepNext/>
        <w:keepLines/>
        <w:numPr>
          <w:ilvl w:val="0"/>
          <w:numId w:val="5"/>
        </w:numPr>
        <w:ind w:left="567" w:hanging="567"/>
      </w:pPr>
      <w:r>
        <w:t>ζητεί μια ολιστική και συνεργατική προσέγγιση όσον αφορά την εκπαίδευση και την κατάρτιση για την αντιμετώπιση των σημερινών προκλήσεων. Μια ευρωπαϊκή πολιτική για τις δεξιότητες θα πρέπει να διαμορφωθεί από κοινού με τις οργανώσεις της κοινωνίας των πολιτών και τους κοινωνικούς εταίρους, οι οποίοι διαθέτουν πολιτικό κεφάλαιο, συγκεκριμένες γνώσεις και κατανόηση των τρεχουσών αναγκών και ελλείψεων· εν προκειμένω, ζητεί την ανακήρυξη του 2025 ως Ευρωπαϊκού Έτους Εθελοντισμού, δεδομένου ότι ο εν λόγω τομέας διαδραματίζει καίριο ρόλο στην ανάπτυξη άτυπων δεξιοτήτων·</w:t>
      </w:r>
    </w:p>
    <w:p w:rsidRPr="002D15C6" w:rsidR="00A415D7" w:rsidP="00A415D7" w:rsidRDefault="00A415D7" w14:paraId="6ACBF32D" w14:textId="77777777">
      <w:pPr>
        <w:rPr>
          <w:lang w:val="en-GB"/>
        </w:rPr>
      </w:pPr>
    </w:p>
    <w:p w:rsidRPr="002D15C6" w:rsidR="009D6C65" w:rsidP="009D6C65" w:rsidRDefault="009D6C65" w14:paraId="3929FBE5" w14:textId="77777777">
      <w:pPr>
        <w:pStyle w:val="ListParagraph"/>
        <w:numPr>
          <w:ilvl w:val="0"/>
          <w:numId w:val="5"/>
        </w:numPr>
        <w:ind w:left="567" w:hanging="567"/>
      </w:pPr>
      <w:r>
        <w:t xml:space="preserve">επισημαίνει ότι οι εγκάρσιες ικανότητες αποτελούν την πραγματική ραχοκοκαλιά μιας συμμετοχικής και διαβουλευτικής δημοκρατίας: συνεργασία, κριτική σκέψη, επίλυση προβλημάτων, δημοκρατική και συλλογική διαχείριση, επίλυση συγκρούσεων, αγωγή του πολίτη και </w:t>
      </w:r>
      <w:proofErr w:type="spellStart"/>
      <w:r>
        <w:t>γραμματισμός</w:t>
      </w:r>
      <w:proofErr w:type="spellEnd"/>
      <w:r>
        <w:t xml:space="preserve"> στα μέσα επικοινωνίας. Οι δεξιότητες αυτές είναι καίριας σημασίας για την καταπολέμηση των αντιδημοκρατικών τάσεων, την προώθηση των ευρωπαϊκών αξιών και την υπέρβαση των υφιστάμενων κοινωνικοοικονομικών και πολιτικών χασμάτων, ενώ παράλληλα παρέχουν στις οργανώσεις της κοινωνίας των πολιτών και στους κοινωνικούς εταίρους τη δυνατότητα να σχεδιάζουν από κοινού πολιτικές μέσω συμβουλευτικών ή συμμετοχικών μέσων για την επίτευξη λογοδοσίας, διαφάνειας και ενεργού συμμετοχής στα κοινά·</w:t>
      </w:r>
    </w:p>
    <w:p w:rsidRPr="002D15C6" w:rsidR="009D6C65" w:rsidP="009D6C65" w:rsidRDefault="009D6C65" w14:paraId="1AB14DAB" w14:textId="77777777">
      <w:pPr>
        <w:rPr>
          <w:lang w:val="en-GB"/>
        </w:rPr>
      </w:pPr>
    </w:p>
    <w:p w:rsidRPr="002D15C6" w:rsidR="009D6C65" w:rsidP="009D6C65" w:rsidRDefault="009D6C65" w14:paraId="1EFD6BEB" w14:textId="77777777">
      <w:pPr>
        <w:pStyle w:val="ListParagraph"/>
        <w:numPr>
          <w:ilvl w:val="0"/>
          <w:numId w:val="5"/>
        </w:numPr>
        <w:ind w:left="567" w:hanging="567"/>
      </w:pPr>
      <w:r>
        <w:t xml:space="preserve">δεσμεύεται να συμβάλει στην περαιτέρω ανάπτυξη εργαλείων για την ενίσχυση της συμμετοχικής και διαβουλευτικής δημοκρατίας, όπως η Ευρωπαϊκή Πρωτοβουλία Πολιτών και οι διαδικτυακές δημόσιες διαβουλεύσεις της ΕΕ, τα οποία πρέπει να είναι πλήρως </w:t>
      </w:r>
      <w:proofErr w:type="spellStart"/>
      <w:r>
        <w:t>προσβάσιμα</w:t>
      </w:r>
      <w:proofErr w:type="spellEnd"/>
      <w:r>
        <w:t xml:space="preserve"> και να γνωστοποιούνται στο ευρύ κοινό·</w:t>
      </w:r>
    </w:p>
    <w:p w:rsidRPr="002D15C6" w:rsidR="009D6C65" w:rsidP="009D6C65" w:rsidRDefault="009D6C65" w14:paraId="7B21E531" w14:textId="77777777">
      <w:pPr>
        <w:rPr>
          <w:lang w:val="en-GB"/>
        </w:rPr>
      </w:pPr>
    </w:p>
    <w:p w:rsidRPr="002D15C6" w:rsidR="009D6C65" w:rsidP="009D6C65" w:rsidRDefault="009D6C65" w14:paraId="5E628C4C" w14:textId="77777777">
      <w:pPr>
        <w:pStyle w:val="ListParagraph"/>
        <w:numPr>
          <w:ilvl w:val="0"/>
          <w:numId w:val="5"/>
        </w:numPr>
        <w:ind w:left="567" w:hanging="567"/>
      </w:pPr>
      <w:r>
        <w:t>τονίζει τη σημασία των ευρωπαϊκών εκλογών του 2024 και τον κρίσιμο ρόλο των ΟΚΠ στην ενθάρρυνση της συμμετοχής των ψηφοφόρων και του φιλοευρωπαϊκού κλίματος, καθώς και στην καταπολέμηση της αποχής και της παραπληροφόρησης. Η ΕΟΚΕ καλεί τις ευρωπαϊκές πολιτικές οικογένειες να υπογραμμίσουν, στα εκλογικά τους προγράμματα, τον ρόλο των οργανώσεων της κοινωνίας των πολιτών στην ενίσχυση του δημοκρατικού βίου·</w:t>
      </w:r>
    </w:p>
    <w:p w:rsidRPr="002D15C6" w:rsidR="009D6C65" w:rsidP="009D6C65" w:rsidRDefault="009D6C65" w14:paraId="05AD376C" w14:textId="77777777">
      <w:pPr>
        <w:rPr>
          <w:lang w:val="en-GB"/>
        </w:rPr>
      </w:pPr>
    </w:p>
    <w:p w:rsidRPr="002D15C6" w:rsidR="009D6C65" w:rsidP="009D6C65" w:rsidRDefault="009D6C65" w14:paraId="6133EEB8" w14:textId="77777777">
      <w:pPr>
        <w:pStyle w:val="ListParagraph"/>
        <w:numPr>
          <w:ilvl w:val="0"/>
          <w:numId w:val="5"/>
        </w:numPr>
        <w:ind w:left="567" w:hanging="567"/>
      </w:pPr>
      <w:r>
        <w:t>επαναλαμβάνει την προθυμία της, από κοινού με τις ευρύτερες οργανώσεις της κοινωνίας των πολιτών και τα θεσμικά όργανα της ΕΕ, να δράσει ως γέφυρα για να συζητηθεί το ευρωπαϊκό εγχείρημα με τους πολίτες, πέραν εκείνων που έχουν ήδη πεισθεί, και να τους προσεγγίσει στις κοινότητες, τις περιοχές, τις πόλεις και τα χωριά τους. Προς τούτο είναι ζωτικής σημασίας να δημιουργηθούν δυνατότητες συμμετοχής σε δημόσιες συζητήσεις και να καλλιεργηθεί νοοτροπία συμμετοχής σε όλα τα επίπεδα·</w:t>
      </w:r>
    </w:p>
    <w:p w:rsidRPr="002D15C6" w:rsidR="009D6C65" w:rsidP="009D6C65" w:rsidRDefault="009D6C65" w14:paraId="2059E36F" w14:textId="77777777">
      <w:pPr>
        <w:rPr>
          <w:lang w:val="en-GB"/>
        </w:rPr>
      </w:pPr>
    </w:p>
    <w:p w:rsidRPr="002D15C6" w:rsidR="009D6C65" w:rsidP="009D6C65" w:rsidRDefault="009D6C65" w14:paraId="3376E3F4" w14:textId="77777777">
      <w:pPr>
        <w:pStyle w:val="ListParagraph"/>
        <w:numPr>
          <w:ilvl w:val="0"/>
          <w:numId w:val="5"/>
        </w:numPr>
        <w:ind w:left="567" w:hanging="567"/>
      </w:pPr>
      <w:r>
        <w:t>Η Επιτροπή θα πρέπει να προβλέψει στην οργάνωσή της αρμόδιους για τις επαφές με τον διάλογο της κοινωνίας των πολιτών, θα πρέπει δε, σε συνεργασία με τα κράτη μέλη, να ενισχύσει τις δομές διαλόγου της κοινωνίας των πολιτών, στηρίζοντας τη συγκρότησή του όπου δεν υπάρχει ακόμη, με χρήση των ευρωπαϊκών ταμείων. Η πρωτοβουλία αυτή θα αυξήσει την ευαισθητοποίηση και θα βελτιώσει την ποιότητα του διαλόγου με την κοινωνία των πολιτών, βοηθώντας έτσι την Επιτροπή και τα κράτη μέλη να κατανοήσουν καλύτερα τα οφέλη που μπορεί να αποφέρει ο εύρυθμος διάλογος με την κοινωνία των πολιτών στη χάραξη πολιτικής. Επιπλέον, ο διάλογος με την κοινωνία των πολιτών θα ενισχυθεί με δραστηριότητες έρευνας και παρακολούθησης, οι οποίες θα οδηγήσουν στον εντοπισμό και την ανταλλαγή βέλτιστων πρακτικών·</w:t>
      </w:r>
    </w:p>
    <w:p w:rsidRPr="002D15C6" w:rsidR="009D6C65" w:rsidP="009D6C65" w:rsidRDefault="009D6C65" w14:paraId="7313DE2E" w14:textId="77777777">
      <w:pPr>
        <w:rPr>
          <w:lang w:val="en-GB"/>
        </w:rPr>
      </w:pPr>
    </w:p>
    <w:p w:rsidRPr="002D15C6" w:rsidR="009D6C65" w:rsidP="009D6C65" w:rsidRDefault="009D6C65" w14:paraId="5C3F830B" w14:textId="77777777">
      <w:pPr>
        <w:pStyle w:val="ListParagraph"/>
        <w:numPr>
          <w:ilvl w:val="0"/>
          <w:numId w:val="5"/>
        </w:numPr>
        <w:ind w:left="567" w:hanging="567"/>
      </w:pPr>
      <w:r>
        <w:t>επισημαίνει, στο πλαίσιο αυτό, ότι η συμμετοχή των νέων και των οργανώσεών τους είναι ιδιαίτερα σημαντική για την κινητοποίηση των νεαρών ψηφοφόρων και όσων ψηφίζουν για πρώτη φορά. Προκειμένου να επιτευχθεί πλήρης αντιπροσωπευτικότητα, είναι αναγκαίο να υποστηριχθούν λύσεις που επιτρέπουν την ευρεία συμμετοχή και προωθούν την ισότητα ευκαιριών στο πλαίσιο αυτό. Είναι αναγκαίο να προσεγγιστούν όσοι είναι περισσότερο απομακρυσμένοι από τα κέντρα λήψης αποφάσεων και να διεξαχθούν συζητήσεις μαζί τους. Η μεγαλύτερη συμμετοχή σε τοπικό επίπεδο φαίνεται αναγκαία·</w:t>
      </w:r>
    </w:p>
    <w:p w:rsidRPr="002D15C6" w:rsidR="009D6C65" w:rsidP="009D6C65" w:rsidRDefault="009D6C65" w14:paraId="0B93326A" w14:textId="77777777">
      <w:pPr>
        <w:rPr>
          <w:lang w:val="en-GB"/>
        </w:rPr>
      </w:pPr>
    </w:p>
    <w:p w:rsidRPr="002D15C6" w:rsidR="009D6C65" w:rsidP="009D6C65" w:rsidRDefault="009D6C65" w14:paraId="2901B1D3" w14:textId="77777777">
      <w:pPr>
        <w:pStyle w:val="ListParagraph"/>
        <w:numPr>
          <w:ilvl w:val="0"/>
          <w:numId w:val="5"/>
        </w:numPr>
        <w:ind w:left="567" w:hanging="567"/>
      </w:pPr>
      <w:r>
        <w:t>επιπλέον, καλεί το Ευρωπαϊκό Κοινοβούλιο, το Ευρωπαϊκό Συμβούλιο και τα κράτη μέλη να τροποποιήσουν επειγόντως την εκλογική πράξη του 1976, προκειμένου να αποσαφηνιστούν οι αρχές της καθολικότητας, της αμεσότητας και της μυστικότητας των εκλογών. Αυτό θα επιτρέψει την εφαρμογή των προτύπων σε ολόκληρη την ΕΕ, διασφαλίζοντας έτσι τα δικαιώματα ψήφου για τα άτομα με αναπηρία.</w:t>
      </w:r>
    </w:p>
    <w:p w:rsidRPr="002D15C6" w:rsidR="009D6C65" w:rsidP="009D6C65" w:rsidRDefault="009D6C65" w14:paraId="410FB0A9" w14:textId="77777777">
      <w:pPr>
        <w:rPr>
          <w:lang w:val="en-GB"/>
        </w:rPr>
      </w:pPr>
    </w:p>
    <w:p w:rsidRPr="002D15C6" w:rsidR="009D6C65" w:rsidP="009D6C65" w:rsidRDefault="009D6C65" w14:paraId="11F92867" w14:textId="77777777">
      <w:pPr>
        <w:keepNext/>
        <w:keepLines/>
        <w:rPr>
          <w:rFonts w:eastAsia="Calibri"/>
        </w:rPr>
      </w:pPr>
      <w:r>
        <w:rPr>
          <w:b/>
        </w:rPr>
        <w:t>Με βάση τις ανωτέρω συστάσεις και τη Διάσκεψη για το Μέλλον της Ευρώπης, η ΕΟΚΕ:</w:t>
      </w:r>
    </w:p>
    <w:p w:rsidRPr="002D15C6" w:rsidR="009D6C65" w:rsidP="009D6C65" w:rsidRDefault="009D6C65" w14:paraId="1E8FA534" w14:textId="77777777">
      <w:pPr>
        <w:keepNext/>
        <w:keepLines/>
        <w:rPr>
          <w:lang w:val="en-GB"/>
        </w:rPr>
      </w:pPr>
    </w:p>
    <w:p w:rsidRPr="002D15C6" w:rsidR="009D6C65" w:rsidP="009D6C65" w:rsidRDefault="009D6C65" w14:paraId="07C16EB2" w14:textId="77777777">
      <w:pPr>
        <w:pStyle w:val="ListParagraph"/>
        <w:numPr>
          <w:ilvl w:val="0"/>
          <w:numId w:val="4"/>
        </w:numPr>
        <w:ind w:left="567" w:hanging="567"/>
      </w:pPr>
      <w:r>
        <w:t>θεωρεί το πρόσφατα υπογεγραμμένο πρωτόκολλο συνεργασίας με την Ευρωπαϊκή Επιτροπή (27 Οκτωβρίου 2022) ως ανανεωμένη πολιτική δέσμευση για συμβολή στο ευρωπαϊκό πολιτικό θεματολόγιο και στην κύρια αποστολή, τους στόχους</w:t>
      </w:r>
      <w:r w:rsidRPr="002D15C6">
        <w:rPr>
          <w:rStyle w:val="FootnoteReference"/>
          <w:lang w:val="en-GB"/>
        </w:rPr>
        <w:footnoteReference w:id="1"/>
      </w:r>
      <w:r>
        <w:t xml:space="preserve"> και τις επιδιώξεις της Ευρώπης, δηλαδή την επίτευξη μιας Ευρωπαϊκής Ένωσης που θα είναι ανταγωνιστική, οικονομικά ευημερούσα, χωρίς κοινωνικούς αποκλεισμούς και περιβαλλοντικά βιώσιμη, διασφαλίζοντας παράλληλα ότι η μετάβαση στην κλιματική ουδετερότητα, την </w:t>
      </w:r>
      <w:proofErr w:type="spellStart"/>
      <w:r>
        <w:t>ψηφιοποίηση</w:t>
      </w:r>
      <w:proofErr w:type="spellEnd"/>
      <w:r>
        <w:t xml:space="preserve"> και τη δημογραφική αλλαγή είναι κοινωνικά δίκαιη και ισότιμη, και καθιστώντας την Ευρωπαϊκή Πράσινη Συμφωνία και την ψηφιακή δεκαετία του 2030 επιτυχημένες για όλους τους Ευρωπαίους. Η Ευρωπαϊκή Ένωση πρέπει επίσης να καθοδηγείται από τον Ευρωπαϊκό πυλώνα κοινωνικών δικαιωμάτων και ένα θεματολόγιο ανταγωνιστικότητας, τους πολιτικούς χάρτες χάρτη πορείας που διασφαλίζουν ότι κανείς δεν μένει στο περιθώριο·</w:t>
      </w:r>
    </w:p>
    <w:p w:rsidRPr="002D15C6" w:rsidR="009D6C65" w:rsidP="009D6C65" w:rsidRDefault="009D6C65" w14:paraId="22C05BFC" w14:textId="77777777">
      <w:pPr>
        <w:rPr>
          <w:lang w:val="en-GB"/>
        </w:rPr>
      </w:pPr>
    </w:p>
    <w:p w:rsidRPr="002D15C6" w:rsidR="009D6C65" w:rsidP="009D6C65" w:rsidRDefault="009D6C65" w14:paraId="4895AAAA" w14:textId="77777777">
      <w:pPr>
        <w:pStyle w:val="ListParagraph"/>
        <w:numPr>
          <w:ilvl w:val="0"/>
          <w:numId w:val="4"/>
        </w:numPr>
        <w:ind w:left="567" w:hanging="567"/>
      </w:pPr>
      <w:r>
        <w:t>δηλώνει έτοιμη –και, τώρα περισσότερο από ποτέ, έχει τη νομιμοποίηση– να λειτουργήσει ως βασικός κόμβος για τη συμμετοχή των πολιτών και της οργανωμένης κοινωνίας των πολιτών, συμπεριλαμβανομένων των μελλοντικών ομάδων πολιτών. Ο ρόλος ενός τέτοιου κόμβου θα ήταν να πολλαπλασιάζει το αποτέλεσμα των εν εξελίξει διαβουλεύσεων με τους πολίτες που διοργανώνονται από την Ευρωπαϊκή Επιτροπή και άλλα θεσμικά όργανα, καθώς και να συλλέγει συστηματικά ανατροφοδότηση από την ευρωπαϊκή οργανωμένη κοινωνία των πολιτών σχετικά με όλες τις βασικές προτεραιότητες και πολιτικές του ευρωπαϊκού πολιτικού θεματολογίου. Αυτό θα συμβάλει στην ενίσχυση της εμπιστοσύνης του κοινού στο εγχείρημα και τα θεσμικά όργανα της ΕΕ, δίνοντας στους πολίτες αποτελεσματικό ρόλο στη διαδικασία λήψης δημόσιων αποφάσεων. Η ΕΟΚΕ θα αποτελέσει φορέα καθοδήγησης, εποπτείας, σχεδιασμού, οργάνωσης, διαχείρισης και διευκόλυνσης των διαδικασιών διαβούλευσης με τη βοήθεια εξωτερικών εμπειρογνωμόνων και εκπροσώπων των οργανώσεων της κοινωνίας των πολιτών. Η προσφορά αυτή βασίζεται, ειδικότερα, στην τελική έκθεση της Διάσκεψης για το Μέλλον της Ευρώπης, της 9 Μαΐου 2022, στην οποία ζητείται ρητά «η ενίσχυση του θεσμικού ρόλου της ΕΟΚΕ, ώστε να ενισχυθεί ως διαμεσολαβητής και εγγυητής των δραστηριοτήτων συμμετοχικής δημοκρατίας, όπως ο διαρθρωμένος διάλογος με τις οργανώσεις της κοινωνίας των πολιτών και τις ομάδες πολιτών». Στο πλαίσιο αυτό, οι συστάσεις των γνωμοδοτήσεων πρωτοβουλίας της ΕΟΚΕ και των διερευνητικών γνωμοδοτήσεων που ζητεί η Επιτροπή θα πρέπει να επανεξετάζονται μέσω αξιολογήσεων των πολιτικών της ΕΕ, κατά περίπτωση·</w:t>
      </w:r>
    </w:p>
    <w:p w:rsidRPr="002D15C6" w:rsidR="009D6C65" w:rsidP="009D6C65" w:rsidRDefault="009D6C65" w14:paraId="30C1069D" w14:textId="77777777">
      <w:pPr>
        <w:ind w:left="437" w:hanging="437"/>
        <w:rPr>
          <w:lang w:val="en-GB"/>
        </w:rPr>
      </w:pPr>
    </w:p>
    <w:p w:rsidRPr="002D15C6" w:rsidR="009D6C65" w:rsidP="009D6C65" w:rsidRDefault="009D6C65" w14:paraId="78277A1E" w14:textId="77777777">
      <w:pPr>
        <w:pStyle w:val="ListParagraph"/>
        <w:numPr>
          <w:ilvl w:val="0"/>
          <w:numId w:val="4"/>
        </w:numPr>
        <w:ind w:left="567" w:hanging="567"/>
      </w:pPr>
      <w:r>
        <w:t xml:space="preserve">είναι της άποψης ότι οι ομάδες πολιτών και οι διαβουλεύσεις με τις ΟΚΠ θα μπορούσαν να επικεντρωθούν στον καθορισμό του θεματολογίου, όπως π.χ. η προετοιμασία του προγράμματος εργασίας της Επιτροπής, ή να συνδεθούν με τον κύκλο ζωής των βασικών νομοθετικών προτεραιοτήτων. Η συμβολή των πολιτών θα μπορούσε να είναι χρησιμότερη κατά την </w:t>
      </w:r>
      <w:proofErr w:type="spellStart"/>
      <w:r>
        <w:t>προνομοθετική</w:t>
      </w:r>
      <w:proofErr w:type="spellEnd"/>
      <w:r>
        <w:t xml:space="preserve"> φάση, ώστε να πραγματοποιούν διαβουλεύσεις και να διατυπώνουν συστάσεις πριν από ορισμένες βασικές (νομοθετικές) προτάσεις. Για τον σκοπό αυτό, οι διαβουλεύσεις με τις ομάδες πολιτών και τις ΟΚΠ θα μπορούσαν να διεξάγονται βάσει ετήσιου χάρτη πορείας και χρονοδιαγράμματος, που θα καταρτίζονται από την ΕΟΚΕ σε συνεργασία με τα ευρωπαϊκά θεσμικά όργανα. Αυτό θα μπορούσε να περιλαμβάνει συγκεκριμένα αιτήματα της Ευρωπαϊκής Επιτροπής, του Ευρωπαϊκού Κοινοβουλίου ή του Συμβουλίου της Ευρωπαϊκής Ένωσης, της ίδιας της ΕΟΚΕ με δική της πρωτοβουλία ή με πρωτοβουλία του οργάνου-εταίρου της, της Ευρωπαϊκής Επιτροπής των Περιφερειών·</w:t>
      </w:r>
    </w:p>
    <w:p w:rsidRPr="002D15C6" w:rsidR="009D6C65" w:rsidP="009D6C65" w:rsidRDefault="009D6C65" w14:paraId="1D84BCDF" w14:textId="77777777">
      <w:pPr>
        <w:ind w:left="437" w:hanging="437"/>
        <w:rPr>
          <w:lang w:val="en-GB"/>
        </w:rPr>
      </w:pPr>
    </w:p>
    <w:p w:rsidRPr="002D15C6" w:rsidR="009D6C65" w:rsidP="009D6C65" w:rsidRDefault="009D6C65" w14:paraId="084E871D" w14:textId="77777777">
      <w:pPr>
        <w:pStyle w:val="ListParagraph"/>
        <w:numPr>
          <w:ilvl w:val="0"/>
          <w:numId w:val="4"/>
        </w:numPr>
        <w:ind w:left="567" w:hanging="567"/>
      </w:pPr>
      <w:r>
        <w:t>επαναλαμβάνει ότι ο κύκλος δραστηριοτήτων θα μπορούσε να ξεκινά με την ομιλία για την κατάσταση της Ένωσης και τη δήλωση προθέσεων, ενόψει του ετήσιου προγράμματος εργασίας της Ευρωπαϊκής Επιτροπής για το επόμενο έτος. Οι διαβουλεύσεις θα πραγματοποιούνταν κατά το πρώτο εξάμηνο του επόμενου έτους·</w:t>
      </w:r>
    </w:p>
    <w:p w:rsidRPr="002D15C6" w:rsidR="009D6C65" w:rsidP="009D6C65" w:rsidRDefault="009D6C65" w14:paraId="47A21DAE" w14:textId="77777777">
      <w:pPr>
        <w:ind w:left="437" w:hanging="437"/>
        <w:rPr>
          <w:lang w:val="en-GB"/>
        </w:rPr>
      </w:pPr>
    </w:p>
    <w:p w:rsidRPr="002D15C6" w:rsidR="009D6C65" w:rsidP="009D6C65" w:rsidRDefault="009D6C65" w14:paraId="31597441" w14:textId="77777777">
      <w:pPr>
        <w:pStyle w:val="ListParagraph"/>
        <w:numPr>
          <w:ilvl w:val="0"/>
          <w:numId w:val="4"/>
        </w:numPr>
        <w:ind w:left="567" w:hanging="567"/>
      </w:pPr>
      <w:r>
        <w:t xml:space="preserve">συμπληρωματικά προς τα εργαλεία για την ενίσχυση του κράτους δικαίου, θα συνεχίσει να προτείνει στα άλλα θεσμικά όργανα της ΕΕ τη δημιουργία ετήσιου φόρουμ της EE για τα θεμελιώδη δικαιώματα, τα ανθρώπινα δικαιώματα και το κράτος δικαίου. Το φόρουμ αυτό θα βελτιώσει την παρακολούθηση, επιτρέποντας στους φορείς λήψης αποφάσεων της ΕΕ να λαμβάνουν έγκαιρη προειδοποίηση από την οργανωμένη κοινωνία των πολιτών και τις οργανώσεις βάσης όλων των κρατών μελών της ΕΕ, σχετικά με την πλήρη και διαφανή εφαρμογή του άρθρου 2 της ΣΕΕ. Επιπλέον, η ΕΟΚΕ καλεί την Ευρωπαϊκή Επιτροπή να συμπεριλάβει ένα κεφάλαιο για την κοινωνία των πολιτών στην επικείμενη αναθεώρηση του σχεδίου δράσης για την ευρωπαϊκή δημοκρατία. Η ΕΟΚΕ θα διαδραματίσει επίσης σημαντικό ρόλο στην παρακολούθηση των ενταξιακών διαδικασιών των υποψήφιων χωρών και θα διευκολύνει μια ουσιαστική συζήτηση με τα ενδιαφερόμενα μέρη προκειμένου να διασφαλιστεί ο σεβασμός των ευρωπαϊκών αξιών, συμπεριλαμβανομένων εκείνων που επηρεάζουν τις εθνικές και </w:t>
      </w:r>
      <w:proofErr w:type="spellStart"/>
      <w:r>
        <w:t>εθνοτικές</w:t>
      </w:r>
      <w:proofErr w:type="spellEnd"/>
      <w:r>
        <w:t xml:space="preserve"> μειονότητες·</w:t>
      </w:r>
    </w:p>
    <w:p w:rsidRPr="002D15C6" w:rsidR="009D6C65" w:rsidP="009D6C65" w:rsidRDefault="009D6C65" w14:paraId="4FCDA57F" w14:textId="77777777">
      <w:pPr>
        <w:ind w:left="437" w:hanging="437"/>
        <w:rPr>
          <w:lang w:val="en-GB"/>
        </w:rPr>
      </w:pPr>
    </w:p>
    <w:p w:rsidRPr="002D15C6" w:rsidR="009D6C65" w:rsidP="009D6C65" w:rsidRDefault="009D6C65" w14:paraId="1F52E8B5" w14:textId="77777777">
      <w:pPr>
        <w:pStyle w:val="ListParagraph"/>
        <w:numPr>
          <w:ilvl w:val="0"/>
          <w:numId w:val="4"/>
        </w:numPr>
        <w:ind w:left="567" w:hanging="567"/>
      </w:pPr>
      <w:r>
        <w:t>θα εγκαινιάσει Ευρωπαϊκή Εβδομάδα της Κοινωνίας των Πολιτών, για να ενισχύσει τον ρόλο της ως Οίκου της Ευρωπαϊκής Κοινωνίας των Πολιτών και να διευρύνει την εμβέλεια των εμβληματικών πρωτοβουλιών της, όπως οι Ημέρες της Κοινωνίας των Πολιτών, η Ημέρα ΕΠΠ, η YEYS και το Βραβείο της Κοινωνίας των Πολιτών. Η πρωτοβουλία αυτή θα φέρει σε επαφή βασικούς παράγοντες των ευρωπαϊκών και εθνικών οργανώσεων της κοινωνίας των πολιτών και θα αποτελέσει βήμα διαλόγου για θέματα που ενδιαφέρουν τους φορείς της κοινωνίας των πολιτών σε ευρωπαϊκό επίπεδο. Η ΕΟΚΕ θα επιδιώξει να ενισχύσει τη δράση σε επίπεδο βάσης, προκειμένου να προσεγγίσει όσο το δυνατόν περισσότερο όσους έχουν περιορισμένες ευκαιρίες συμμετοχής σε συζητήσεις για ευρωπαϊκά θέματα και να διασφαλίσει ότι η φωνή τους λαμβάνεται υπόψη στις διαδικασίες λήψης αποφάσεων.</w:t>
      </w:r>
    </w:p>
    <w:p w:rsidRPr="002D15C6" w:rsidR="009D6C65" w:rsidP="009D6C65" w:rsidRDefault="009D6C65" w14:paraId="4AB62CFD" w14:textId="77777777">
      <w:pPr>
        <w:jc w:val="left"/>
        <w:rPr>
          <w:b/>
          <w:bCs/>
          <w:lang w:val="en-GB"/>
        </w:rPr>
      </w:pPr>
    </w:p>
    <w:p w:rsidRPr="002D15C6" w:rsidR="009D6C65" w:rsidP="009D6C65" w:rsidRDefault="009D6C65" w14:paraId="49E8B974" w14:textId="77777777">
      <w:pPr>
        <w:keepNext/>
        <w:keepLines/>
      </w:pPr>
      <w:r>
        <w:t>Βρυξέλλες, 23 Μαρτίου 2023</w:t>
      </w:r>
    </w:p>
    <w:p w:rsidRPr="002D15C6" w:rsidR="009D6C65" w:rsidP="009D6C65" w:rsidRDefault="009D6C65" w14:paraId="001F854A" w14:textId="77777777">
      <w:pPr>
        <w:keepNext/>
        <w:keepLines/>
        <w:rPr>
          <w:lang w:val="en-GB"/>
        </w:rPr>
      </w:pPr>
    </w:p>
    <w:p w:rsidRPr="002D15C6" w:rsidR="009D6C65" w:rsidP="009D6C65" w:rsidRDefault="009D6C65" w14:paraId="54491BCF" w14:textId="77777777">
      <w:pPr>
        <w:rPr>
          <w:lang w:val="en-GB"/>
        </w:rPr>
      </w:pPr>
    </w:p>
    <w:p w:rsidRPr="002D15C6" w:rsidR="00840EED" w:rsidP="00840EED" w:rsidRDefault="00840EED" w14:paraId="59F48908" w14:textId="69F87267">
      <w:pPr>
        <w:rPr>
          <w:lang w:val="en-GB"/>
        </w:rPr>
      </w:pPr>
    </w:p>
    <w:p w:rsidRPr="002D15C6" w:rsidR="00840EED" w:rsidP="00840EED" w:rsidRDefault="00840EED" w14:paraId="45D596F6" w14:textId="6D7BCAEB">
      <w:proofErr w:type="spellStart"/>
      <w:r>
        <w:t>Christa</w:t>
      </w:r>
      <w:proofErr w:type="spellEnd"/>
      <w:r>
        <w:t xml:space="preserve"> </w:t>
      </w:r>
      <w:proofErr w:type="spellStart"/>
      <w:r>
        <w:t>Schweng</w:t>
      </w:r>
      <w:proofErr w:type="spellEnd"/>
    </w:p>
    <w:p w:rsidRPr="002D15C6" w:rsidR="00840EED" w:rsidP="00840EED" w:rsidRDefault="00840EED" w14:paraId="1539DD83" w14:textId="7B49BCC5">
      <w:r>
        <w:rPr>
          <w:color w:val="000000" w:themeColor="text1"/>
        </w:rPr>
        <w:t>Πρόεδρος της Ευρωπαϊκής Οικονομικής και Κοινωνικής Επιτροπής</w:t>
      </w:r>
    </w:p>
    <w:p w:rsidRPr="002D15C6" w:rsidR="00840EED" w:rsidP="009D6C65" w:rsidRDefault="00840EED" w14:paraId="38F9F40D" w14:textId="77777777">
      <w:pPr>
        <w:rPr>
          <w:lang w:val="en-GB"/>
        </w:rPr>
      </w:pPr>
    </w:p>
    <w:p w:rsidRPr="002D15C6" w:rsidR="00A740EF" w:rsidP="00E2376B" w:rsidRDefault="00A740EF" w14:paraId="0A73AABA" w14:textId="77777777">
      <w:pPr>
        <w:rPr>
          <w:lang w:val="en-GB"/>
        </w:rPr>
      </w:pPr>
    </w:p>
    <w:p w:rsidRPr="002D15C6" w:rsidR="00F53370" w:rsidP="00DB7F50" w:rsidRDefault="00E2376B" w14:paraId="6BABC1C7" w14:textId="77777777">
      <w:pPr>
        <w:jc w:val="center"/>
      </w:pPr>
      <w:r>
        <w:t>_____________</w:t>
      </w:r>
    </w:p>
    <w:sectPr w:rsidRPr="002D15C6" w:rsidR="00F53370"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4F653" w14:textId="77777777" w:rsidR="00F474CE" w:rsidRDefault="00F474CE" w:rsidP="00F53370">
      <w:pPr>
        <w:spacing w:line="240" w:lineRule="auto"/>
      </w:pPr>
      <w:r>
        <w:separator/>
      </w:r>
    </w:p>
  </w:endnote>
  <w:endnote w:type="continuationSeparator" w:id="0">
    <w:p w14:paraId="70629836" w14:textId="77777777" w:rsidR="00F474CE" w:rsidRDefault="00F474CE"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D4BD"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217E" w14:textId="4C8FD8B7" w:rsidR="0084105C" w:rsidRPr="003065C9" w:rsidRDefault="002D15C6" w:rsidP="002D15C6">
    <w:pPr>
      <w:pStyle w:val="Footer"/>
      <w:jc w:val="left"/>
    </w:pPr>
    <w:r>
      <w:t xml:space="preserve">EESC-2023-01445-00-00-RES-TRA (EN) </w:t>
    </w:r>
    <w:r>
      <w:fldChar w:fldCharType="begin"/>
    </w:r>
    <w:r>
      <w:instrText xml:space="preserve"> PAGE  \* Arabic  \* MERGEFORMAT </w:instrText>
    </w:r>
    <w:r>
      <w:fldChar w:fldCharType="separate"/>
    </w:r>
    <w:r w:rsidR="0077186E">
      <w:rPr>
        <w:noProof/>
      </w:rPr>
      <w:t>6</w:t>
    </w:r>
    <w:r>
      <w:fldChar w:fldCharType="end"/>
    </w:r>
    <w:r>
      <w:t>/</w:t>
    </w:r>
    <w:r>
      <w:fldChar w:fldCharType="begin"/>
    </w:r>
    <w:r>
      <w:instrText xml:space="preserve"> = </w:instrText>
    </w:r>
    <w:fldSimple w:instr=" NUMPAGES ">
      <w:r w:rsidR="0077186E">
        <w:rPr>
          <w:noProof/>
        </w:rPr>
        <w:instrText>8</w:instrText>
      </w:r>
    </w:fldSimple>
    <w:r>
      <w:instrText xml:space="preserve"> - 2 </w:instrText>
    </w:r>
    <w:r>
      <w:fldChar w:fldCharType="separate"/>
    </w:r>
    <w:r w:rsidR="0077186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9883E" w14:textId="77777777" w:rsidR="00F474CE" w:rsidRDefault="00F474CE" w:rsidP="00F53370">
      <w:pPr>
        <w:spacing w:line="240" w:lineRule="auto"/>
      </w:pPr>
      <w:r>
        <w:separator/>
      </w:r>
    </w:p>
  </w:footnote>
  <w:footnote w:type="continuationSeparator" w:id="0">
    <w:p w14:paraId="52E8E724" w14:textId="77777777" w:rsidR="00F474CE" w:rsidRDefault="00F474CE" w:rsidP="00F53370">
      <w:pPr>
        <w:spacing w:line="240" w:lineRule="auto"/>
      </w:pPr>
      <w:r>
        <w:continuationSeparator/>
      </w:r>
    </w:p>
  </w:footnote>
  <w:footnote w:id="1">
    <w:p w14:paraId="0BC06CC9" w14:textId="77777777" w:rsidR="009D6C65" w:rsidRDefault="009D6C65" w:rsidP="009D6C65">
      <w:pPr>
        <w:pStyle w:val="FootnoteText"/>
      </w:pPr>
      <w:r>
        <w:rPr>
          <w:rStyle w:val="FootnoteReference"/>
        </w:rPr>
        <w:footnoteRef/>
      </w:r>
      <w:r>
        <w:tab/>
        <w:t>Άρθρα 2 και 3 της Συνθήκης για την Ευρωπαϊκή Ένωση.</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4A669" w14:textId="77777777" w:rsidR="00574C9B" w:rsidRDefault="000F4AC1">
    <w:pPr>
      <w:pStyle w:val="Header"/>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5081" w14:textId="77777777" w:rsidR="00574C9B" w:rsidRDefault="00E27707">
    <w:pPr>
      <w:pStyle w:val="Header"/>
    </w:pPr>
    <w:r>
      <w:rPr>
        <w:noProof/>
        <w:lang w:val="en-US"/>
      </w:rPr>
      <w:drawing>
        <wp:anchor distT="0" distB="0" distL="114300" distR="114300" simplePos="0" relativeHeight="251659264" behindDoc="0" locked="0" layoutInCell="1" allowOverlap="1" wp14:anchorId="32A48528" wp14:editId="0399BD77">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0F4AC1">
      <w:pict w14:anchorId="2FA08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837F" w14:textId="77777777" w:rsidR="00574C9B" w:rsidRDefault="000F4AC1">
    <w:pPr>
      <w:pStyle w:val="Header"/>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9C34" w14:textId="77777777" w:rsidR="00574C9B" w:rsidRDefault="000F4AC1">
    <w:pPr>
      <w:pStyle w:val="Header"/>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FC7C" w14:textId="77777777" w:rsidR="00574C9B" w:rsidRDefault="00574C9B">
    <w:pPr>
      <w:pStyle w:val="Header"/>
    </w:pPr>
    <w:r>
      <w:rPr>
        <w:noProof/>
        <w:lang w:val="en-US"/>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7873" w14:textId="77777777" w:rsidR="00574C9B" w:rsidRDefault="000F4AC1">
    <w:pPr>
      <w:pStyle w:val="Header"/>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2120" w14:textId="77777777" w:rsidR="00FA08F8" w:rsidRDefault="000F4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A87897E"/>
    <w:multiLevelType w:val="hybridMultilevel"/>
    <w:tmpl w:val="D1484426"/>
    <w:lvl w:ilvl="0" w:tplc="DC4A9F38">
      <w:start w:val="1"/>
      <w:numFmt w:val="decimal"/>
      <w:lvlText w:val="1%1."/>
      <w:lvlJc w:val="left"/>
      <w:pPr>
        <w:ind w:left="720" w:hanging="360"/>
      </w:pPr>
      <w:rPr>
        <w:rFonts w:hint="default"/>
      </w:rPr>
    </w:lvl>
    <w:lvl w:ilvl="1" w:tplc="FFECCF62">
      <w:start w:val="1"/>
      <w:numFmt w:val="lowerLetter"/>
      <w:lvlText w:val="%2."/>
      <w:lvlJc w:val="left"/>
      <w:pPr>
        <w:ind w:left="1440" w:hanging="360"/>
      </w:pPr>
    </w:lvl>
    <w:lvl w:ilvl="2" w:tplc="5A3637B2">
      <w:start w:val="1"/>
      <w:numFmt w:val="lowerRoman"/>
      <w:lvlText w:val="%3."/>
      <w:lvlJc w:val="right"/>
      <w:pPr>
        <w:ind w:left="2160" w:hanging="180"/>
      </w:pPr>
    </w:lvl>
    <w:lvl w:ilvl="3" w:tplc="FB22E2C4">
      <w:start w:val="1"/>
      <w:numFmt w:val="decimal"/>
      <w:lvlText w:val="%4."/>
      <w:lvlJc w:val="left"/>
      <w:pPr>
        <w:ind w:left="2880" w:hanging="360"/>
      </w:pPr>
    </w:lvl>
    <w:lvl w:ilvl="4" w:tplc="278A61C4">
      <w:start w:val="1"/>
      <w:numFmt w:val="lowerLetter"/>
      <w:lvlText w:val="%5."/>
      <w:lvlJc w:val="left"/>
      <w:pPr>
        <w:ind w:left="3600" w:hanging="360"/>
      </w:pPr>
    </w:lvl>
    <w:lvl w:ilvl="5" w:tplc="07220092">
      <w:start w:val="1"/>
      <w:numFmt w:val="lowerRoman"/>
      <w:lvlText w:val="%6."/>
      <w:lvlJc w:val="right"/>
      <w:pPr>
        <w:ind w:left="4320" w:hanging="180"/>
      </w:pPr>
    </w:lvl>
    <w:lvl w:ilvl="6" w:tplc="4B1E24B8">
      <w:start w:val="1"/>
      <w:numFmt w:val="decimal"/>
      <w:lvlText w:val="%7."/>
      <w:lvlJc w:val="left"/>
      <w:pPr>
        <w:ind w:left="5040" w:hanging="360"/>
      </w:pPr>
    </w:lvl>
    <w:lvl w:ilvl="7" w:tplc="F7680E70">
      <w:start w:val="1"/>
      <w:numFmt w:val="lowerLetter"/>
      <w:lvlText w:val="%8."/>
      <w:lvlJc w:val="left"/>
      <w:pPr>
        <w:ind w:left="5760" w:hanging="360"/>
      </w:pPr>
    </w:lvl>
    <w:lvl w:ilvl="8" w:tplc="2762200E">
      <w:start w:val="1"/>
      <w:numFmt w:val="lowerRoman"/>
      <w:lvlText w:val="%9."/>
      <w:lvlJc w:val="right"/>
      <w:pPr>
        <w:ind w:left="6480" w:hanging="180"/>
      </w:pPr>
    </w:lvl>
  </w:abstractNum>
  <w:abstractNum w:abstractNumId="2" w15:restartNumberingAfterBreak="0">
    <w:nsid w:val="2E0D571D"/>
    <w:multiLevelType w:val="hybridMultilevel"/>
    <w:tmpl w:val="E978219A"/>
    <w:lvl w:ilvl="0" w:tplc="818E871E">
      <w:start w:val="1"/>
      <w:numFmt w:val="decimal"/>
      <w:lvlText w:val="%1."/>
      <w:lvlJc w:val="left"/>
      <w:pPr>
        <w:ind w:left="720" w:hanging="360"/>
      </w:pPr>
      <w:rPr>
        <w:rFonts w:hint="default"/>
        <w:b w:val="0"/>
        <w:bCs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28BBE20"/>
    <w:multiLevelType w:val="hybridMultilevel"/>
    <w:tmpl w:val="380ECDE8"/>
    <w:lvl w:ilvl="0" w:tplc="C114D554">
      <w:start w:val="1"/>
      <w:numFmt w:val="decimal"/>
      <w:lvlText w:val="%1."/>
      <w:lvlJc w:val="left"/>
      <w:pPr>
        <w:ind w:left="720" w:hanging="360"/>
      </w:pPr>
    </w:lvl>
    <w:lvl w:ilvl="1" w:tplc="ABAEDEA4">
      <w:start w:val="1"/>
      <w:numFmt w:val="lowerLetter"/>
      <w:lvlText w:val="%2."/>
      <w:lvlJc w:val="left"/>
      <w:pPr>
        <w:ind w:left="1440" w:hanging="360"/>
      </w:pPr>
    </w:lvl>
    <w:lvl w:ilvl="2" w:tplc="BF8028D0">
      <w:start w:val="1"/>
      <w:numFmt w:val="lowerRoman"/>
      <w:lvlText w:val="%3."/>
      <w:lvlJc w:val="right"/>
      <w:pPr>
        <w:ind w:left="2160" w:hanging="180"/>
      </w:pPr>
    </w:lvl>
    <w:lvl w:ilvl="3" w:tplc="0AD267F6">
      <w:start w:val="1"/>
      <w:numFmt w:val="decimal"/>
      <w:lvlText w:val="%4."/>
      <w:lvlJc w:val="left"/>
      <w:pPr>
        <w:ind w:left="2880" w:hanging="360"/>
      </w:pPr>
    </w:lvl>
    <w:lvl w:ilvl="4" w:tplc="AB3A550A">
      <w:start w:val="1"/>
      <w:numFmt w:val="lowerLetter"/>
      <w:lvlText w:val="%5."/>
      <w:lvlJc w:val="left"/>
      <w:pPr>
        <w:ind w:left="3600" w:hanging="360"/>
      </w:pPr>
    </w:lvl>
    <w:lvl w:ilvl="5" w:tplc="E2685804">
      <w:start w:val="1"/>
      <w:numFmt w:val="lowerRoman"/>
      <w:lvlText w:val="%6."/>
      <w:lvlJc w:val="right"/>
      <w:pPr>
        <w:ind w:left="4320" w:hanging="180"/>
      </w:pPr>
    </w:lvl>
    <w:lvl w:ilvl="6" w:tplc="220EE39E">
      <w:start w:val="1"/>
      <w:numFmt w:val="decimal"/>
      <w:lvlText w:val="%7."/>
      <w:lvlJc w:val="left"/>
      <w:pPr>
        <w:ind w:left="5040" w:hanging="360"/>
      </w:pPr>
    </w:lvl>
    <w:lvl w:ilvl="7" w:tplc="B05089D6">
      <w:start w:val="1"/>
      <w:numFmt w:val="lowerLetter"/>
      <w:lvlText w:val="%8."/>
      <w:lvlJc w:val="left"/>
      <w:pPr>
        <w:ind w:left="5760" w:hanging="360"/>
      </w:pPr>
    </w:lvl>
    <w:lvl w:ilvl="8" w:tplc="7DAE026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13FE7"/>
    <w:rsid w:val="00020389"/>
    <w:rsid w:val="00053D00"/>
    <w:rsid w:val="00081D9B"/>
    <w:rsid w:val="000A0F3B"/>
    <w:rsid w:val="000A64BB"/>
    <w:rsid w:val="000E0ED5"/>
    <w:rsid w:val="001223CA"/>
    <w:rsid w:val="0019231D"/>
    <w:rsid w:val="001B034E"/>
    <w:rsid w:val="001B6E3A"/>
    <w:rsid w:val="001D57E6"/>
    <w:rsid w:val="001D61AC"/>
    <w:rsid w:val="001D7637"/>
    <w:rsid w:val="001E15AA"/>
    <w:rsid w:val="001E3FA1"/>
    <w:rsid w:val="00200E87"/>
    <w:rsid w:val="00214BDC"/>
    <w:rsid w:val="00215E81"/>
    <w:rsid w:val="0024727F"/>
    <w:rsid w:val="002B6A7B"/>
    <w:rsid w:val="002D15C6"/>
    <w:rsid w:val="002D70C0"/>
    <w:rsid w:val="003353D7"/>
    <w:rsid w:val="003659F9"/>
    <w:rsid w:val="003D770E"/>
    <w:rsid w:val="003E2904"/>
    <w:rsid w:val="00574C9B"/>
    <w:rsid w:val="0058411F"/>
    <w:rsid w:val="006125A1"/>
    <w:rsid w:val="00653E7D"/>
    <w:rsid w:val="00662207"/>
    <w:rsid w:val="00667F09"/>
    <w:rsid w:val="006740AA"/>
    <w:rsid w:val="006929CC"/>
    <w:rsid w:val="006B57A6"/>
    <w:rsid w:val="006D53A6"/>
    <w:rsid w:val="006E7586"/>
    <w:rsid w:val="00717291"/>
    <w:rsid w:val="0077186E"/>
    <w:rsid w:val="00782913"/>
    <w:rsid w:val="00787837"/>
    <w:rsid w:val="00787ABB"/>
    <w:rsid w:val="00796869"/>
    <w:rsid w:val="007B6C64"/>
    <w:rsid w:val="00822952"/>
    <w:rsid w:val="00836505"/>
    <w:rsid w:val="00840EED"/>
    <w:rsid w:val="00844B87"/>
    <w:rsid w:val="00890C88"/>
    <w:rsid w:val="0089251B"/>
    <w:rsid w:val="008A6DD4"/>
    <w:rsid w:val="008F74D7"/>
    <w:rsid w:val="00904C42"/>
    <w:rsid w:val="00924C05"/>
    <w:rsid w:val="00937CF2"/>
    <w:rsid w:val="009450BB"/>
    <w:rsid w:val="00976645"/>
    <w:rsid w:val="00976F77"/>
    <w:rsid w:val="0098228C"/>
    <w:rsid w:val="009D6C65"/>
    <w:rsid w:val="009E2100"/>
    <w:rsid w:val="00A36AB0"/>
    <w:rsid w:val="00A415D7"/>
    <w:rsid w:val="00A50499"/>
    <w:rsid w:val="00A740EF"/>
    <w:rsid w:val="00AB37A3"/>
    <w:rsid w:val="00AC5114"/>
    <w:rsid w:val="00B25683"/>
    <w:rsid w:val="00B51901"/>
    <w:rsid w:val="00BD50F6"/>
    <w:rsid w:val="00C073E1"/>
    <w:rsid w:val="00C25647"/>
    <w:rsid w:val="00C3651F"/>
    <w:rsid w:val="00C66AEA"/>
    <w:rsid w:val="00C815C8"/>
    <w:rsid w:val="00C9040A"/>
    <w:rsid w:val="00C91E4D"/>
    <w:rsid w:val="00CB110A"/>
    <w:rsid w:val="00CB7CD0"/>
    <w:rsid w:val="00D039AF"/>
    <w:rsid w:val="00D95232"/>
    <w:rsid w:val="00DB7F50"/>
    <w:rsid w:val="00DE30C7"/>
    <w:rsid w:val="00DF400F"/>
    <w:rsid w:val="00E15BF4"/>
    <w:rsid w:val="00E2376B"/>
    <w:rsid w:val="00E26935"/>
    <w:rsid w:val="00E27707"/>
    <w:rsid w:val="00E52B04"/>
    <w:rsid w:val="00E661B7"/>
    <w:rsid w:val="00F2069F"/>
    <w:rsid w:val="00F3210A"/>
    <w:rsid w:val="00F474CE"/>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uiPriority w:val="99"/>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iPriority w:val="99"/>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link w:val="ListParagraphChar"/>
    <w:uiPriority w:val="34"/>
    <w:qFormat/>
    <w:rsid w:val="003D770E"/>
    <w:pPr>
      <w:ind w:left="720"/>
      <w:contextualSpacing/>
    </w:pPr>
  </w:style>
  <w:style w:type="character" w:customStyle="1" w:styleId="ListParagraphChar">
    <w:name w:val="List Paragraph Char"/>
    <w:link w:val="ListParagraph"/>
    <w:uiPriority w:val="34"/>
    <w:locked/>
    <w:rsid w:val="003D77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customXml" Target="../customXml/item4.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XMKEDVFMMJCW-1587818345-2117</_dlc_DocId>
    <_dlc_DocIdUrl xmlns="56a5413d-c261-4a00-870c-a20d3379ae6d">
      <Url>http://dm2016/eesc/2023/_layouts/15/DocIdRedir.aspx?ID=XMKEDVFMMJCW-1587818345-2117</Url>
      <Description>XMKEDVFMMJCW-1587818345-2117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2023-03-23T12:00:00+00:00</ProductionDate>
    <DocumentNumber xmlns="5e8f28df-38cd-4f6e-b090-faa878e96575">1445</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36</Value>
      <Value>49</Value>
      <Value>46</Value>
      <Value>45</Value>
      <Value>44</Value>
      <Value>43</Value>
      <Value>42</Value>
      <Value>41</Value>
      <Value>40</Value>
      <Value>39</Value>
      <Value>38</Value>
      <Value>37</Value>
      <Value>125</Value>
      <Value>34</Value>
      <Value>33</Value>
      <Value>32</Value>
      <Value>31</Value>
      <Value>30</Value>
      <Value>25</Value>
      <Value>24</Value>
      <Value>21</Value>
      <Value>16</Value>
      <Value>10</Value>
      <Value>9</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3878</FicheNumber>
    <OriginalSender xmlns="56a5413d-c261-4a00-870c-a20d3379ae6d">
      <UserInfo>
        <DisplayName>Vassilaki Zoitsa</DisplayName>
        <AccountId>1624</AccountId>
        <AccountType/>
      </UserInfo>
    </OriginalSender>
    <DocumentPart xmlns="56a5413d-c261-4a00-870c-a20d3379ae6d">0</DocumentPart>
    <AdoptionDate xmlns="56a5413d-c261-4a00-870c-a20d3379ae6d">2023-03-23T12:00:00+00:00</AdoptionDate>
    <RequestingService xmlns="56a5413d-c261-4a00-870c-a20d3379ae6d">Relations avec les conseils économiques et sociaux nationaux et la société civile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05F12C3D-A6CA-4FA8-91C2-E072C14B11E8}"/>
</file>

<file path=customXml/itemProps2.xml><?xml version="1.0" encoding="utf-8"?>
<ds:datastoreItem xmlns:ds="http://schemas.openxmlformats.org/officeDocument/2006/customXml" ds:itemID="{75EAE391-B43F-4F35-AADB-D1CDC83A9502}"/>
</file>

<file path=customXml/itemProps3.xml><?xml version="1.0" encoding="utf-8"?>
<ds:datastoreItem xmlns:ds="http://schemas.openxmlformats.org/officeDocument/2006/customXml" ds:itemID="{6220D494-B496-4BDA-BED8-0EC0B3E1CBD7}"/>
</file>

<file path=customXml/itemProps4.xml><?xml version="1.0" encoding="utf-8"?>
<ds:datastoreItem xmlns:ds="http://schemas.openxmlformats.org/officeDocument/2006/customXml" ds:itemID="{418C97CC-A334-4147-88C7-334B7E691FC0}"/>
</file>

<file path=docProps/app.xml><?xml version="1.0" encoding="utf-8"?>
<Properties xmlns="http://schemas.openxmlformats.org/officeDocument/2006/extended-properties" xmlns:vt="http://schemas.openxmlformats.org/officeDocument/2006/docPropsVTypes">
  <Template>Normal.dotm</Template>
  <TotalTime>5</TotalTime>
  <Pages>8</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Resolution - Ukraine: One year after the Russian invasion  the European civil society perspective</vt:lpstr>
    </vt:vector>
  </TitlesOfParts>
  <Company>CESE-CdR</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ΨΗΦΙΣΜΑ - Ενωμένοι για τη Δημοκρατία</dc:title>
  <dc:subject>RES</dc:subject>
  <dc:creator>Francois Aude</dc:creator>
  <cp:keywords>EESC-2023-01445-00-00-RES-TRA-EN</cp:keywords>
  <dc:description>Rapporteur:  - Original language: EN - Date of document: 23-03-2023 - Date of meeting:  - External documents:  - Administrator: Mme BORG Janine</dc:description>
  <cp:lastModifiedBy>Vassilaki Zoitsa</cp:lastModifiedBy>
  <cp:revision>13</cp:revision>
  <dcterms:created xsi:type="dcterms:W3CDTF">2023-03-23T15:13:00Z</dcterms:created>
  <dcterms:modified xsi:type="dcterms:W3CDTF">2023-03-23T16:09:00Z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23/03/2023, 17/05/2022</vt:lpwstr>
  </property>
  <property fmtid="{D5CDD505-2E9C-101B-9397-08002B2CF9AE}" pid="4" name="Pref_Time">
    <vt:lpwstr>16:13:55, 14:58:36</vt:lpwstr>
  </property>
  <property fmtid="{D5CDD505-2E9C-101B-9397-08002B2CF9AE}" pid="5" name="Pref_User">
    <vt:lpwstr>amett, enied</vt:lpwstr>
  </property>
  <property fmtid="{D5CDD505-2E9C-101B-9397-08002B2CF9AE}" pid="6" name="Pref_FileName">
    <vt:lpwstr>EESC-2023-01445-00-00-RES-TRA-EN-CRR.docx, COR-EESC-2022-02592-00-00-ADMIN-ORI.docx</vt:lpwstr>
  </property>
  <property fmtid="{D5CDD505-2E9C-101B-9397-08002B2CF9AE}" pid="7" name="ContentTypeId">
    <vt:lpwstr>0x010100EA97B91038054C99906057A708A1480A002B0B8D40B797884EA0DC4175FDD89B23</vt:lpwstr>
  </property>
  <property fmtid="{D5CDD505-2E9C-101B-9397-08002B2CF9AE}" pid="8" name="_dlc_DocIdItemGuid">
    <vt:lpwstr>1fd2cbec-5c93-41a3-8803-b4577c071f5e</vt:lpwstr>
  </property>
  <property fmtid="{D5CDD505-2E9C-101B-9397-08002B2CF9AE}" pid="9" name="AvailableTranslations">
    <vt:lpwstr>36;#MT|7df99101-6854-4a26-b53a-b88c0da02c26;#49;#GA|762d2456-c427-4ecb-b312-af3dad8e258c;#42;#FI|87606a43-d45f-42d6-b8c9-e1a3457db5b7;#40;#RO|feb747a2-64cd-4299-af12-4833ddc30497;#21;#SV|c2ed69e7-a339-43d7-8f22-d93680a92aa0;#46;#HR|2f555653-ed1a-4fe6-8362-9082d95989e5;#30;#IT|0774613c-01ed-4e5d-a25d-11d2388de825;#39;#LT|a7ff5ce7-6123-4f68-865a-a57c31810414;#45;#ET|ff6c3f4c-b02c-4c3c-ab07-2c37995a7a0a;#41;#HU|6b229040-c589-4408-b4c1-4285663d20a8;#24;#PL|1e03da61-4678-4e07-b136-b5024ca9197b;#16;#DE|f6b31e5a-26fa-4935-b661-318e46daf27e;#32;#PT|50ccc04a-eadd-42ae-a0cb-acaf45f812ba;#37;#CS|72f9705b-0217-4fd3-bea2-cbc7ed80e26e;#10;#FR|d2afafd3-4c81-4f60-8f52-ee33f2f54ff3;#38;#EL|6d4f4d51-af9b-4650-94b4-4276bee85c91;#31;#NL|55c6556c-b4f4-441d-9acf-c498d4f838bd;#34;#SK|46d9fce0-ef79-4f71-b89b-cd6aa82426b8;#44;#BG|1a1b3951-7821-4e6a-85f5-5673fc08bd2c;#25;#ES|e7a6b05b-ae16-40c8-add9-68b64b03aeba;#33;#LV|46f7e311-5d9f-4663-b433-18aeccb7ace7;#5;#EN|f2175f21-25d7-44a3-96da-d6a61b075e1b;#43;#DA|5d49c027-8956-412b-aa16-e85a0f96ad0e</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1445</vt:i4>
  </property>
  <property fmtid="{D5CDD505-2E9C-101B-9397-08002B2CF9AE}" pid="14" name="DocumentYear">
    <vt:i4>2023</vt:i4>
  </property>
  <property fmtid="{D5CDD505-2E9C-101B-9397-08002B2CF9AE}" pid="15" name="DocumentVersion">
    <vt:i4>0</vt:i4>
  </property>
  <property fmtid="{D5CDD505-2E9C-101B-9397-08002B2CF9AE}" pid="16" name="FicheNumber">
    <vt:i4>3878</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2023-03-23T12:00:00Z</vt:filetime>
  </property>
  <property fmtid="{D5CDD505-2E9C-101B-9397-08002B2CF9AE}" pid="22" name="DocumentType">
    <vt:lpwstr>125;#RES|9e3e62eb-6858-4bc7-8a50-3453e395fd01</vt:lpwstr>
  </property>
  <property fmtid="{D5CDD505-2E9C-101B-9397-08002B2CF9AE}" pid="23" name="RequestingService">
    <vt:lpwstr>Relations avec les conseils économiques et sociaux nationaux et la société civile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9;#Unrestricted|826e22d7-d029-4ec0-a450-0c28ff673572;#7;#Final|ea5e6674-7b27-4bac-b091-73adbb394efe;#125;#RES|9e3e62eb-6858-4bc7-8a50-3453e395fd01;#5;#EN|f2175f21-25d7-44a3-96da-d6a61b075e1b;#3;#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38;#EL|6d4f4d51-af9b-4650-94b4-4276bee85c91</vt:lpwstr>
  </property>
  <property fmtid="{D5CDD505-2E9C-101B-9397-08002B2CF9AE}" pid="37" name="_docset_NoMedatataSyncRequired">
    <vt:lpwstr>False</vt:lpwstr>
  </property>
</Properties>
</file>