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472A1F" w14:paraId="785AE44C" w14:textId="0F407F6D">
      <w:pPr>
        <w:jc w:val="center"/>
      </w:pPr>
      <w:r>
        <w:rPr>
          <w:noProof/>
        </w:rPr>
        <w:drawing>
          <wp:inline distT="0" distB="0" distL="0" distR="0" wp14:anchorId="7B995919" wp14:editId="57C081CD">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Picture 2" title="EESC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386525EE"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26054" w:rsidP="004D7AC0" w:rsidRDefault="00726054"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26054" w:rsidP="004D7AC0" w:rsidRDefault="00726054"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09CEE8DE">
      <w:pPr>
        <w:jc w:val="right"/>
      </w:pPr>
      <w:r>
        <w:t>Bruxelles, 14 aprilie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Ind w:w="-426" w:type="dxa"/>
        <w:tblLook w:val="04A0" w:firstRow="1" w:lastRow="0" w:firstColumn="1" w:lastColumn="0" w:noHBand="0" w:noVBand="1"/>
      </w:tblPr>
      <w:tblGrid>
        <w:gridCol w:w="9499"/>
      </w:tblGrid>
      <w:tr w:rsidRPr="009B70E7" w:rsidR="004D7AC0" w:rsidTr="005F32EA" w14:paraId="6D7B3453" w14:textId="77777777">
        <w:tc>
          <w:tcPr>
            <w:tcW w:w="9499" w:type="dxa"/>
            <w:tcBorders>
              <w:bottom w:val="double" w:color="auto" w:sz="4" w:space="0"/>
            </w:tcBorders>
          </w:tcPr>
          <w:p w:rsidR="001760E9" w:rsidRDefault="00DA2D88" w14:paraId="3B286D4E" w14:textId="400974F8">
            <w:pPr>
              <w:snapToGrid w:val="0"/>
              <w:jc w:val="center"/>
              <w:rPr>
                <w:b/>
                <w:sz w:val="32"/>
              </w:rPr>
            </w:pPr>
            <w:r>
              <w:rPr>
                <w:b/>
                <w:sz w:val="32"/>
              </w:rPr>
              <w:t>A 577-A SESIUNE PLENARĂ</w:t>
            </w:r>
          </w:p>
          <w:p w:rsidR="001760E9" w:rsidRDefault="001760E9" w14:paraId="6C87A626" w14:textId="0AE2882C">
            <w:pPr>
              <w:snapToGrid w:val="0"/>
              <w:jc w:val="center"/>
              <w:rPr>
                <w:b/>
                <w:sz w:val="32"/>
              </w:rPr>
            </w:pPr>
          </w:p>
          <w:p w:rsidR="001760E9" w:rsidRDefault="00DF3AB4" w14:paraId="6CF7229C" w14:textId="5718C72F">
            <w:pPr>
              <w:snapToGrid w:val="0"/>
              <w:jc w:val="center"/>
              <w:rPr>
                <w:b/>
                <w:sz w:val="32"/>
              </w:rPr>
            </w:pPr>
            <w:r>
              <w:rPr>
                <w:b/>
                <w:sz w:val="32"/>
              </w:rPr>
              <w:t>22 și 23 martie 2023</w:t>
            </w:r>
          </w:p>
          <w:p w:rsidR="001760E9" w:rsidRDefault="001760E9" w14:paraId="0C44BD01" w14:textId="2F8EBB07">
            <w:pPr>
              <w:snapToGrid w:val="0"/>
              <w:jc w:val="center"/>
              <w:rPr>
                <w:b/>
                <w:sz w:val="32"/>
              </w:rPr>
            </w:pPr>
          </w:p>
          <w:p w:rsidRPr="009B70E7" w:rsidR="004D7AC0" w:rsidRDefault="00CF2F88" w14:paraId="114106CC" w14:textId="0D6B3DCC">
            <w:pPr>
              <w:snapToGrid w:val="0"/>
              <w:jc w:val="center"/>
              <w:rPr>
                <w:rFonts w:eastAsia="MS Mincho"/>
                <w:b/>
                <w:sz w:val="32"/>
                <w:szCs w:val="32"/>
              </w:rPr>
            </w:pPr>
            <w:r>
              <w:rPr>
                <w:b/>
                <w:sz w:val="32"/>
              </w:rPr>
              <w:t xml:space="preserve">REZUMATUL AVIZELOR, REZOLUȚIILOR </w:t>
            </w:r>
            <w:r w:rsidR="00625986">
              <w:rPr>
                <w:b/>
                <w:sz w:val="32"/>
              </w:rPr>
              <w:br/>
            </w:r>
            <w:r>
              <w:rPr>
                <w:b/>
                <w:sz w:val="32"/>
              </w:rPr>
              <w:t>ȘI RAPOARTELOR DE INFORMARE/EVALUARE ADOPTATE</w:t>
            </w:r>
          </w:p>
          <w:p w:rsidRPr="009B70E7" w:rsidR="004D7AC0" w:rsidRDefault="004D7AC0" w14:paraId="06AE72EA" w14:textId="77777777">
            <w:pPr>
              <w:snapToGrid w:val="0"/>
            </w:pPr>
          </w:p>
        </w:tc>
      </w:tr>
      <w:tr w:rsidRPr="009B70E7" w:rsidR="004D7AC0" w:rsidTr="005F32EA" w14:paraId="45EAB22F" w14:textId="77777777">
        <w:tc>
          <w:tcPr>
            <w:tcW w:w="949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Prezentul document este disponibil în limbile oficiale ale UE pe site-ul internet al CESE, la adresa:</w:t>
            </w:r>
            <w:r>
              <w:br/>
            </w:r>
            <w:r>
              <w:br/>
            </w:r>
            <w:hyperlink w:history="1" r:id="rId12">
              <w:r>
                <w:rPr>
                  <w:rStyle w:val="Hyperlink"/>
                  <w:highlight w:val="yellow"/>
                </w:rPr>
                <w:t>https://www.</w:t>
              </w:r>
              <w:r>
                <w:rPr>
                  <w:rStyle w:val="Hyperlink"/>
                  <w:highlight w:val="yellow"/>
                </w:rPr>
                <w:t>e</w:t>
              </w:r>
              <w:r>
                <w:rPr>
                  <w:rStyle w:val="Hyperlink"/>
                  <w:highlight w:val="yellow"/>
                </w:rPr>
                <w:t>esc.europa.eu/ro/our-work/opinions-information-reports/plenary-session-summaries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Avizele menționate pot fi consultate online prin intermediul motorului de căutare al CESE:</w:t>
            </w:r>
            <w:r>
              <w:br/>
            </w:r>
            <w:r>
              <w:br/>
            </w:r>
            <w:hyperlink w:history="1" r:id="rId13">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31647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Cuprins</w:t>
          </w:r>
        </w:p>
        <w:p w:rsidR="006A65FB" w:rsidRDefault="001E6413" w14:paraId="56C0F9D9" w14:textId="00686E29">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31155347">
            <w:r w:rsidRPr="00513912" w:rsidR="006A65FB">
              <w:rPr>
                <w:rStyle w:val="Hyperlink"/>
                <w:noProof/>
                <w14:scene3d>
                  <w14:camera w14:prst="orthographicFront"/>
                  <w14:lightRig w14:rig="threePt" w14:dir="t">
                    <w14:rot w14:lat="0" w14:lon="0" w14:rev="0"/>
                  </w14:lightRig>
                </w14:scene3d>
              </w:rPr>
              <w:t>1.</w:t>
            </w:r>
            <w:r w:rsidR="006A65FB">
              <w:rPr>
                <w:rFonts w:asciiTheme="minorHAnsi" w:hAnsiTheme="minorHAnsi" w:eastAsiaTheme="minorEastAsia" w:cstheme="minorBidi"/>
                <w:noProof/>
                <w:lang w:val="en-US"/>
              </w:rPr>
              <w:tab/>
            </w:r>
            <w:r w:rsidRPr="00513912" w:rsidR="006A65FB">
              <w:rPr>
                <w:rStyle w:val="Hyperlink"/>
                <w:b/>
                <w:noProof/>
              </w:rPr>
              <w:t>REZOLUȚIE</w:t>
            </w:r>
            <w:r w:rsidR="006A65FB">
              <w:rPr>
                <w:noProof/>
                <w:webHidden/>
              </w:rPr>
              <w:tab/>
            </w:r>
            <w:r w:rsidR="006A65FB">
              <w:rPr>
                <w:noProof/>
                <w:webHidden/>
              </w:rPr>
              <w:fldChar w:fldCharType="begin"/>
            </w:r>
            <w:r w:rsidR="006A65FB">
              <w:rPr>
                <w:noProof/>
                <w:webHidden/>
              </w:rPr>
              <w:instrText xml:space="preserve"> PAGEREF _Toc131155347 \h </w:instrText>
            </w:r>
            <w:r w:rsidR="006A65FB">
              <w:rPr>
                <w:noProof/>
                <w:webHidden/>
              </w:rPr>
            </w:r>
            <w:r w:rsidR="006A65FB">
              <w:rPr>
                <w:noProof/>
                <w:webHidden/>
              </w:rPr>
              <w:fldChar w:fldCharType="separate"/>
            </w:r>
            <w:r w:rsidR="006A65FB">
              <w:rPr>
                <w:noProof/>
                <w:webHidden/>
              </w:rPr>
              <w:t>3</w:t>
            </w:r>
            <w:r w:rsidR="006A65FB">
              <w:rPr>
                <w:noProof/>
                <w:webHidden/>
              </w:rPr>
              <w:fldChar w:fldCharType="end"/>
            </w:r>
          </w:hyperlink>
        </w:p>
        <w:p w:rsidR="006A65FB" w:rsidRDefault="006A65FB" w14:paraId="443DDF36" w14:textId="5242FBDB">
          <w:pPr>
            <w:pStyle w:val="TOC1"/>
            <w:rPr>
              <w:rFonts w:asciiTheme="minorHAnsi" w:hAnsiTheme="minorHAnsi" w:eastAsiaTheme="minorEastAsia" w:cstheme="minorBidi"/>
              <w:noProof/>
              <w:lang w:val="en-US"/>
            </w:rPr>
          </w:pPr>
          <w:hyperlink w:history="1" w:anchor="_Toc131155348">
            <w:r w:rsidRPr="00513912">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513912">
              <w:rPr>
                <w:rStyle w:val="Hyperlink"/>
                <w:b/>
                <w:noProof/>
              </w:rPr>
              <w:t>SECȚIUNEA PENTRU UNIUNEA ECONOMICĂ ȘI MONETARĂ ȘI COEZIUNE ECONOMICĂ ȘI SOCIALĂ</w:t>
            </w:r>
            <w:r>
              <w:rPr>
                <w:noProof/>
                <w:webHidden/>
              </w:rPr>
              <w:tab/>
            </w:r>
            <w:r>
              <w:rPr>
                <w:noProof/>
                <w:webHidden/>
              </w:rPr>
              <w:fldChar w:fldCharType="begin"/>
            </w:r>
            <w:r>
              <w:rPr>
                <w:noProof/>
                <w:webHidden/>
              </w:rPr>
              <w:instrText xml:space="preserve"> PAGEREF _Toc131155348 \h </w:instrText>
            </w:r>
            <w:r>
              <w:rPr>
                <w:noProof/>
                <w:webHidden/>
              </w:rPr>
            </w:r>
            <w:r>
              <w:rPr>
                <w:noProof/>
                <w:webHidden/>
              </w:rPr>
              <w:fldChar w:fldCharType="separate"/>
            </w:r>
            <w:r>
              <w:rPr>
                <w:noProof/>
                <w:webHidden/>
              </w:rPr>
              <w:t>4</w:t>
            </w:r>
            <w:r>
              <w:rPr>
                <w:noProof/>
                <w:webHidden/>
              </w:rPr>
              <w:fldChar w:fldCharType="end"/>
            </w:r>
          </w:hyperlink>
        </w:p>
        <w:p w:rsidR="006A65FB" w:rsidRDefault="006A65FB" w14:paraId="14A8EB3E" w14:textId="2AE499E9">
          <w:pPr>
            <w:pStyle w:val="TOC1"/>
            <w:rPr>
              <w:rFonts w:asciiTheme="minorHAnsi" w:hAnsiTheme="minorHAnsi" w:eastAsiaTheme="minorEastAsia" w:cstheme="minorBidi"/>
              <w:noProof/>
              <w:lang w:val="en-US"/>
            </w:rPr>
          </w:pPr>
          <w:hyperlink w:history="1" w:anchor="_Toc131155349">
            <w:r w:rsidRPr="00513912">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513912">
              <w:rPr>
                <w:rStyle w:val="Hyperlink"/>
                <w:b/>
                <w:noProof/>
              </w:rPr>
              <w:t>SECȚIUNEA PENTRU OCUPAREA FORȚEI DE MUNCĂ, AFACERI SOCIALE ȘI CETĂȚENIE</w:t>
            </w:r>
            <w:r>
              <w:rPr>
                <w:noProof/>
                <w:webHidden/>
              </w:rPr>
              <w:tab/>
            </w:r>
            <w:r>
              <w:rPr>
                <w:noProof/>
                <w:webHidden/>
              </w:rPr>
              <w:fldChar w:fldCharType="begin"/>
            </w:r>
            <w:r>
              <w:rPr>
                <w:noProof/>
                <w:webHidden/>
              </w:rPr>
              <w:instrText xml:space="preserve"> PAGEREF _Toc131155349 \h </w:instrText>
            </w:r>
            <w:r>
              <w:rPr>
                <w:noProof/>
                <w:webHidden/>
              </w:rPr>
            </w:r>
            <w:r>
              <w:rPr>
                <w:noProof/>
                <w:webHidden/>
              </w:rPr>
              <w:fldChar w:fldCharType="separate"/>
            </w:r>
            <w:r>
              <w:rPr>
                <w:noProof/>
                <w:webHidden/>
              </w:rPr>
              <w:t>7</w:t>
            </w:r>
            <w:r>
              <w:rPr>
                <w:noProof/>
                <w:webHidden/>
              </w:rPr>
              <w:fldChar w:fldCharType="end"/>
            </w:r>
          </w:hyperlink>
        </w:p>
        <w:p w:rsidR="006A65FB" w:rsidRDefault="006A65FB" w14:paraId="2F556E16" w14:textId="7EB35AAD">
          <w:pPr>
            <w:pStyle w:val="TOC1"/>
            <w:rPr>
              <w:rFonts w:asciiTheme="minorHAnsi" w:hAnsiTheme="minorHAnsi" w:eastAsiaTheme="minorEastAsia" w:cstheme="minorBidi"/>
              <w:noProof/>
              <w:lang w:val="en-US"/>
            </w:rPr>
          </w:pPr>
          <w:hyperlink w:history="1" w:anchor="_Toc131155350">
            <w:r w:rsidRPr="00513912">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513912">
              <w:rPr>
                <w:rStyle w:val="Hyperlink"/>
                <w:b/>
                <w:noProof/>
              </w:rPr>
              <w:t>SECȚIUNEA PENTRU PIAȚA UNICĂ, PRODUCȚIE ȘI CONSUM</w:t>
            </w:r>
            <w:r>
              <w:rPr>
                <w:noProof/>
                <w:webHidden/>
              </w:rPr>
              <w:tab/>
            </w:r>
            <w:r>
              <w:rPr>
                <w:noProof/>
                <w:webHidden/>
              </w:rPr>
              <w:fldChar w:fldCharType="begin"/>
            </w:r>
            <w:r>
              <w:rPr>
                <w:noProof/>
                <w:webHidden/>
              </w:rPr>
              <w:instrText xml:space="preserve"> PAGEREF _Toc131155350 \h </w:instrText>
            </w:r>
            <w:r>
              <w:rPr>
                <w:noProof/>
                <w:webHidden/>
              </w:rPr>
            </w:r>
            <w:r>
              <w:rPr>
                <w:noProof/>
                <w:webHidden/>
              </w:rPr>
              <w:fldChar w:fldCharType="separate"/>
            </w:r>
            <w:r>
              <w:rPr>
                <w:noProof/>
                <w:webHidden/>
              </w:rPr>
              <w:t>12</w:t>
            </w:r>
            <w:r>
              <w:rPr>
                <w:noProof/>
                <w:webHidden/>
              </w:rPr>
              <w:fldChar w:fldCharType="end"/>
            </w:r>
          </w:hyperlink>
        </w:p>
        <w:p w:rsidR="006A65FB" w:rsidRDefault="006A65FB" w14:paraId="7B6CFD2F" w14:textId="1B765C38">
          <w:pPr>
            <w:pStyle w:val="TOC1"/>
            <w:rPr>
              <w:rFonts w:asciiTheme="minorHAnsi" w:hAnsiTheme="minorHAnsi" w:eastAsiaTheme="minorEastAsia" w:cstheme="minorBidi"/>
              <w:noProof/>
              <w:lang w:val="en-US"/>
            </w:rPr>
          </w:pPr>
          <w:hyperlink w:history="1" w:anchor="_Toc131155351">
            <w:r w:rsidRPr="00513912">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513912">
              <w:rPr>
                <w:rStyle w:val="Hyperlink"/>
                <w:b/>
                <w:noProof/>
              </w:rPr>
              <w:t>SECȚIUNEA PENTRU AGRICULTURĂ, DEZVOLTARE RURALĂ ȘI PROTECȚIA MEDIULUI</w:t>
            </w:r>
            <w:r>
              <w:rPr>
                <w:noProof/>
                <w:webHidden/>
              </w:rPr>
              <w:tab/>
            </w:r>
            <w:r>
              <w:rPr>
                <w:noProof/>
                <w:webHidden/>
              </w:rPr>
              <w:fldChar w:fldCharType="begin"/>
            </w:r>
            <w:r>
              <w:rPr>
                <w:noProof/>
                <w:webHidden/>
              </w:rPr>
              <w:instrText xml:space="preserve"> PAGEREF _Toc131155351 \h </w:instrText>
            </w:r>
            <w:r>
              <w:rPr>
                <w:noProof/>
                <w:webHidden/>
              </w:rPr>
            </w:r>
            <w:r>
              <w:rPr>
                <w:noProof/>
                <w:webHidden/>
              </w:rPr>
              <w:fldChar w:fldCharType="separate"/>
            </w:r>
            <w:r>
              <w:rPr>
                <w:noProof/>
                <w:webHidden/>
              </w:rPr>
              <w:t>18</w:t>
            </w:r>
            <w:r>
              <w:rPr>
                <w:noProof/>
                <w:webHidden/>
              </w:rPr>
              <w:fldChar w:fldCharType="end"/>
            </w:r>
          </w:hyperlink>
        </w:p>
        <w:p w:rsidR="006A65FB" w:rsidRDefault="006A65FB" w14:paraId="1F39E0F3" w14:textId="2E4898C0">
          <w:pPr>
            <w:pStyle w:val="TOC1"/>
            <w:rPr>
              <w:rFonts w:asciiTheme="minorHAnsi" w:hAnsiTheme="minorHAnsi" w:eastAsiaTheme="minorEastAsia" w:cstheme="minorBidi"/>
              <w:noProof/>
              <w:lang w:val="en-US"/>
            </w:rPr>
          </w:pPr>
          <w:hyperlink w:history="1" w:anchor="_Toc131155352">
            <w:r w:rsidRPr="00513912">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513912">
              <w:rPr>
                <w:rStyle w:val="Hyperlink"/>
                <w:b/>
                <w:noProof/>
              </w:rPr>
              <w:t>SECȚIUNEA PENTRU RELAȚII EXTERNE</w:t>
            </w:r>
            <w:r>
              <w:rPr>
                <w:noProof/>
                <w:webHidden/>
              </w:rPr>
              <w:tab/>
            </w:r>
            <w:r>
              <w:rPr>
                <w:noProof/>
                <w:webHidden/>
              </w:rPr>
              <w:fldChar w:fldCharType="begin"/>
            </w:r>
            <w:r>
              <w:rPr>
                <w:noProof/>
                <w:webHidden/>
              </w:rPr>
              <w:instrText xml:space="preserve"> PAGEREF _Toc131155352 \h </w:instrText>
            </w:r>
            <w:r>
              <w:rPr>
                <w:noProof/>
                <w:webHidden/>
              </w:rPr>
            </w:r>
            <w:r>
              <w:rPr>
                <w:noProof/>
                <w:webHidden/>
              </w:rPr>
              <w:fldChar w:fldCharType="separate"/>
            </w:r>
            <w:r>
              <w:rPr>
                <w:noProof/>
                <w:webHidden/>
              </w:rPr>
              <w:t>24</w:t>
            </w:r>
            <w:r>
              <w:rPr>
                <w:noProof/>
                <w:webHidden/>
              </w:rPr>
              <w:fldChar w:fldCharType="end"/>
            </w:r>
          </w:hyperlink>
        </w:p>
        <w:p w:rsidR="006A65FB" w:rsidRDefault="006A65FB" w14:paraId="0A777AE9" w14:textId="4F26B082">
          <w:pPr>
            <w:pStyle w:val="TOC1"/>
            <w:rPr>
              <w:rFonts w:asciiTheme="minorHAnsi" w:hAnsiTheme="minorHAnsi" w:eastAsiaTheme="minorEastAsia" w:cstheme="minorBidi"/>
              <w:noProof/>
              <w:lang w:val="en-US"/>
            </w:rPr>
          </w:pPr>
          <w:hyperlink w:history="1" w:anchor="_Toc131155353">
            <w:r w:rsidRPr="00513912">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val="en-US"/>
              </w:rPr>
              <w:tab/>
            </w:r>
            <w:r w:rsidRPr="00513912">
              <w:rPr>
                <w:rStyle w:val="Hyperlink"/>
                <w:b/>
                <w:noProof/>
              </w:rPr>
              <w:t>SECȚIUNEA PENTRU TRANSPORTURI, ENERGIE, INFRASTRUCTURĂ, SOCIETATE INFORMAȚIONALĂ</w:t>
            </w:r>
            <w:r>
              <w:rPr>
                <w:noProof/>
                <w:webHidden/>
              </w:rPr>
              <w:tab/>
            </w:r>
            <w:r>
              <w:rPr>
                <w:noProof/>
                <w:webHidden/>
              </w:rPr>
              <w:fldChar w:fldCharType="begin"/>
            </w:r>
            <w:r>
              <w:rPr>
                <w:noProof/>
                <w:webHidden/>
              </w:rPr>
              <w:instrText xml:space="preserve"> PAGEREF _Toc131155353 \h </w:instrText>
            </w:r>
            <w:r>
              <w:rPr>
                <w:noProof/>
                <w:webHidden/>
              </w:rPr>
            </w:r>
            <w:r>
              <w:rPr>
                <w:noProof/>
                <w:webHidden/>
              </w:rPr>
              <w:fldChar w:fldCharType="separate"/>
            </w:r>
            <w:r>
              <w:rPr>
                <w:noProof/>
                <w:webHidden/>
              </w:rPr>
              <w:t>25</w:t>
            </w:r>
            <w:r>
              <w:rPr>
                <w:noProof/>
                <w:webHidden/>
              </w:rPr>
              <w:fldChar w:fldCharType="end"/>
            </w:r>
          </w:hyperlink>
        </w:p>
        <w:p w:rsidR="001E6413" w:rsidRDefault="001E6413" w14:paraId="684BFB9B" w14:textId="24B2EBB4">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Pr="00F359DE" w:rsidR="00AF10D4" w:rsidP="00AF10D4" w:rsidRDefault="001865D3" w14:paraId="71FFFFE7" w14:textId="1E1A03F9">
      <w:pPr>
        <w:pStyle w:val="Heading1"/>
        <w:rPr>
          <w:b/>
        </w:rPr>
      </w:pPr>
      <w:bookmarkStart w:name="_Toc131155347" w:id="0"/>
      <w:r>
        <w:rPr>
          <w:b/>
        </w:rPr>
        <w:lastRenderedPageBreak/>
        <w:t>REZOLUȚIE</w:t>
      </w:r>
      <w:bookmarkEnd w:id="0"/>
    </w:p>
    <w:p w:rsidRPr="00F359DE" w:rsidR="00AF10D4" w:rsidP="00AF10D4" w:rsidRDefault="00AF10D4" w14:paraId="67172785" w14:textId="77777777"/>
    <w:p w:rsidRPr="00F359DE" w:rsidR="00AF10D4" w:rsidP="00AF10D4" w:rsidRDefault="00F359DE" w14:paraId="4D8765DB" w14:textId="3110EF1A">
      <w:pPr>
        <w:numPr>
          <w:ilvl w:val="0"/>
          <w:numId w:val="5"/>
        </w:numPr>
        <w:overflowPunct w:val="0"/>
        <w:autoSpaceDE w:val="0"/>
        <w:autoSpaceDN w:val="0"/>
        <w:adjustRightInd w:val="0"/>
        <w:ind w:left="567" w:hanging="567"/>
        <w:textAlignment w:val="baseline"/>
        <w:rPr>
          <w:b/>
          <w:bCs/>
          <w:i/>
          <w:iCs/>
          <w:sz w:val="28"/>
          <w:szCs w:val="28"/>
        </w:rPr>
      </w:pPr>
      <w:r>
        <w:rPr>
          <w:b/>
          <w:i/>
          <w:sz w:val="28"/>
        </w:rPr>
        <w:t>Uniți pentru democrație</w:t>
      </w:r>
    </w:p>
    <w:p w:rsidRPr="00AA6795" w:rsidR="00066DC7" w:rsidP="00066DC7" w:rsidRDefault="00066DC7" w14:paraId="1310AFED" w14:textId="77777777">
      <w:pPr>
        <w:overflowPunct w:val="0"/>
        <w:autoSpaceDE w:val="0"/>
        <w:autoSpaceDN w:val="0"/>
        <w:adjustRightInd w:val="0"/>
        <w:textAlignment w:val="baseline"/>
        <w:rPr>
          <w:b/>
          <w:bCs/>
          <w:i/>
          <w:iCs/>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10"/>
        <w:gridCol w:w="5812"/>
      </w:tblGrid>
      <w:tr w:rsidRPr="00AA6795" w:rsidR="00ED20B6" w:rsidTr="006A65FB" w14:paraId="5BF03940" w14:textId="77777777">
        <w:tc>
          <w:tcPr>
            <w:tcW w:w="2410" w:type="dxa"/>
          </w:tcPr>
          <w:p w:rsidRPr="00F359DE" w:rsidR="00ED20B6" w:rsidP="00726054" w:rsidRDefault="00ED20B6" w14:paraId="0FC25C98" w14:textId="39126E48">
            <w:pPr>
              <w:pStyle w:val="ListParagraph"/>
              <w:spacing w:line="240" w:lineRule="auto"/>
              <w:ind w:left="-142" w:firstLine="142"/>
              <w:rPr>
                <w:b/>
              </w:rPr>
            </w:pPr>
            <w:bookmarkStart w:name="_Hlk128565405" w:id="1"/>
            <w:r>
              <w:rPr>
                <w:b/>
              </w:rPr>
              <w:t>Raportori</w:t>
            </w:r>
          </w:p>
          <w:p w:rsidRPr="00F359DE" w:rsidR="00ED20B6" w:rsidP="00896F71" w:rsidRDefault="00ED20B6" w14:paraId="2E66DB4F" w14:textId="5E9E1214">
            <w:pPr>
              <w:pStyle w:val="ListParagraph"/>
              <w:ind w:left="0" w:right="-55"/>
              <w:rPr>
                <w:b/>
              </w:rPr>
            </w:pPr>
          </w:p>
        </w:tc>
        <w:tc>
          <w:tcPr>
            <w:tcW w:w="5812" w:type="dxa"/>
          </w:tcPr>
          <w:p w:rsidRPr="00F359DE" w:rsidR="00896F71" w:rsidP="00896F71" w:rsidRDefault="00896F71" w14:paraId="39FCEC1A" w14:textId="3E3006CE">
            <w:pPr>
              <w:pStyle w:val="ListParagraph"/>
              <w:ind w:left="-60" w:right="-55"/>
            </w:pPr>
            <w:proofErr w:type="spellStart"/>
            <w:r>
              <w:t>Stefano</w:t>
            </w:r>
            <w:proofErr w:type="spellEnd"/>
            <w:r>
              <w:t xml:space="preserve"> MALLIA (Grupul „Angajatori” – MT)</w:t>
            </w:r>
          </w:p>
          <w:p w:rsidRPr="00F359DE" w:rsidR="00896F71" w:rsidP="00896F71" w:rsidRDefault="00896F71" w14:paraId="39E8F5CB" w14:textId="322D4A40">
            <w:pPr>
              <w:pStyle w:val="ListParagraph"/>
              <w:ind w:left="-60" w:right="-55"/>
            </w:pPr>
            <w:r>
              <w:t>Oliver RÖPKE (Grupul „Lucrători” – AT)</w:t>
            </w:r>
          </w:p>
          <w:p w:rsidR="003D4576" w:rsidRDefault="00896F71" w14:paraId="5317DF38" w14:textId="77777777">
            <w:pPr>
              <w:pStyle w:val="ListParagraph"/>
              <w:ind w:left="-60" w:right="-55"/>
            </w:pPr>
            <w:proofErr w:type="spellStart"/>
            <w:r>
              <w:t>Séamus</w:t>
            </w:r>
            <w:proofErr w:type="spellEnd"/>
            <w:r>
              <w:t xml:space="preserve"> BOLAND(Grupul „Organizații ale societății civile” – IE)</w:t>
            </w:r>
          </w:p>
          <w:p w:rsidRPr="00F359DE" w:rsidR="00F359DE" w:rsidRDefault="00F359DE" w14:paraId="3AF81FFE" w14:textId="57B197C2">
            <w:pPr>
              <w:pStyle w:val="ListParagraph"/>
              <w:ind w:left="-60" w:right="-55"/>
            </w:pPr>
          </w:p>
        </w:tc>
      </w:tr>
      <w:bookmarkEnd w:id="1"/>
      <w:tr w:rsidRPr="00AA6795" w:rsidR="003D4576" w:rsidTr="006A65FB" w14:paraId="4A754698" w14:textId="77777777">
        <w:tc>
          <w:tcPr>
            <w:tcW w:w="2410" w:type="dxa"/>
          </w:tcPr>
          <w:p w:rsidRPr="00F359DE" w:rsidR="003D4576" w:rsidP="00726054" w:rsidRDefault="003D4576" w14:paraId="7EBB8EAC" w14:textId="131D8026">
            <w:pPr>
              <w:pStyle w:val="ListParagraph"/>
              <w:spacing w:line="240" w:lineRule="auto"/>
              <w:ind w:left="-142" w:firstLine="142"/>
              <w:rPr>
                <w:b/>
              </w:rPr>
            </w:pPr>
            <w:r>
              <w:rPr>
                <w:b/>
              </w:rPr>
              <w:t xml:space="preserve">Document de referință </w:t>
            </w:r>
          </w:p>
        </w:tc>
        <w:tc>
          <w:tcPr>
            <w:tcW w:w="5812" w:type="dxa"/>
          </w:tcPr>
          <w:p w:rsidRPr="00F359DE" w:rsidR="003D4576" w:rsidRDefault="003D4576" w14:paraId="2637EC69" w14:textId="245D50C5">
            <w:pPr>
              <w:pStyle w:val="ListParagraph"/>
              <w:ind w:left="-61"/>
            </w:pPr>
            <w:r>
              <w:t>EESC-2023-01445-00-00-RES</w:t>
            </w:r>
          </w:p>
        </w:tc>
      </w:tr>
    </w:tbl>
    <w:p w:rsidRPr="00AA6795" w:rsidR="004E0C44" w:rsidP="00ED20B6" w:rsidRDefault="004E0C44" w14:paraId="13EAC25D" w14:textId="77777777">
      <w:pPr>
        <w:pStyle w:val="ListParagraph"/>
        <w:spacing w:line="240" w:lineRule="auto"/>
        <w:ind w:left="0"/>
        <w:rPr>
          <w:b/>
          <w:highlight w:val="yellow"/>
          <w:lang w:val="en-US"/>
        </w:rPr>
      </w:pPr>
    </w:p>
    <w:p w:rsidRPr="00F359DE" w:rsidR="00ED20B6" w:rsidP="00ED20B6" w:rsidRDefault="00ED20B6" w14:paraId="3A21991A" w14:textId="0CB4ECBD">
      <w:pPr>
        <w:pStyle w:val="ListParagraph"/>
        <w:spacing w:line="240" w:lineRule="auto"/>
        <w:ind w:left="0"/>
        <w:rPr>
          <w:b/>
        </w:rPr>
      </w:pPr>
      <w:r>
        <w:rPr>
          <w:b/>
        </w:rPr>
        <w:t>Punctele principale:</w:t>
      </w:r>
    </w:p>
    <w:p w:rsidRPr="00F359DE" w:rsidR="00ED20B6" w:rsidP="00ED20B6" w:rsidRDefault="00ED20B6" w14:paraId="35FB4154" w14:textId="77777777">
      <w:pPr>
        <w:pStyle w:val="ListParagraph"/>
        <w:spacing w:line="240" w:lineRule="auto"/>
        <w:ind w:left="0"/>
        <w:rPr>
          <w:b/>
          <w:lang w:val="en-US"/>
        </w:rPr>
      </w:pPr>
    </w:p>
    <w:p w:rsidRPr="00F359DE" w:rsidR="00ED20B6" w:rsidP="00ED20B6" w:rsidRDefault="00ED20B6" w14:paraId="030606EA" w14:textId="77777777">
      <w:pPr>
        <w:pStyle w:val="ListParagraph"/>
        <w:spacing w:line="240" w:lineRule="auto"/>
        <w:ind w:left="0"/>
        <w:rPr>
          <w:bCs/>
        </w:rPr>
      </w:pPr>
      <w:r>
        <w:t>CESE:</w:t>
      </w:r>
    </w:p>
    <w:p w:rsidRPr="00F359DE" w:rsidR="00ED20B6" w:rsidP="00ED20B6" w:rsidRDefault="00ED20B6" w14:paraId="1943F8DB" w14:textId="77777777">
      <w:pPr>
        <w:pStyle w:val="ListParagraph"/>
        <w:spacing w:line="276" w:lineRule="auto"/>
        <w:ind w:left="0"/>
      </w:pPr>
    </w:p>
    <w:p w:rsidR="00B10582" w:rsidP="00A45B92" w:rsidRDefault="00B10582" w14:paraId="16D7E2F1" w14:textId="77777777">
      <w:pPr>
        <w:pStyle w:val="ListParagraph"/>
        <w:numPr>
          <w:ilvl w:val="0"/>
          <w:numId w:val="3"/>
        </w:numPr>
        <w:spacing w:line="276" w:lineRule="auto"/>
        <w:ind w:left="357" w:hanging="357"/>
      </w:pPr>
      <w:r>
        <w:t>solicită punerea în aplicare efectivă a articolului 11 din TUE, inclusiv a unei strategii europene pentru societatea civilă și a unui statut european al asociațiilor, pentru a permite un spațiu cu adevărat stimulativ și favorabil incluziunii, pentru a reînnoi angajamentul și a pune în aplicare un dialog civil structurat în toate instituțiile UE;</w:t>
      </w:r>
    </w:p>
    <w:p w:rsidRPr="00F359DE" w:rsidR="00ED20B6" w:rsidP="00ED20B6" w:rsidRDefault="00B10582" w14:paraId="5FAEA5BA" w14:textId="3E73A271">
      <w:pPr>
        <w:pStyle w:val="ListParagraph"/>
        <w:numPr>
          <w:ilvl w:val="0"/>
          <w:numId w:val="3"/>
        </w:numPr>
        <w:spacing w:line="276" w:lineRule="auto"/>
        <w:ind w:left="357" w:hanging="357"/>
      </w:pPr>
      <w:r>
        <w:t>subliniază necesitatea de a consolida rolul-cheie al societății civile organizate și al partenerilor sociali în sprijinirea democrației deliberative, completând democrația reprezentativă, pentru a consolida în continuare dialogul civil în toate statele membre și la nivelul UE. Trebuie să căutăm împreună un nou echilibru între democrația reprezentativă, democrația participativă și democrația directă.</w:t>
      </w:r>
    </w:p>
    <w:p w:rsidR="00066DC7" w:rsidP="00ED20B6" w:rsidRDefault="00B10582" w14:paraId="4C27AEF4" w14:textId="5C11B7AC">
      <w:pPr>
        <w:pStyle w:val="ListParagraph"/>
        <w:numPr>
          <w:ilvl w:val="0"/>
          <w:numId w:val="3"/>
        </w:numPr>
        <w:spacing w:line="276" w:lineRule="auto"/>
        <w:ind w:left="357" w:hanging="357"/>
      </w:pPr>
      <w:r>
        <w:t>subliniază că competențele transversale reprezintă adevărata coloană vertebrală a unei democrații participative și deliberative: cooperarea, gândirea critică, soluționarea problemelor, gestionarea democratică și colectivă, soluționarea conflictelor, educația civică și educația în domeniul mass</w:t>
      </w:r>
      <w:r w:rsidR="006A65FB">
        <w:noBreakHyphen/>
      </w:r>
      <w:r>
        <w:t>mediei;</w:t>
      </w:r>
    </w:p>
    <w:p w:rsidR="00B10582" w:rsidP="00ED20B6" w:rsidRDefault="00B10582" w14:paraId="5492D8E2" w14:textId="4BAD3086">
      <w:pPr>
        <w:pStyle w:val="ListParagraph"/>
        <w:numPr>
          <w:ilvl w:val="0"/>
          <w:numId w:val="3"/>
        </w:numPr>
        <w:spacing w:line="276" w:lineRule="auto"/>
        <w:ind w:left="357" w:hanging="357"/>
      </w:pPr>
      <w:r>
        <w:t>își reiterează disponibilitatea de a acționa ca un centru esențial pentru participarea cetățenilor și a societății civile organizate, inclusiv pentru viitoarele grupuri de dezbatere ale cetățenilor, pentru a multiplica efectul consultărilor în curs cu cetățenii organizate de Comisia Europeană și de alte instituții și pentru a colecta sistematic feedback din partea societății civile organizate europene cu privire la toate prioritățile și politicile majore ale agendei politice europene;</w:t>
      </w:r>
    </w:p>
    <w:p w:rsidRPr="00B10582" w:rsidR="00B10582" w:rsidP="00B10582" w:rsidRDefault="00B10582" w14:paraId="76097810" w14:textId="77777777">
      <w:pPr>
        <w:pStyle w:val="ListParagraph"/>
        <w:numPr>
          <w:ilvl w:val="0"/>
          <w:numId w:val="3"/>
        </w:numPr>
        <w:spacing w:line="276" w:lineRule="auto"/>
        <w:ind w:left="357" w:hanging="357"/>
      </w:pPr>
      <w:r>
        <w:t>își reafirmă angajamentul de a contribui la dezvoltarea în continuare a instrumentelor de consolidare a democrației participative și deliberative, cum ar fi inițiativa cetățenească europeană și consultările publice online ale UE;</w:t>
      </w:r>
    </w:p>
    <w:p w:rsidR="00B10582" w:rsidP="00B10582" w:rsidRDefault="00B10582" w14:paraId="45CCCA5E" w14:textId="77777777">
      <w:pPr>
        <w:pStyle w:val="ListParagraph"/>
        <w:numPr>
          <w:ilvl w:val="0"/>
          <w:numId w:val="3"/>
        </w:numPr>
        <w:spacing w:line="276" w:lineRule="auto"/>
        <w:ind w:left="357" w:hanging="357"/>
      </w:pPr>
      <w:r>
        <w:t>subliniază importanța alegerilor europene din 2024 și a rolului esențial al organizațiilor societății civile în încurajarea participării alegătorilor și a sentimentului proeuropean, precum și în combaterea absenteismului și a dezinformării. În acest sens, este la fel de important ca tinerii și organizațiile de tineret să fie implicați în mobilizarea alegătorilor și tinerilor care votează pentru prima dată.</w:t>
      </w:r>
    </w:p>
    <w:p w:rsidRPr="00F359DE"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359DE" w:rsidR="00ED20B6" w:rsidTr="006A65FB" w14:paraId="1AA9E8CA" w14:textId="77777777">
        <w:tc>
          <w:tcPr>
            <w:tcW w:w="1701" w:type="dxa"/>
          </w:tcPr>
          <w:p w:rsidRPr="00B10582" w:rsidR="00ED20B6" w:rsidP="00726054" w:rsidRDefault="00ED20B6" w14:paraId="3D2DFC65" w14:textId="6DC9E9EC">
            <w:pPr>
              <w:pStyle w:val="ListParagraph"/>
              <w:spacing w:line="276" w:lineRule="auto"/>
              <w:ind w:left="0"/>
              <w:rPr>
                <w:i/>
              </w:rPr>
            </w:pPr>
            <w:r>
              <w:rPr>
                <w:b/>
                <w:i/>
              </w:rPr>
              <w:t>Date de contact</w:t>
            </w:r>
          </w:p>
        </w:tc>
        <w:tc>
          <w:tcPr>
            <w:tcW w:w="5387" w:type="dxa"/>
          </w:tcPr>
          <w:p w:rsidRPr="00B10582" w:rsidR="00ED20B6" w:rsidP="00726054" w:rsidRDefault="00B10582" w14:paraId="28388097" w14:textId="6A94BA7A">
            <w:pPr>
              <w:pStyle w:val="ListParagraph"/>
              <w:spacing w:line="276" w:lineRule="auto"/>
              <w:ind w:left="0"/>
              <w:rPr>
                <w:i/>
              </w:rPr>
            </w:pPr>
            <w:proofErr w:type="spellStart"/>
            <w:r>
              <w:rPr>
                <w:i/>
              </w:rPr>
              <w:t>Janine</w:t>
            </w:r>
            <w:proofErr w:type="spellEnd"/>
            <w:r>
              <w:rPr>
                <w:i/>
              </w:rPr>
              <w:t xml:space="preserve"> Borg</w:t>
            </w:r>
          </w:p>
        </w:tc>
      </w:tr>
      <w:tr w:rsidRPr="00F359DE" w:rsidR="00ED20B6" w:rsidTr="006A65FB" w14:paraId="0BD1509F" w14:textId="77777777">
        <w:tc>
          <w:tcPr>
            <w:tcW w:w="1701" w:type="dxa"/>
          </w:tcPr>
          <w:p w:rsidRPr="00B10582" w:rsidR="00ED20B6" w:rsidP="00726054" w:rsidRDefault="00ED20B6" w14:paraId="03544F40" w14:textId="77777777">
            <w:pPr>
              <w:pStyle w:val="ListParagraph"/>
              <w:spacing w:line="276" w:lineRule="auto"/>
              <w:ind w:left="601"/>
              <w:rPr>
                <w:i/>
              </w:rPr>
            </w:pPr>
            <w:r>
              <w:rPr>
                <w:i/>
              </w:rPr>
              <w:t>Tel.:</w:t>
            </w:r>
          </w:p>
        </w:tc>
        <w:tc>
          <w:tcPr>
            <w:tcW w:w="5387" w:type="dxa"/>
          </w:tcPr>
          <w:p w:rsidRPr="00B10582" w:rsidR="00ED20B6" w:rsidP="00726054" w:rsidRDefault="00ED20B6" w14:paraId="5470F0C3" w14:textId="7F0B6928">
            <w:pPr>
              <w:pStyle w:val="ListParagraph"/>
              <w:spacing w:line="276" w:lineRule="auto"/>
              <w:ind w:left="0"/>
              <w:rPr>
                <w:i/>
              </w:rPr>
            </w:pPr>
            <w:r>
              <w:rPr>
                <w:i/>
              </w:rPr>
              <w:t>00 32 2 546 88 79</w:t>
            </w:r>
          </w:p>
        </w:tc>
      </w:tr>
      <w:tr w:rsidRPr="009B70E7" w:rsidR="00ED20B6" w:rsidTr="006A65FB" w14:paraId="4EA8BB4C" w14:textId="77777777">
        <w:tc>
          <w:tcPr>
            <w:tcW w:w="1701" w:type="dxa"/>
          </w:tcPr>
          <w:p w:rsidRPr="00B10582" w:rsidR="00ED20B6" w:rsidP="00726054" w:rsidRDefault="00ED20B6" w14:paraId="780E9DD4" w14:textId="77777777">
            <w:pPr>
              <w:pStyle w:val="ListParagraph"/>
              <w:spacing w:line="276" w:lineRule="auto"/>
              <w:ind w:left="601"/>
              <w:rPr>
                <w:i/>
              </w:rPr>
            </w:pPr>
            <w:r>
              <w:rPr>
                <w:i/>
              </w:rPr>
              <w:t>e-mail:</w:t>
            </w:r>
          </w:p>
        </w:tc>
        <w:tc>
          <w:tcPr>
            <w:tcW w:w="5387" w:type="dxa"/>
          </w:tcPr>
          <w:p w:rsidRPr="00B10582" w:rsidR="00ED20B6" w:rsidP="00726054" w:rsidRDefault="00B10582" w14:paraId="63C9C573" w14:textId="29405092">
            <w:pPr>
              <w:pStyle w:val="ListParagraph"/>
              <w:spacing w:line="276" w:lineRule="auto"/>
              <w:ind w:left="0"/>
              <w:rPr>
                <w:i/>
                <w:iCs/>
              </w:rPr>
            </w:pPr>
            <w:r>
              <w:rPr>
                <w:i/>
                <w:color w:val="0000FF"/>
                <w:u w:val="single"/>
              </w:rPr>
              <w:t>janine.borg@eesc.europa.eu</w:t>
            </w:r>
          </w:p>
        </w:tc>
      </w:tr>
    </w:tbl>
    <w:p w:rsidRPr="00FC2BE8"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D13F40" w:rsidRDefault="004D7AC0" w14:paraId="1E329F25" w14:textId="0F2BD6D1">
      <w:pPr>
        <w:pStyle w:val="Heading1"/>
        <w:rPr>
          <w:b/>
        </w:rPr>
      </w:pPr>
      <w:bookmarkStart w:name="_Toc131155348" w:id="2"/>
      <w:r>
        <w:rPr>
          <w:b/>
        </w:rPr>
        <w:lastRenderedPageBreak/>
        <w:t>SECȚIUNEA PENTRU UNIUNEA ECONOMICĂ ȘI MONETARĂ ȘI COEZIUNE ECONOMICĂ ȘI SOCIALĂ</w:t>
      </w:r>
      <w:bookmarkEnd w:id="2"/>
    </w:p>
    <w:p w:rsidR="00662436" w:rsidP="0018231C" w:rsidRDefault="00662436" w14:paraId="1710091D" w14:textId="77777777">
      <w:pPr>
        <w:spacing w:line="240" w:lineRule="auto"/>
      </w:pPr>
    </w:p>
    <w:p w:rsidRPr="00017B56" w:rsidR="00640656" w:rsidP="001760E9" w:rsidRDefault="00B9707A" w14:paraId="228D42E4" w14:textId="7E17C9F5">
      <w:pPr>
        <w:numPr>
          <w:ilvl w:val="0"/>
          <w:numId w:val="5"/>
        </w:numPr>
        <w:overflowPunct w:val="0"/>
        <w:autoSpaceDE w:val="0"/>
        <w:autoSpaceDN w:val="0"/>
        <w:adjustRightInd w:val="0"/>
        <w:ind w:left="567" w:hanging="567"/>
        <w:textAlignment w:val="baseline"/>
        <w:rPr>
          <w:rStyle w:val="Hyperlink"/>
          <w:color w:val="auto"/>
          <w:spacing w:val="-2"/>
          <w:u w:val="none"/>
        </w:rPr>
      </w:pPr>
      <w:bookmarkStart w:name="_Hlk130215109" w:id="3"/>
      <w:r>
        <w:rPr>
          <w:b/>
          <w:i/>
          <w:sz w:val="28"/>
        </w:rPr>
        <w:t>Revizuirea Regulamentului privind infrastructura pieței europene (EMIR)</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FC2BE8" w14:paraId="17A96696" w14:textId="77777777">
        <w:tc>
          <w:tcPr>
            <w:tcW w:w="2268" w:type="dxa"/>
          </w:tcPr>
          <w:p w:rsidR="00DE65D0" w:rsidP="001760E9" w:rsidRDefault="00640656" w14:paraId="543A1C55" w14:textId="762004CF">
            <w:pPr>
              <w:pStyle w:val="ListParagraph"/>
              <w:spacing w:line="240" w:lineRule="auto"/>
              <w:ind w:left="-142" w:firstLine="142"/>
              <w:rPr>
                <w:b/>
              </w:rPr>
            </w:pPr>
            <w:r>
              <w:rPr>
                <w:b/>
              </w:rPr>
              <w:t>Raportor</w:t>
            </w:r>
          </w:p>
          <w:p w:rsidRPr="009B70E7" w:rsidR="002E62B0" w:rsidP="001760E9" w:rsidRDefault="002E62B0" w14:paraId="204BF0A8" w14:textId="5D609210">
            <w:pPr>
              <w:pStyle w:val="ListParagraph"/>
              <w:spacing w:line="240" w:lineRule="auto"/>
              <w:ind w:left="-142" w:firstLine="142"/>
              <w:rPr>
                <w:b/>
              </w:rPr>
            </w:pPr>
          </w:p>
        </w:tc>
        <w:tc>
          <w:tcPr>
            <w:tcW w:w="5954" w:type="dxa"/>
          </w:tcPr>
          <w:p w:rsidRPr="00627B8F" w:rsidR="004442D3" w:rsidRDefault="00B9707A" w14:paraId="1C5C2FFB" w14:textId="0070A155">
            <w:pPr>
              <w:pStyle w:val="ListParagraph"/>
              <w:ind w:left="-60" w:right="-55"/>
            </w:pPr>
            <w:r>
              <w:t>Florian MARIN (Grupul „Lucrători” - RO)</w:t>
            </w:r>
          </w:p>
        </w:tc>
      </w:tr>
      <w:tr w:rsidRPr="00627B8F" w:rsidR="00640656" w:rsidTr="00FC2BE8" w14:paraId="3D93C3AA" w14:textId="77777777">
        <w:tc>
          <w:tcPr>
            <w:tcW w:w="2268" w:type="dxa"/>
          </w:tcPr>
          <w:p w:rsidRPr="009B70E7" w:rsidR="00640656" w:rsidP="00804736" w:rsidRDefault="00640656" w14:paraId="33436DCF" w14:textId="45655FA0">
            <w:pPr>
              <w:pStyle w:val="ListParagraph"/>
              <w:spacing w:line="240" w:lineRule="auto"/>
              <w:ind w:left="-142" w:firstLine="142"/>
              <w:rPr>
                <w:b/>
              </w:rPr>
            </w:pPr>
            <w:bookmarkStart w:name="_Hlk128728372" w:id="4"/>
            <w:bookmarkStart w:name="_Hlk128728500" w:id="5"/>
            <w:r>
              <w:rPr>
                <w:b/>
              </w:rPr>
              <w:t xml:space="preserve">Referințe </w:t>
            </w:r>
            <w:bookmarkEnd w:id="4"/>
          </w:p>
        </w:tc>
        <w:tc>
          <w:tcPr>
            <w:tcW w:w="5954" w:type="dxa"/>
          </w:tcPr>
          <w:p w:rsidRPr="00627B8F" w:rsidR="00640656" w:rsidP="00B83E7B" w:rsidRDefault="00DF3AB4" w14:paraId="3CD87A23" w14:textId="7AE89E79">
            <w:pPr>
              <w:pStyle w:val="ListParagraph"/>
              <w:ind w:left="-61"/>
              <w:rPr>
                <w:bCs/>
              </w:rPr>
            </w:pPr>
            <w:r>
              <w:t>COM(2022) 696-697 final</w:t>
            </w:r>
          </w:p>
          <w:p w:rsidRPr="00627B8F" w:rsidR="00640656" w:rsidP="00B83E7B" w:rsidRDefault="00640656" w14:paraId="57D265AF" w14:textId="261C0D73">
            <w:pPr>
              <w:pStyle w:val="ListParagraph"/>
              <w:ind w:left="-61"/>
            </w:pPr>
            <w:r>
              <w:t>EESC-2022-05896-00-00-AC</w:t>
            </w:r>
          </w:p>
        </w:tc>
      </w:tr>
      <w:bookmarkEnd w:id="5"/>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Punctele principale:</w:t>
      </w:r>
    </w:p>
    <w:p w:rsidR="002E62B0" w:rsidP="00640656" w:rsidRDefault="002E62B0" w14:paraId="60FC1B05" w14:textId="42A58BCC">
      <w:pPr>
        <w:pStyle w:val="ListParagraph"/>
        <w:spacing w:line="240" w:lineRule="auto"/>
        <w:ind w:left="0"/>
        <w:rPr>
          <w:b/>
          <w:lang w:val="en-US"/>
        </w:rPr>
      </w:pPr>
    </w:p>
    <w:p w:rsidR="002E62B0" w:rsidP="00640656" w:rsidRDefault="002E62B0" w14:paraId="63F0EA0C" w14:textId="46EE7710">
      <w:pPr>
        <w:pStyle w:val="ListParagraph"/>
        <w:spacing w:line="240" w:lineRule="auto"/>
        <w:ind w:left="0"/>
        <w:rPr>
          <w:bCs/>
        </w:rPr>
      </w:pPr>
      <w:r>
        <w:t>CESE:</w:t>
      </w:r>
    </w:p>
    <w:p w:rsidRPr="002E62B0" w:rsidR="00B9707A" w:rsidP="00640656" w:rsidRDefault="00B9707A" w14:paraId="455A6991" w14:textId="77777777">
      <w:pPr>
        <w:pStyle w:val="ListParagraph"/>
        <w:spacing w:line="240" w:lineRule="auto"/>
        <w:ind w:left="0"/>
        <w:rPr>
          <w:bCs/>
          <w:lang w:val="pt-PT"/>
        </w:rPr>
      </w:pPr>
    </w:p>
    <w:p w:rsidRPr="009B70E7" w:rsidR="00640656" w:rsidP="00640656" w:rsidRDefault="00B9707A" w14:paraId="7319D50D" w14:textId="7215BC87">
      <w:pPr>
        <w:pStyle w:val="ListParagraph"/>
        <w:numPr>
          <w:ilvl w:val="0"/>
          <w:numId w:val="3"/>
        </w:numPr>
        <w:spacing w:line="276" w:lineRule="auto"/>
        <w:ind w:left="357" w:hanging="357"/>
      </w:pPr>
      <w:r>
        <w:t>salută propunerea Comisiei și eforturile sale în direcția realizării autonomiei strategice a piețelor de capital, a creșterii capacității interne de compensare și a unui sistem de compensare mai solid;</w:t>
      </w:r>
    </w:p>
    <w:p w:rsidR="00B9707A" w:rsidP="00B9707A" w:rsidRDefault="00B9707A" w14:paraId="5ED7B377" w14:textId="77777777">
      <w:pPr>
        <w:pStyle w:val="ListParagraph"/>
        <w:numPr>
          <w:ilvl w:val="0"/>
          <w:numId w:val="3"/>
        </w:numPr>
        <w:spacing w:line="276" w:lineRule="auto"/>
        <w:ind w:left="357" w:hanging="357"/>
      </w:pPr>
      <w:r>
        <w:t xml:space="preserve">se aștepta la o poziție mai clară în legătură cu reducerea expunerii față de </w:t>
      </w:r>
      <w:proofErr w:type="spellStart"/>
      <w:r>
        <w:t>contrapărțile</w:t>
      </w:r>
      <w:proofErr w:type="spellEnd"/>
      <w:r>
        <w:t xml:space="preserve"> centrale din Regatul Unit (CPC) și la norme și stimulente mai specifice după </w:t>
      </w:r>
      <w:proofErr w:type="spellStart"/>
      <w:r>
        <w:t>Brexit</w:t>
      </w:r>
      <w:proofErr w:type="spellEnd"/>
      <w:r>
        <w:t>;</w:t>
      </w:r>
    </w:p>
    <w:p w:rsidR="00B9707A" w:rsidP="00B9707A" w:rsidRDefault="00B9707A" w14:paraId="7688D1A6" w14:textId="77777777">
      <w:pPr>
        <w:pStyle w:val="ListParagraph"/>
        <w:numPr>
          <w:ilvl w:val="0"/>
          <w:numId w:val="3"/>
        </w:numPr>
        <w:spacing w:line="276" w:lineRule="auto"/>
        <w:ind w:left="357" w:hanging="357"/>
      </w:pPr>
      <w:r>
        <w:t>consideră că este esențial să existe date concrete privind sistemul de compensare din UE, care să acopere toate clasele și volumele de active. Riscurile sociale, de guvernanță și de mediu ale CPC trebuie să fie incluse în modelele de risc și trebuie să aibă același nivel de importanță;</w:t>
      </w:r>
    </w:p>
    <w:p w:rsidR="00B9707A" w:rsidP="00B9707A" w:rsidRDefault="00B9707A" w14:paraId="44DB36D6" w14:textId="5082AB2A">
      <w:pPr>
        <w:pStyle w:val="ListParagraph"/>
        <w:numPr>
          <w:ilvl w:val="0"/>
          <w:numId w:val="3"/>
        </w:numPr>
        <w:spacing w:line="276" w:lineRule="auto"/>
        <w:ind w:left="357" w:hanging="357"/>
      </w:pPr>
      <w:r>
        <w:t>solicită să se facă o evaluare cuprinzătoare a potențialelor costuri suplimentare suportate de Autoritatea Europeană pentru Valori Mobiliare și Piețe și de alte organisme ale UE pentru a-și îndeplini rolul consolidat;</w:t>
      </w:r>
    </w:p>
    <w:p w:rsidR="00B9707A" w:rsidP="00B9707A" w:rsidRDefault="00B9707A" w14:paraId="77A27DEE" w14:textId="77777777">
      <w:pPr>
        <w:pStyle w:val="ListParagraph"/>
        <w:numPr>
          <w:ilvl w:val="0"/>
          <w:numId w:val="3"/>
        </w:numPr>
        <w:spacing w:line="276" w:lineRule="auto"/>
        <w:ind w:left="357" w:hanging="357"/>
      </w:pPr>
      <w:r>
        <w:t>este dezamăgit că Comisia nu a evaluat cadrul de compensare existent. Termenul propus de cinci ani pentru revizuirea noului cadru este prea lung;</w:t>
      </w:r>
    </w:p>
    <w:p w:rsidR="00B9707A" w:rsidP="00B9707A" w:rsidRDefault="00B9707A" w14:paraId="6121AF6C" w14:textId="77777777">
      <w:pPr>
        <w:pStyle w:val="ListParagraph"/>
        <w:numPr>
          <w:ilvl w:val="0"/>
          <w:numId w:val="3"/>
        </w:numPr>
        <w:spacing w:line="276" w:lineRule="auto"/>
        <w:ind w:left="357" w:hanging="357"/>
      </w:pPr>
      <w:r>
        <w:t>sugerează că CPC-urile din UE trebuie să fie transparente cu privire la taxele plătite, apelurile în marjă și acțiunile lor în perioadele de criză a pieței, pentru a îmbunătăți previzibilitatea;</w:t>
      </w:r>
    </w:p>
    <w:p w:rsidR="00B9707A" w:rsidP="00B9707A" w:rsidRDefault="00B9707A" w14:paraId="080780B9" w14:textId="77777777">
      <w:pPr>
        <w:pStyle w:val="ListParagraph"/>
        <w:numPr>
          <w:ilvl w:val="0"/>
          <w:numId w:val="3"/>
        </w:numPr>
        <w:spacing w:line="276" w:lineRule="auto"/>
        <w:ind w:left="357" w:hanging="357"/>
      </w:pPr>
      <w:r>
        <w:t xml:space="preserve">invită Comisia să explice definiția concretă a termenului „de urgență” și invită </w:t>
      </w:r>
      <w:proofErr w:type="spellStart"/>
      <w:r>
        <w:t>colegiuitorii</w:t>
      </w:r>
      <w:proofErr w:type="spellEnd"/>
      <w:r>
        <w:t xml:space="preserve"> să stabilească excepțiile care sunt considerate decizii „urgente”;</w:t>
      </w:r>
    </w:p>
    <w:p w:rsidR="00B9707A" w:rsidP="00B9707A" w:rsidRDefault="00B9707A" w14:paraId="26F89B3B" w14:textId="77777777">
      <w:pPr>
        <w:pStyle w:val="ListParagraph"/>
        <w:numPr>
          <w:ilvl w:val="0"/>
          <w:numId w:val="3"/>
        </w:numPr>
        <w:spacing w:line="276" w:lineRule="auto"/>
        <w:ind w:left="357" w:hanging="357"/>
      </w:pPr>
      <w:r>
        <w:t>propune implicarea societății civile în mecanismul de monitorizare instituit conform articolului 23c și ca CESE să participe la mecanismul comun de monitorizare în calitate de observator;</w:t>
      </w:r>
    </w:p>
    <w:p w:rsidR="00B9707A" w:rsidP="00B9707A" w:rsidRDefault="00B9707A" w14:paraId="48703506" w14:textId="2D97788E">
      <w:pPr>
        <w:pStyle w:val="ListParagraph"/>
        <w:numPr>
          <w:ilvl w:val="0"/>
          <w:numId w:val="3"/>
        </w:numPr>
        <w:spacing w:line="276" w:lineRule="auto"/>
        <w:ind w:left="357" w:hanging="357"/>
      </w:pPr>
      <w:r>
        <w:t>consideră că ar trebui depuse mai multe eforturi să se reducă timpul necesar pentru a autoriza sau extinde activitățile și serviciile și pentru a construi o bază de date centrală. CESE solicită o interoperabilitate sporită și o sarcină administrativă redusă și soluții de acces mai simple.</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40656" w:rsidTr="006A65FB" w14:paraId="437B7156" w14:textId="77777777">
        <w:tc>
          <w:tcPr>
            <w:tcW w:w="1701" w:type="dxa"/>
          </w:tcPr>
          <w:p w:rsidRPr="009B70E7" w:rsidR="00640656" w:rsidP="00B83E7B" w:rsidRDefault="00640656" w14:paraId="026D2B53" w14:textId="5D1262A7">
            <w:pPr>
              <w:pStyle w:val="ListParagraph"/>
              <w:spacing w:line="276" w:lineRule="auto"/>
              <w:ind w:left="0"/>
              <w:rPr>
                <w:i/>
              </w:rPr>
            </w:pPr>
            <w:r>
              <w:rPr>
                <w:b/>
                <w:i/>
              </w:rPr>
              <w:t>Date de contact</w:t>
            </w:r>
          </w:p>
        </w:tc>
        <w:tc>
          <w:tcPr>
            <w:tcW w:w="5387" w:type="dxa"/>
          </w:tcPr>
          <w:p w:rsidRPr="009B70E7" w:rsidR="00640656" w:rsidP="00B83E7B" w:rsidRDefault="00B9707A" w14:paraId="3123BFA2" w14:textId="603BA44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640656" w:rsidTr="006A65FB" w14:paraId="13C450E4" w14:textId="77777777">
        <w:tc>
          <w:tcPr>
            <w:tcW w:w="1701" w:type="dxa"/>
          </w:tcPr>
          <w:p w:rsidRPr="009B70E7" w:rsidR="00640656" w:rsidP="00B83E7B" w:rsidRDefault="00640656" w14:paraId="71B7C5A8" w14:textId="64878A30">
            <w:pPr>
              <w:pStyle w:val="ListParagraph"/>
              <w:spacing w:line="276" w:lineRule="auto"/>
              <w:ind w:left="601"/>
              <w:rPr>
                <w:i/>
              </w:rPr>
            </w:pPr>
            <w:r>
              <w:rPr>
                <w:i/>
              </w:rPr>
              <w:t>Tel.:</w:t>
            </w:r>
          </w:p>
        </w:tc>
        <w:tc>
          <w:tcPr>
            <w:tcW w:w="5387" w:type="dxa"/>
          </w:tcPr>
          <w:p w:rsidRPr="009B70E7" w:rsidR="00640656" w:rsidP="00B83E7B" w:rsidRDefault="00577672" w14:paraId="3226C0EF" w14:textId="30EB820F">
            <w:pPr>
              <w:pStyle w:val="ListParagraph"/>
              <w:spacing w:line="276" w:lineRule="auto"/>
              <w:ind w:left="0"/>
              <w:rPr>
                <w:i/>
              </w:rPr>
            </w:pPr>
            <w:r>
              <w:rPr>
                <w:i/>
              </w:rPr>
              <w:t>00 32 2 546 92 40</w:t>
            </w:r>
          </w:p>
        </w:tc>
      </w:tr>
      <w:tr w:rsidRPr="009B70E7" w:rsidR="00640656" w:rsidTr="006A65FB" w14:paraId="1FEA5B3F" w14:textId="77777777">
        <w:tc>
          <w:tcPr>
            <w:tcW w:w="1701" w:type="dxa"/>
          </w:tcPr>
          <w:p w:rsidRPr="009B70E7" w:rsidR="00640656" w:rsidP="00B83E7B" w:rsidRDefault="00640656" w14:paraId="6D5FF9EA" w14:textId="3ECD4BD9">
            <w:pPr>
              <w:pStyle w:val="ListParagraph"/>
              <w:spacing w:line="276" w:lineRule="auto"/>
              <w:ind w:left="601"/>
              <w:rPr>
                <w:i/>
              </w:rPr>
            </w:pPr>
            <w:r>
              <w:rPr>
                <w:i/>
              </w:rPr>
              <w:t>e-mail:</w:t>
            </w:r>
          </w:p>
        </w:tc>
        <w:tc>
          <w:tcPr>
            <w:tcW w:w="5387" w:type="dxa"/>
          </w:tcPr>
          <w:p w:rsidRPr="00726054" w:rsidR="002859C4" w:rsidP="001760E9" w:rsidRDefault="002859C4" w14:paraId="160383F7" w14:textId="5507B077">
            <w:pPr>
              <w:pStyle w:val="ListParagraph"/>
              <w:spacing w:line="276" w:lineRule="auto"/>
              <w:ind w:left="0"/>
              <w:rPr>
                <w:i/>
                <w:iCs/>
                <w:color w:val="0000FF"/>
                <w:u w:val="single"/>
              </w:rPr>
            </w:pPr>
            <w:r>
              <w:rPr>
                <w:rStyle w:val="Hyperlink"/>
                <w:i/>
              </w:rPr>
              <w:t>Sergio.LorencioMatallana@eesc.europa.eu</w:t>
            </w:r>
          </w:p>
        </w:tc>
      </w:tr>
      <w:bookmarkEnd w:id="3"/>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Pr="00FE234C" w:rsidR="004E0C44" w:rsidRDefault="004E0C44" w14:paraId="5825D2C9" w14:textId="77777777">
      <w:pPr>
        <w:spacing w:after="160" w:line="259" w:lineRule="auto"/>
        <w:jc w:val="left"/>
        <w:rPr>
          <w:sz w:val="16"/>
          <w:szCs w:val="16"/>
        </w:rPr>
      </w:pPr>
    </w:p>
    <w:p w:rsidRPr="009B70E7" w:rsidR="00126D3E" w:rsidP="00126D3E" w:rsidRDefault="002859C4" w14:paraId="673A8128" w14:textId="15752161">
      <w:pPr>
        <w:pStyle w:val="ListParagraph"/>
        <w:keepNext/>
        <w:numPr>
          <w:ilvl w:val="0"/>
          <w:numId w:val="2"/>
        </w:numPr>
        <w:ind w:left="567" w:hanging="567"/>
        <w:rPr>
          <w:b/>
          <w:i/>
          <w:sz w:val="28"/>
          <w:szCs w:val="28"/>
        </w:rPr>
      </w:pPr>
      <w:bookmarkStart w:name="_Hlk130221282" w:id="6"/>
      <w:r>
        <w:rPr>
          <w:b/>
          <w:i/>
          <w:sz w:val="28"/>
        </w:rPr>
        <w:t>Cooperarea administrativă în domeniul fiscal (DAC 8)</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126D3E" w:rsidTr="00726054" w14:paraId="27DC2D26" w14:textId="77777777">
        <w:trPr>
          <w:cantSplit/>
          <w:trHeight w:val="284" w:hRule="exact"/>
        </w:trPr>
        <w:tc>
          <w:tcPr>
            <w:tcW w:w="1701" w:type="dxa"/>
          </w:tcPr>
          <w:p w:rsidR="00126D3E" w:rsidP="00726054" w:rsidRDefault="00126D3E" w14:paraId="3BB3DDBA" w14:textId="2BC6127A">
            <w:pPr>
              <w:pStyle w:val="ListParagraph"/>
              <w:spacing w:line="240" w:lineRule="auto"/>
              <w:ind w:left="-142" w:firstLine="142"/>
              <w:rPr>
                <w:b/>
              </w:rPr>
            </w:pPr>
            <w:r>
              <w:rPr>
                <w:b/>
              </w:rPr>
              <w:t>Raportor</w:t>
            </w:r>
            <w:r w:rsidR="006A65FB">
              <w:rPr>
                <w:b/>
              </w:rPr>
              <w:t>:</w:t>
            </w:r>
          </w:p>
          <w:p w:rsidRPr="009B70E7" w:rsidR="00126D3E" w:rsidP="00726054" w:rsidRDefault="00126D3E" w14:paraId="7E4DEEB3" w14:textId="77777777">
            <w:pPr>
              <w:pStyle w:val="ListParagraph"/>
              <w:keepNext/>
              <w:ind w:left="0"/>
              <w:rPr>
                <w:b/>
              </w:rPr>
            </w:pPr>
          </w:p>
        </w:tc>
        <w:tc>
          <w:tcPr>
            <w:tcW w:w="6096" w:type="dxa"/>
          </w:tcPr>
          <w:p w:rsidRPr="009B70E7" w:rsidR="00126D3E" w:rsidP="00726054" w:rsidRDefault="002859C4" w14:paraId="0ECB49D5" w14:textId="53255CE0">
            <w:pPr>
              <w:pStyle w:val="ListParagraph"/>
              <w:ind w:left="-52"/>
            </w:pPr>
            <w:r>
              <w:t xml:space="preserve">Petru DANDEA (Grupul „Lucrători“ </w:t>
            </w:r>
            <w:r w:rsidR="006A65FB">
              <w:t>–</w:t>
            </w:r>
            <w:r>
              <w:t xml:space="preserve"> RO)</w:t>
            </w:r>
          </w:p>
        </w:tc>
      </w:tr>
      <w:tr w:rsidRPr="009B70E7" w:rsidR="00126D3E" w:rsidTr="00726054" w14:paraId="6443033F" w14:textId="77777777">
        <w:trPr>
          <w:cantSplit/>
          <w:trHeight w:val="567" w:hRule="exact"/>
        </w:trPr>
        <w:tc>
          <w:tcPr>
            <w:tcW w:w="1701" w:type="dxa"/>
          </w:tcPr>
          <w:p w:rsidRPr="009B70E7" w:rsidR="00126D3E" w:rsidP="00FC2BE8" w:rsidRDefault="00126D3E" w14:paraId="19A5AD45" w14:textId="68BF8A97">
            <w:pPr>
              <w:pStyle w:val="ListParagraph"/>
              <w:ind w:left="0"/>
              <w:rPr>
                <w:b/>
              </w:rPr>
            </w:pPr>
            <w:r>
              <w:rPr>
                <w:b/>
              </w:rPr>
              <w:t>Coraportor</w:t>
            </w:r>
            <w:r w:rsidR="006A65FB">
              <w:rPr>
                <w:b/>
              </w:rPr>
              <w:t>:</w:t>
            </w:r>
          </w:p>
        </w:tc>
        <w:tc>
          <w:tcPr>
            <w:tcW w:w="6096" w:type="dxa"/>
          </w:tcPr>
          <w:p w:rsidRPr="009B70E7" w:rsidR="00126D3E" w:rsidP="00126D3E" w:rsidRDefault="002859C4" w14:paraId="03F4E006" w14:textId="0347EA83">
            <w:pPr>
              <w:pStyle w:val="ListParagraph"/>
              <w:ind w:left="-52"/>
            </w:pPr>
            <w:r>
              <w:t>Benjamin RIZZO (Grupul organizațiilor societății civile – MT)</w:t>
            </w:r>
          </w:p>
        </w:tc>
      </w:tr>
      <w:tr w:rsidRPr="00627B8F" w:rsidR="00126D3E" w:rsidTr="00726054" w14:paraId="06E347F6" w14:textId="77777777">
        <w:tc>
          <w:tcPr>
            <w:tcW w:w="1701" w:type="dxa"/>
          </w:tcPr>
          <w:p w:rsidRPr="009B70E7" w:rsidR="00126D3E" w:rsidP="00126D3E" w:rsidRDefault="00126D3E" w14:paraId="79E06325" w14:textId="1734AC82">
            <w:pPr>
              <w:pStyle w:val="ListParagraph"/>
              <w:ind w:left="0"/>
              <w:rPr>
                <w:b/>
              </w:rPr>
            </w:pPr>
            <w:r>
              <w:rPr>
                <w:b/>
              </w:rPr>
              <w:t>Referințe</w:t>
            </w:r>
            <w:r w:rsidR="006A65FB">
              <w:rPr>
                <w:b/>
              </w:rPr>
              <w:t>:</w:t>
            </w:r>
            <w:r>
              <w:rPr>
                <w:b/>
              </w:rPr>
              <w:t xml:space="preserve"> </w:t>
            </w:r>
          </w:p>
        </w:tc>
        <w:tc>
          <w:tcPr>
            <w:tcW w:w="6096" w:type="dxa"/>
          </w:tcPr>
          <w:p w:rsidRPr="00E119DF" w:rsidR="00126D3E" w:rsidP="00126D3E" w:rsidRDefault="00126D3E" w14:paraId="30488BC9" w14:textId="491F014A">
            <w:pPr>
              <w:pStyle w:val="ListParagraph"/>
              <w:ind w:left="-52"/>
            </w:pPr>
            <w:r>
              <w:t>COM(2022) 707 final</w:t>
            </w:r>
          </w:p>
          <w:p w:rsidRPr="00E119DF" w:rsidR="00126D3E" w:rsidP="00126D3E" w:rsidRDefault="00126D3E" w14:paraId="6A2775E8" w14:textId="7AD0B64A">
            <w:pPr>
              <w:pStyle w:val="ListParagraph"/>
              <w:ind w:left="-52"/>
            </w:pPr>
            <w:r>
              <w:t>EESC-2022-06314-00-00-AC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Pr>
          <w:b/>
        </w:rPr>
        <w:t>Punctele principale:</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t>CESE:</w:t>
      </w:r>
    </w:p>
    <w:p w:rsidRPr="009B70E7" w:rsidR="00126D3E" w:rsidP="00126D3E" w:rsidRDefault="00126D3E" w14:paraId="30410FB5" w14:textId="77777777">
      <w:pPr>
        <w:pStyle w:val="ListParagraph"/>
        <w:ind w:left="0"/>
      </w:pPr>
    </w:p>
    <w:p w:rsidR="002859C4" w:rsidP="002859C4" w:rsidRDefault="002859C4" w14:paraId="2DAE0EE0" w14:textId="77777777">
      <w:pPr>
        <w:pStyle w:val="ListParagraph"/>
        <w:numPr>
          <w:ilvl w:val="0"/>
          <w:numId w:val="3"/>
        </w:numPr>
        <w:ind w:left="357" w:hanging="357"/>
      </w:pPr>
      <w:r>
        <w:t xml:space="preserve">consideră că propunerile de îmbunătățire a Directivei DAC sunt eficace pentru a-i descuraja pe deținătorii de </w:t>
      </w:r>
      <w:proofErr w:type="spellStart"/>
      <w:r>
        <w:t>criptoactive</w:t>
      </w:r>
      <w:proofErr w:type="spellEnd"/>
      <w:r>
        <w:t xml:space="preserve"> să încalce normele fiscale, consolidând astfel lupta împotriva fraudei fiscale, a evaziunii fiscale și a evitării obligațiilor fiscale;</w:t>
      </w:r>
    </w:p>
    <w:p w:rsidR="002859C4" w:rsidP="002859C4" w:rsidRDefault="002859C4" w14:paraId="1534883D" w14:textId="77777777">
      <w:pPr>
        <w:pStyle w:val="ListParagraph"/>
        <w:numPr>
          <w:ilvl w:val="0"/>
          <w:numId w:val="3"/>
        </w:numPr>
        <w:ind w:left="357" w:hanging="357"/>
      </w:pPr>
      <w:r>
        <w:t xml:space="preserve">observă că efortul global de reglementare a </w:t>
      </w:r>
      <w:proofErr w:type="spellStart"/>
      <w:r>
        <w:t>criptoactivelor</w:t>
      </w:r>
      <w:proofErr w:type="spellEnd"/>
      <w:r>
        <w:t xml:space="preserve"> și a utilizării acestora este esențial în abordarea cu succes a problemelor și implicațiilor tot mai mari la scară mondială ale acestor active;</w:t>
      </w:r>
    </w:p>
    <w:p w:rsidR="002859C4" w:rsidP="002859C4" w:rsidRDefault="002859C4" w14:paraId="3F2A6CA4" w14:textId="77777777">
      <w:pPr>
        <w:pStyle w:val="ListParagraph"/>
        <w:numPr>
          <w:ilvl w:val="0"/>
          <w:numId w:val="3"/>
        </w:numPr>
        <w:ind w:left="357" w:hanging="357"/>
      </w:pPr>
      <w:r>
        <w:t xml:space="preserve">apreciază că o fiscalitate îmbunătățită și mai eficace a </w:t>
      </w:r>
      <w:proofErr w:type="spellStart"/>
      <w:r>
        <w:t>criptoactivelor</w:t>
      </w:r>
      <w:proofErr w:type="spellEnd"/>
      <w:r>
        <w:t xml:space="preserve"> va contribui la creșterea acoperirii fiscale și la consolidarea bugetelor naționale, astfel încât să poată fi mobilizate resurse suplimentare, destinate binelui comun;</w:t>
      </w:r>
    </w:p>
    <w:p w:rsidR="002859C4" w:rsidP="002859C4" w:rsidRDefault="002859C4" w14:paraId="14524DB4" w14:textId="77777777">
      <w:pPr>
        <w:pStyle w:val="ListParagraph"/>
        <w:numPr>
          <w:ilvl w:val="0"/>
          <w:numId w:val="3"/>
        </w:numPr>
        <w:ind w:left="357" w:hanging="357"/>
      </w:pPr>
      <w:r>
        <w:t>consideră că un sistem de raportare bazat pe codul de identificare fiscală (CIF) este metoda cea mai eficace de asigurare a conformității, pentru a garanta eficacitatea noilor norme;</w:t>
      </w:r>
    </w:p>
    <w:p w:rsidR="002859C4" w:rsidP="002859C4" w:rsidRDefault="002859C4" w14:paraId="21413284" w14:textId="77777777">
      <w:pPr>
        <w:pStyle w:val="ListParagraph"/>
        <w:numPr>
          <w:ilvl w:val="0"/>
          <w:numId w:val="3"/>
        </w:numPr>
        <w:ind w:left="357" w:hanging="357"/>
      </w:pPr>
      <w:r>
        <w:t xml:space="preserve">consideră că obligațiile de raportare nu ar trebui să se limiteze doar la schimburi și transferuri de </w:t>
      </w:r>
      <w:proofErr w:type="spellStart"/>
      <w:r>
        <w:t>criptoactive</w:t>
      </w:r>
      <w:proofErr w:type="spellEnd"/>
      <w:r>
        <w:t xml:space="preserve">, ci ar trebui extinse, cel puțin în faza inițială, și la deținerile globale de </w:t>
      </w:r>
      <w:proofErr w:type="spellStart"/>
      <w:r>
        <w:t>criptomonede</w:t>
      </w:r>
      <w:proofErr w:type="spellEnd"/>
      <w:r>
        <w:t>;</w:t>
      </w:r>
    </w:p>
    <w:p w:rsidR="002859C4" w:rsidP="002859C4" w:rsidRDefault="002859C4" w14:paraId="58E41899" w14:textId="77777777">
      <w:pPr>
        <w:pStyle w:val="ListParagraph"/>
        <w:numPr>
          <w:ilvl w:val="0"/>
          <w:numId w:val="3"/>
        </w:numPr>
        <w:ind w:left="357" w:hanging="357"/>
      </w:pPr>
      <w:r>
        <w:t>subliniază necesitatea unor sancțiuni eficiente și proporționale, lăsând statelor membre libertatea de a decide asupra cuantumurilor specifice ale sancțiunilor ce trebuie aplicate;</w:t>
      </w:r>
    </w:p>
    <w:p w:rsidR="00126D3E" w:rsidP="002859C4" w:rsidRDefault="002859C4" w14:paraId="3C908B43" w14:textId="6089177D">
      <w:pPr>
        <w:pStyle w:val="ListParagraph"/>
        <w:numPr>
          <w:ilvl w:val="0"/>
          <w:numId w:val="3"/>
        </w:numPr>
        <w:ind w:left="357" w:hanging="357"/>
      </w:pPr>
      <w:r>
        <w:t>speră că, prin sancțiuni și măsuri de conformare, va fi găsit un echilibru adecvat între, pe de o parte, eficacitatea normelor și un efect disuasiv adecvat și, pe de altă parte, proporționalitate.</w:t>
      </w:r>
    </w:p>
    <w:p w:rsidRPr="00FE234C" w:rsidR="00126D3E" w:rsidP="00126D3E" w:rsidRDefault="00126D3E" w14:paraId="1826D695"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126D3E" w:rsidTr="006A65FB" w14:paraId="6C9C2615" w14:textId="77777777">
        <w:tc>
          <w:tcPr>
            <w:tcW w:w="1701" w:type="dxa"/>
          </w:tcPr>
          <w:p w:rsidRPr="009B70E7" w:rsidR="00126D3E" w:rsidP="00726054" w:rsidRDefault="00126D3E" w14:paraId="2502BF16" w14:textId="0B69DF24">
            <w:pPr>
              <w:pStyle w:val="ListParagraph"/>
              <w:ind w:left="0"/>
              <w:rPr>
                <w:i/>
              </w:rPr>
            </w:pPr>
            <w:r>
              <w:rPr>
                <w:b/>
                <w:i/>
              </w:rPr>
              <w:t>Date de contact</w:t>
            </w:r>
            <w:r w:rsidR="006A65FB">
              <w:rPr>
                <w:b/>
                <w:i/>
              </w:rPr>
              <w:t>:</w:t>
            </w:r>
          </w:p>
        </w:tc>
        <w:tc>
          <w:tcPr>
            <w:tcW w:w="5387" w:type="dxa"/>
          </w:tcPr>
          <w:p w:rsidRPr="009B70E7" w:rsidR="00126D3E" w:rsidP="00726054" w:rsidRDefault="002859C4" w14:paraId="7569883B" w14:textId="42AD5509">
            <w:pPr>
              <w:pStyle w:val="ListParagraph"/>
              <w:ind w:left="0"/>
              <w:rPr>
                <w:i/>
              </w:rPr>
            </w:pPr>
            <w:proofErr w:type="spellStart"/>
            <w:r>
              <w:rPr>
                <w:i/>
              </w:rPr>
              <w:t>Jüri</w:t>
            </w:r>
            <w:proofErr w:type="spellEnd"/>
            <w:r>
              <w:rPr>
                <w:i/>
              </w:rPr>
              <w:t xml:space="preserve"> </w:t>
            </w:r>
            <w:proofErr w:type="spellStart"/>
            <w:r>
              <w:rPr>
                <w:i/>
              </w:rPr>
              <w:t>Soosaar</w:t>
            </w:r>
            <w:proofErr w:type="spellEnd"/>
          </w:p>
        </w:tc>
      </w:tr>
      <w:tr w:rsidRPr="009B70E7" w:rsidR="00126D3E" w:rsidTr="006A65FB" w14:paraId="1633B04C" w14:textId="77777777">
        <w:tc>
          <w:tcPr>
            <w:tcW w:w="1701" w:type="dxa"/>
          </w:tcPr>
          <w:p w:rsidRPr="009B70E7" w:rsidR="00126D3E" w:rsidP="00726054" w:rsidRDefault="00126D3E" w14:paraId="3D6DEE23" w14:textId="77777777">
            <w:pPr>
              <w:pStyle w:val="ListParagraph"/>
              <w:ind w:left="601"/>
              <w:rPr>
                <w:i/>
              </w:rPr>
            </w:pPr>
            <w:r>
              <w:rPr>
                <w:i/>
              </w:rPr>
              <w:t>Tel.:</w:t>
            </w:r>
          </w:p>
        </w:tc>
        <w:tc>
          <w:tcPr>
            <w:tcW w:w="5387" w:type="dxa"/>
          </w:tcPr>
          <w:p w:rsidRPr="009B70E7" w:rsidR="00126D3E" w:rsidP="00726054" w:rsidRDefault="00126D3E" w14:paraId="3D558DF4" w14:textId="270FE306">
            <w:pPr>
              <w:pStyle w:val="ListParagraph"/>
              <w:ind w:left="0"/>
              <w:rPr>
                <w:i/>
              </w:rPr>
            </w:pPr>
            <w:r>
              <w:rPr>
                <w:i/>
              </w:rPr>
              <w:t>00 32 2 546 96 28</w:t>
            </w:r>
          </w:p>
        </w:tc>
      </w:tr>
      <w:tr w:rsidRPr="001D770D" w:rsidR="00126D3E" w:rsidTr="006A65FB" w14:paraId="29931F4A" w14:textId="77777777">
        <w:tc>
          <w:tcPr>
            <w:tcW w:w="1701" w:type="dxa"/>
          </w:tcPr>
          <w:p w:rsidRPr="009B70E7" w:rsidR="00126D3E" w:rsidP="00126D3E" w:rsidRDefault="00126D3E" w14:paraId="57FF013D" w14:textId="77777777">
            <w:pPr>
              <w:pStyle w:val="ListParagraph"/>
              <w:ind w:left="601"/>
              <w:rPr>
                <w:i/>
              </w:rPr>
            </w:pPr>
            <w:r>
              <w:rPr>
                <w:i/>
              </w:rPr>
              <w:t>e-mail:</w:t>
            </w:r>
          </w:p>
        </w:tc>
        <w:tc>
          <w:tcPr>
            <w:tcW w:w="5387" w:type="dxa"/>
          </w:tcPr>
          <w:p w:rsidRPr="002859C4" w:rsidR="00126D3E" w:rsidP="00126D3E" w:rsidRDefault="00C12F9B" w14:paraId="534217AD" w14:textId="384A1375">
            <w:pPr>
              <w:pStyle w:val="ListParagraph"/>
              <w:ind w:left="0"/>
              <w:rPr>
                <w:i/>
                <w:iCs/>
                <w:color w:val="0000FF"/>
                <w:u w:val="single"/>
              </w:rPr>
            </w:pPr>
            <w:hyperlink w:history="1" r:id="rId20">
              <w:r w:rsidR="00472A1F">
                <w:rPr>
                  <w:rStyle w:val="Hyperlink"/>
                  <w:i/>
                </w:rPr>
                <w:t>Juri.Soosaar@eesc.europa.eu</w:t>
              </w:r>
            </w:hyperlink>
          </w:p>
        </w:tc>
      </w:tr>
      <w:bookmarkEnd w:id="6"/>
    </w:tbl>
    <w:p w:rsidR="002859C4" w:rsidRDefault="002859C4" w14:paraId="6B383379" w14:textId="2375EEC2">
      <w:pPr>
        <w:spacing w:after="160" w:line="259" w:lineRule="auto"/>
        <w:jc w:val="left"/>
      </w:pPr>
    </w:p>
    <w:p w:rsidR="00726054" w:rsidRDefault="00726054" w14:paraId="7E555A72" w14:textId="6305524D">
      <w:pPr>
        <w:spacing w:after="160" w:line="259" w:lineRule="auto"/>
        <w:jc w:val="left"/>
      </w:pPr>
      <w:r>
        <w:br w:type="page"/>
      </w:r>
    </w:p>
    <w:p w:rsidRPr="00017B56" w:rsidR="002859C4" w:rsidP="002859C4" w:rsidRDefault="002859C4" w14:paraId="562EED37" w14:textId="43DAA6C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lastRenderedPageBreak/>
        <w:t>Norme de cotare pe piețele publice (Actul privind cotarea)</w:t>
      </w:r>
    </w:p>
    <w:p w:rsidRPr="00017B56" w:rsidR="002859C4" w:rsidP="002859C4" w:rsidRDefault="002859C4" w14:paraId="614F3A69"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2859C4" w:rsidTr="00726054" w14:paraId="724B575F" w14:textId="77777777">
        <w:tc>
          <w:tcPr>
            <w:tcW w:w="2268" w:type="dxa"/>
          </w:tcPr>
          <w:p w:rsidR="002859C4" w:rsidP="00726054" w:rsidRDefault="002859C4" w14:paraId="3780A968" w14:textId="3193DD4C">
            <w:pPr>
              <w:pStyle w:val="ListParagraph"/>
              <w:spacing w:line="240" w:lineRule="auto"/>
              <w:ind w:left="-142" w:firstLine="142"/>
              <w:rPr>
                <w:b/>
              </w:rPr>
            </w:pPr>
            <w:r>
              <w:rPr>
                <w:b/>
              </w:rPr>
              <w:t>Raportor general</w:t>
            </w:r>
          </w:p>
          <w:p w:rsidRPr="009B70E7" w:rsidR="002859C4" w:rsidP="00726054" w:rsidRDefault="002859C4" w14:paraId="5DEFDDC3" w14:textId="77777777">
            <w:pPr>
              <w:pStyle w:val="ListParagraph"/>
              <w:spacing w:line="240" w:lineRule="auto"/>
              <w:ind w:left="-142" w:firstLine="142"/>
              <w:rPr>
                <w:b/>
              </w:rPr>
            </w:pPr>
          </w:p>
        </w:tc>
        <w:tc>
          <w:tcPr>
            <w:tcW w:w="5954" w:type="dxa"/>
          </w:tcPr>
          <w:p w:rsidRPr="00627B8F" w:rsidR="002859C4" w:rsidP="00726054" w:rsidRDefault="002859C4" w14:paraId="561B59A8" w14:textId="2B8F0717">
            <w:pPr>
              <w:pStyle w:val="ListParagraph"/>
              <w:ind w:left="-60" w:right="-55"/>
            </w:pPr>
            <w:proofErr w:type="spellStart"/>
            <w:r>
              <w:t>Kęstutis</w:t>
            </w:r>
            <w:proofErr w:type="spellEnd"/>
            <w:r>
              <w:t xml:space="preserve"> KUPŠYS (Grupul „Organizații ale societății civile” – LT)</w:t>
            </w:r>
          </w:p>
        </w:tc>
      </w:tr>
      <w:tr w:rsidRPr="00627B8F" w:rsidR="002859C4" w:rsidTr="00726054" w14:paraId="640B6265" w14:textId="77777777">
        <w:tc>
          <w:tcPr>
            <w:tcW w:w="2268" w:type="dxa"/>
          </w:tcPr>
          <w:p w:rsidRPr="009B70E7" w:rsidR="002859C4" w:rsidP="00726054" w:rsidRDefault="002859C4" w14:paraId="4F63D371" w14:textId="109D7897">
            <w:pPr>
              <w:pStyle w:val="ListParagraph"/>
              <w:spacing w:line="240" w:lineRule="auto"/>
              <w:ind w:left="-142" w:firstLine="142"/>
              <w:rPr>
                <w:b/>
              </w:rPr>
            </w:pPr>
            <w:r>
              <w:rPr>
                <w:b/>
              </w:rPr>
              <w:t xml:space="preserve">Referințe </w:t>
            </w:r>
          </w:p>
        </w:tc>
        <w:tc>
          <w:tcPr>
            <w:tcW w:w="5954" w:type="dxa"/>
          </w:tcPr>
          <w:p w:rsidRPr="00627B8F" w:rsidR="002859C4" w:rsidP="00726054" w:rsidRDefault="002859C4" w14:paraId="43B380AD" w14:textId="39F83E0E">
            <w:pPr>
              <w:pStyle w:val="ListParagraph"/>
              <w:ind w:left="-61"/>
              <w:rPr>
                <w:bCs/>
              </w:rPr>
            </w:pPr>
            <w:r>
              <w:t>COM(2022) 760- 761-762 final</w:t>
            </w:r>
          </w:p>
          <w:p w:rsidRPr="00627B8F" w:rsidR="002859C4" w:rsidP="00726054" w:rsidRDefault="002859C4" w14:paraId="585C3288" w14:textId="5201BAC0">
            <w:pPr>
              <w:pStyle w:val="ListParagraph"/>
              <w:ind w:left="-61"/>
            </w:pPr>
            <w:r>
              <w:t>EESC-2022-05409-00-00-AC</w:t>
            </w:r>
          </w:p>
        </w:tc>
      </w:tr>
    </w:tbl>
    <w:p w:rsidR="002859C4" w:rsidP="002859C4" w:rsidRDefault="002859C4" w14:paraId="23CAB87A" w14:textId="77777777">
      <w:pPr>
        <w:pStyle w:val="ListParagraph"/>
        <w:spacing w:line="240" w:lineRule="auto"/>
        <w:ind w:left="0"/>
        <w:rPr>
          <w:b/>
          <w:lang w:val="en-US"/>
        </w:rPr>
      </w:pPr>
    </w:p>
    <w:p w:rsidR="002859C4" w:rsidP="002859C4" w:rsidRDefault="002859C4" w14:paraId="3313D67F" w14:textId="77777777">
      <w:pPr>
        <w:pStyle w:val="ListParagraph"/>
        <w:spacing w:line="240" w:lineRule="auto"/>
        <w:ind w:left="0"/>
        <w:rPr>
          <w:b/>
        </w:rPr>
      </w:pPr>
      <w:r>
        <w:rPr>
          <w:b/>
        </w:rPr>
        <w:t>Punctele principale:</w:t>
      </w:r>
    </w:p>
    <w:p w:rsidR="002859C4" w:rsidP="002859C4" w:rsidRDefault="002859C4" w14:paraId="1B188621" w14:textId="77777777">
      <w:pPr>
        <w:pStyle w:val="ListParagraph"/>
        <w:spacing w:line="240" w:lineRule="auto"/>
        <w:ind w:left="0"/>
        <w:rPr>
          <w:b/>
          <w:lang w:val="en-US"/>
        </w:rPr>
      </w:pPr>
    </w:p>
    <w:p w:rsidR="002859C4" w:rsidP="002859C4" w:rsidRDefault="002859C4" w14:paraId="16DE581D" w14:textId="77777777">
      <w:pPr>
        <w:pStyle w:val="ListParagraph"/>
        <w:spacing w:line="240" w:lineRule="auto"/>
        <w:ind w:left="0"/>
        <w:rPr>
          <w:bCs/>
        </w:rPr>
      </w:pPr>
      <w:r>
        <w:t>CESE:</w:t>
      </w:r>
    </w:p>
    <w:p w:rsidRPr="002E62B0" w:rsidR="002859C4" w:rsidP="002859C4" w:rsidRDefault="002859C4" w14:paraId="6AE705E2" w14:textId="77777777">
      <w:pPr>
        <w:pStyle w:val="ListParagraph"/>
        <w:spacing w:line="240" w:lineRule="auto"/>
        <w:ind w:left="0"/>
        <w:rPr>
          <w:bCs/>
          <w:lang w:val="pt-PT"/>
        </w:rPr>
      </w:pPr>
    </w:p>
    <w:p w:rsidR="002859C4" w:rsidP="002859C4" w:rsidRDefault="002859C4" w14:paraId="0315EE29" w14:textId="77777777">
      <w:pPr>
        <w:pStyle w:val="ListParagraph"/>
        <w:numPr>
          <w:ilvl w:val="0"/>
          <w:numId w:val="3"/>
        </w:numPr>
        <w:spacing w:line="276" w:lineRule="auto"/>
        <w:ind w:left="357" w:hanging="357"/>
      </w:pPr>
      <w:r>
        <w:t>subliniază că creșterea finanțării prin capitaluri proprii pentru întreprinderile europene este esențială și, prin urmare, salută călduros propunerea Comisiei de act privind cotarea;</w:t>
      </w:r>
    </w:p>
    <w:p w:rsidR="002859C4" w:rsidP="00CD1F25" w:rsidRDefault="00CD1F25" w14:paraId="05D01C4B" w14:textId="262924AD">
      <w:pPr>
        <w:pStyle w:val="ListParagraph"/>
        <w:numPr>
          <w:ilvl w:val="0"/>
          <w:numId w:val="3"/>
        </w:numPr>
        <w:spacing w:line="276" w:lineRule="auto"/>
        <w:ind w:left="357" w:hanging="357"/>
      </w:pPr>
      <w:r>
        <w:t>consideră că introducerea pe piețele de capital a întreprinderilor familiale ar deschide un potențial neexploatat de atragere a capitalului pentru creștere, iar un regim al drepturilor de vot multiple ajută familiile să-și păstreze controlul, făcând cotarea la bursă mai atractivă pentru acestea. CESE este de acord că ar trebui elaborat un cadru detaliat la nivel național, încurajându-se totodată armonizarea europeană la nivel înalt;</w:t>
      </w:r>
    </w:p>
    <w:p w:rsidR="002859C4" w:rsidP="002859C4" w:rsidRDefault="002859C4" w14:paraId="048A62A9" w14:textId="77777777">
      <w:pPr>
        <w:pStyle w:val="ListParagraph"/>
        <w:numPr>
          <w:ilvl w:val="0"/>
          <w:numId w:val="3"/>
        </w:numPr>
        <w:spacing w:line="276" w:lineRule="auto"/>
        <w:ind w:left="357" w:hanging="357"/>
      </w:pPr>
      <w:r>
        <w:t>salută, de asemenea, inițiativa Comisiei de a raționaliza conținutul unui prospect care ar reduce în mod semnificativ costurile și sarcina pentru emitenți;</w:t>
      </w:r>
    </w:p>
    <w:p w:rsidR="002859C4" w:rsidP="002859C4" w:rsidRDefault="002859C4" w14:paraId="0535E853" w14:textId="77777777">
      <w:pPr>
        <w:pStyle w:val="ListParagraph"/>
        <w:numPr>
          <w:ilvl w:val="0"/>
          <w:numId w:val="3"/>
        </w:numPr>
        <w:spacing w:line="276" w:lineRule="auto"/>
        <w:ind w:left="357" w:hanging="357"/>
      </w:pPr>
      <w:r>
        <w:t>salută propunerea de a oferi emitenților posibilitatea de a publica un prospect numai în limba engleză. Cu toate acestea, publicarea unui document complet, și nu numai a rezumatului, în limbile naționale i-ar capacita pe investitorii individuali locali. Utilizarea documentelor de emisiuni „numai în limba engleză” ar împiedica dezvoltarea unei baze naționale de investiții de retail;</w:t>
      </w:r>
    </w:p>
    <w:p w:rsidR="002859C4" w:rsidP="002859C4" w:rsidRDefault="002859C4" w14:paraId="2651FA69" w14:textId="77777777">
      <w:pPr>
        <w:pStyle w:val="ListParagraph"/>
        <w:numPr>
          <w:ilvl w:val="0"/>
          <w:numId w:val="3"/>
        </w:numPr>
        <w:spacing w:line="276" w:lineRule="auto"/>
        <w:ind w:left="357" w:hanging="357"/>
      </w:pPr>
      <w:r>
        <w:t>observă că gruparea cercetării pentru investiții cu alte servicii ar putea spori vizibilitatea întreprinderilor mici și mijlocii (IMM-uri) cotate la bursă. Prin urmare, Comitetul salută propunerea de creștere a pragului de separare la 10 miliarde EUR; totuși, ar putea fi necesare și alte măsuri pentru a încuraja cercetarea independentă;</w:t>
      </w:r>
    </w:p>
    <w:p w:rsidR="002859C4" w:rsidP="002859C4" w:rsidRDefault="002859C4" w14:paraId="3034B6F4" w14:textId="1B2645D7">
      <w:pPr>
        <w:pStyle w:val="ListParagraph"/>
        <w:numPr>
          <w:ilvl w:val="0"/>
          <w:numId w:val="3"/>
        </w:numPr>
        <w:spacing w:line="276" w:lineRule="auto"/>
        <w:ind w:left="357" w:hanging="357"/>
      </w:pPr>
      <w:r>
        <w:t>apreciază în mod deosebit abordarea Comisiei în ceea ce privește atenuarea insecurității juridice legate de cerințele privind prezentarea de informații.</w:t>
      </w:r>
    </w:p>
    <w:p w:rsidRPr="009B70E7" w:rsidR="002859C4" w:rsidP="002859C4" w:rsidRDefault="002859C4" w14:paraId="715B7705"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2859C4" w:rsidTr="006A65FB" w14:paraId="5085DEA1" w14:textId="77777777">
        <w:tc>
          <w:tcPr>
            <w:tcW w:w="1701" w:type="dxa"/>
          </w:tcPr>
          <w:p w:rsidRPr="009B70E7" w:rsidR="002859C4" w:rsidP="00726054" w:rsidRDefault="002859C4" w14:paraId="5CF1E67D" w14:textId="2593C907">
            <w:pPr>
              <w:pStyle w:val="ListParagraph"/>
              <w:spacing w:line="276" w:lineRule="auto"/>
              <w:ind w:left="0"/>
              <w:rPr>
                <w:i/>
              </w:rPr>
            </w:pPr>
            <w:r>
              <w:rPr>
                <w:b/>
                <w:i/>
              </w:rPr>
              <w:t>Date de contact</w:t>
            </w:r>
          </w:p>
        </w:tc>
        <w:tc>
          <w:tcPr>
            <w:tcW w:w="5387" w:type="dxa"/>
          </w:tcPr>
          <w:p w:rsidRPr="009B70E7" w:rsidR="002859C4" w:rsidP="00726054" w:rsidRDefault="002859C4" w14:paraId="47242400" w14:textId="3BE4E6CC">
            <w:pPr>
              <w:pStyle w:val="ListParagraph"/>
              <w:spacing w:line="276" w:lineRule="auto"/>
              <w:ind w:left="0"/>
              <w:rPr>
                <w:i/>
              </w:rPr>
            </w:pPr>
            <w:proofErr w:type="spellStart"/>
            <w:r>
              <w:rPr>
                <w:i/>
              </w:rPr>
              <w:t>Gerald</w:t>
            </w:r>
            <w:proofErr w:type="spellEnd"/>
            <w:r>
              <w:rPr>
                <w:i/>
              </w:rPr>
              <w:t xml:space="preserve"> </w:t>
            </w:r>
            <w:proofErr w:type="spellStart"/>
            <w:r>
              <w:rPr>
                <w:i/>
              </w:rPr>
              <w:t>Klec</w:t>
            </w:r>
            <w:proofErr w:type="spellEnd"/>
          </w:p>
        </w:tc>
      </w:tr>
      <w:tr w:rsidRPr="009B70E7" w:rsidR="002859C4" w:rsidTr="006A65FB" w14:paraId="094C3FA4" w14:textId="77777777">
        <w:tc>
          <w:tcPr>
            <w:tcW w:w="1701" w:type="dxa"/>
          </w:tcPr>
          <w:p w:rsidRPr="009B70E7" w:rsidR="002859C4" w:rsidP="00726054" w:rsidRDefault="002859C4" w14:paraId="3ABA9D08" w14:textId="77777777">
            <w:pPr>
              <w:pStyle w:val="ListParagraph"/>
              <w:spacing w:line="276" w:lineRule="auto"/>
              <w:ind w:left="601"/>
              <w:rPr>
                <w:i/>
              </w:rPr>
            </w:pPr>
            <w:r>
              <w:rPr>
                <w:i/>
              </w:rPr>
              <w:t>Tel.:</w:t>
            </w:r>
          </w:p>
        </w:tc>
        <w:tc>
          <w:tcPr>
            <w:tcW w:w="5387" w:type="dxa"/>
          </w:tcPr>
          <w:p w:rsidRPr="009B70E7" w:rsidR="002859C4" w:rsidP="00726054" w:rsidRDefault="002859C4" w14:paraId="24270DE1" w14:textId="16FB07B6">
            <w:pPr>
              <w:pStyle w:val="ListParagraph"/>
              <w:spacing w:line="276" w:lineRule="auto"/>
              <w:ind w:left="0"/>
              <w:rPr>
                <w:i/>
              </w:rPr>
            </w:pPr>
            <w:r>
              <w:rPr>
                <w:i/>
              </w:rPr>
              <w:t>00 32 2 546 99 09</w:t>
            </w:r>
          </w:p>
        </w:tc>
      </w:tr>
      <w:tr w:rsidRPr="009B70E7" w:rsidR="002859C4" w:rsidTr="006A65FB" w14:paraId="7A0787AD" w14:textId="77777777">
        <w:tc>
          <w:tcPr>
            <w:tcW w:w="1701" w:type="dxa"/>
          </w:tcPr>
          <w:p w:rsidRPr="009B70E7" w:rsidR="002859C4" w:rsidP="00726054" w:rsidRDefault="002859C4" w14:paraId="4D323452" w14:textId="77777777">
            <w:pPr>
              <w:pStyle w:val="ListParagraph"/>
              <w:spacing w:line="276" w:lineRule="auto"/>
              <w:ind w:left="601"/>
              <w:rPr>
                <w:i/>
              </w:rPr>
            </w:pPr>
            <w:r>
              <w:rPr>
                <w:i/>
              </w:rPr>
              <w:t>e-mail:</w:t>
            </w:r>
          </w:p>
        </w:tc>
        <w:tc>
          <w:tcPr>
            <w:tcW w:w="5387" w:type="dxa"/>
          </w:tcPr>
          <w:p w:rsidRPr="002859C4" w:rsidR="002859C4" w:rsidP="00726054" w:rsidRDefault="002859C4" w14:paraId="1E63E9A8" w14:textId="14209DAA">
            <w:pPr>
              <w:pStyle w:val="ListParagraph"/>
              <w:spacing w:line="276" w:lineRule="auto"/>
              <w:ind w:left="0"/>
              <w:rPr>
                <w:i/>
                <w:iCs/>
              </w:rPr>
            </w:pPr>
            <w:r>
              <w:rPr>
                <w:rStyle w:val="Hyperlink"/>
                <w:i/>
              </w:rPr>
              <w:t>Gerald.Klec@eesc.europa.eu</w:t>
            </w:r>
          </w:p>
        </w:tc>
      </w:tr>
    </w:tbl>
    <w:p w:rsidR="004E0C44" w:rsidRDefault="004E0C44" w14:paraId="6EFE33A5" w14:textId="37983C57">
      <w:pPr>
        <w:spacing w:after="160" w:line="259" w:lineRule="auto"/>
        <w:jc w:val="left"/>
      </w:pPr>
      <w:r>
        <w:br w:type="page"/>
      </w:r>
    </w:p>
    <w:p w:rsidRPr="009B70E7" w:rsidR="004D7AC0" w:rsidRDefault="004D7AC0" w14:paraId="73D829D0" w14:textId="77777777">
      <w:pPr>
        <w:pStyle w:val="Heading1"/>
        <w:rPr>
          <w:b/>
        </w:rPr>
      </w:pPr>
      <w:bookmarkStart w:name="_Toc75527081" w:id="7"/>
      <w:bookmarkStart w:name="_Toc131155349" w:id="8"/>
      <w:r>
        <w:rPr>
          <w:b/>
        </w:rPr>
        <w:lastRenderedPageBreak/>
        <w:t>SECȚIUNEA PENTRU OCUPAREA FORȚEI DE MUNCĂ, AFACERI SOCIALE ȘI CETĂȚENIE</w:t>
      </w:r>
      <w:bookmarkEnd w:id="7"/>
      <w:bookmarkEnd w:id="8"/>
    </w:p>
    <w:p w:rsidRPr="005D76AC" w:rsidR="00276CC9" w:rsidP="00750BF7" w:rsidRDefault="00276CC9" w14:paraId="187F194C" w14:textId="59504090">
      <w:pPr>
        <w:spacing w:after="160" w:line="259" w:lineRule="auto"/>
        <w:jc w:val="left"/>
      </w:pPr>
    </w:p>
    <w:p w:rsidRPr="009B70E7" w:rsidR="00775FDA" w:rsidP="0018231C" w:rsidRDefault="002859C4" w14:paraId="6004B7F1" w14:textId="5D77B868">
      <w:pPr>
        <w:pStyle w:val="ListParagraph"/>
        <w:keepNext/>
        <w:numPr>
          <w:ilvl w:val="0"/>
          <w:numId w:val="2"/>
        </w:numPr>
        <w:ind w:left="567" w:hanging="567"/>
        <w:rPr>
          <w:b/>
          <w:i/>
          <w:sz w:val="28"/>
          <w:szCs w:val="28"/>
        </w:rPr>
      </w:pPr>
      <w:bookmarkStart w:name="_Hlk125475639" w:id="9"/>
      <w:r>
        <w:rPr>
          <w:b/>
          <w:i/>
          <w:sz w:val="28"/>
        </w:rPr>
        <w:t>Încălcarea sancțiunilor/infracțiunile incriminate de UE</w:t>
      </w:r>
    </w:p>
    <w:p w:rsidRPr="009B70E7" w:rsidR="00775FDA" w:rsidP="0018231C" w:rsidRDefault="00775FDA" w14:paraId="301189D8" w14:textId="77777777">
      <w:pPr>
        <w:pStyle w:val="ListParagraph"/>
        <w:keepNext/>
        <w:ind w:left="0"/>
      </w:pPr>
      <w:bookmarkStart w:name="_Hlk127184014" w:id="10"/>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B44BB9" w:rsidTr="00FC2BE8"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Raportor</w:t>
            </w:r>
          </w:p>
          <w:p w:rsidRPr="009B70E7" w:rsidR="00B44BB9" w:rsidP="00B44BB9" w:rsidRDefault="00B44BB9" w14:paraId="15AEA92C" w14:textId="77777777">
            <w:pPr>
              <w:pStyle w:val="ListParagraph"/>
              <w:keepNext/>
              <w:ind w:left="0"/>
              <w:rPr>
                <w:b/>
              </w:rPr>
            </w:pPr>
          </w:p>
        </w:tc>
        <w:tc>
          <w:tcPr>
            <w:tcW w:w="6294" w:type="dxa"/>
          </w:tcPr>
          <w:p w:rsidR="00B44BB9" w:rsidP="00847B19" w:rsidRDefault="002859C4" w14:paraId="4BAF20E0" w14:textId="076B6E23">
            <w:pPr>
              <w:pStyle w:val="ListParagraph"/>
              <w:ind w:left="-52" w:right="-1618"/>
            </w:pPr>
            <w:r>
              <w:t>José Antonio MORENO DÍAZ (Grupul „Lucrători” –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9B70E7" w:rsidR="002859C4" w:rsidTr="00FC2BE8" w14:paraId="7EF1E264" w14:textId="77777777">
        <w:trPr>
          <w:cantSplit/>
          <w:trHeight w:val="284" w:hRule="exact"/>
        </w:trPr>
        <w:tc>
          <w:tcPr>
            <w:tcW w:w="1701" w:type="dxa"/>
          </w:tcPr>
          <w:p w:rsidRPr="009B70E7" w:rsidR="002859C4" w:rsidP="002E62B0" w:rsidRDefault="002859C4" w14:paraId="2419C53B" w14:textId="77777777">
            <w:pPr>
              <w:pStyle w:val="ListParagraph"/>
              <w:spacing w:line="240" w:lineRule="auto"/>
              <w:ind w:left="-142" w:firstLine="142"/>
              <w:rPr>
                <w:b/>
              </w:rPr>
            </w:pPr>
          </w:p>
        </w:tc>
        <w:tc>
          <w:tcPr>
            <w:tcW w:w="6294" w:type="dxa"/>
          </w:tcPr>
          <w:p w:rsidR="002859C4" w:rsidP="00847B19" w:rsidRDefault="002859C4" w14:paraId="0BB02115" w14:textId="77777777">
            <w:pPr>
              <w:pStyle w:val="ListParagraph"/>
              <w:ind w:left="-52" w:right="-1618"/>
            </w:pPr>
          </w:p>
        </w:tc>
      </w:tr>
      <w:tr w:rsidRPr="00627B8F" w:rsidR="00B44BB9" w:rsidTr="00FC2BE8" w14:paraId="58C9EA77" w14:textId="77777777">
        <w:tc>
          <w:tcPr>
            <w:tcW w:w="1701" w:type="dxa"/>
          </w:tcPr>
          <w:p w:rsidRPr="009B70E7" w:rsidR="00B44BB9" w:rsidP="00120BA5" w:rsidRDefault="00B44BB9" w14:paraId="5397904E" w14:textId="319D721F">
            <w:pPr>
              <w:pStyle w:val="ListParagraph"/>
              <w:ind w:left="0"/>
              <w:rPr>
                <w:b/>
              </w:rPr>
            </w:pPr>
            <w:r>
              <w:rPr>
                <w:b/>
              </w:rPr>
              <w:t>Referințe</w:t>
            </w:r>
          </w:p>
        </w:tc>
        <w:tc>
          <w:tcPr>
            <w:tcW w:w="6294" w:type="dxa"/>
          </w:tcPr>
          <w:p w:rsidRPr="00E119DF" w:rsidR="00B44BB9" w:rsidP="00E119DF" w:rsidRDefault="002859C4" w14:paraId="7887F4C5" w14:textId="472E7CD1">
            <w:pPr>
              <w:pStyle w:val="ListParagraph"/>
              <w:ind w:left="-52"/>
            </w:pPr>
            <w:r>
              <w:t>COM(2022) 249-684 final</w:t>
            </w:r>
          </w:p>
          <w:p w:rsidRPr="00E119DF" w:rsidR="00B44BB9" w:rsidP="00E119DF" w:rsidRDefault="00B44BB9" w14:paraId="12C6341D" w14:textId="0FDD9B1D">
            <w:pPr>
              <w:pStyle w:val="ListParagraph"/>
              <w:ind w:left="-52"/>
            </w:pPr>
            <w:r>
              <w:t>EESC-2022-03748-00-00-AC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Punctele principale:</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CESE:</w:t>
      </w:r>
    </w:p>
    <w:p w:rsidRPr="009B70E7" w:rsidR="00775FDA" w:rsidP="0018231C" w:rsidRDefault="00775FDA" w14:paraId="540C04B4" w14:textId="77777777">
      <w:pPr>
        <w:pStyle w:val="ListParagraph"/>
        <w:ind w:left="0"/>
      </w:pPr>
    </w:p>
    <w:p w:rsidRPr="009B70E7" w:rsidR="00775FDA" w:rsidP="0018231C" w:rsidRDefault="0089333A" w14:paraId="3D89CE58" w14:textId="1472B492">
      <w:pPr>
        <w:pStyle w:val="ListParagraph"/>
        <w:numPr>
          <w:ilvl w:val="0"/>
          <w:numId w:val="3"/>
        </w:numPr>
        <w:ind w:left="357" w:hanging="357"/>
      </w:pPr>
      <w:r>
        <w:t>încurajează instituțiile UE să extindă asistența umanitară, pentru a scuti agențiile umanitare și personalul umanitar de răspundere penală și pentru a asigura totodată mecanisme adecvate de prevenire a abuzurilor în scopuri infracționale sau politice. De asemenea, CESE solicită dispoziții pentru protecția denunțătorilor și a jurnaliștilor care raportează despre aceste încălcări.</w:t>
      </w:r>
    </w:p>
    <w:p w:rsidR="0007015C" w:rsidP="008C3E09" w:rsidRDefault="0089333A" w14:paraId="6BE127E6" w14:textId="75AE44FF">
      <w:pPr>
        <w:pStyle w:val="ListParagraph"/>
        <w:numPr>
          <w:ilvl w:val="0"/>
          <w:numId w:val="3"/>
        </w:numPr>
        <w:ind w:left="357" w:hanging="357"/>
      </w:pPr>
      <w:r>
        <w:t>remarcă importanța asigurării unui control democratic deplin asupra propunerii de directivă, având în vedere că nu a fost efectuată nicio evaluare a impactului și că decizia Consiliului a fost adoptată prin procedură de urgență în Parlamentul European.</w:t>
      </w:r>
    </w:p>
    <w:p w:rsidR="0089333A" w:rsidP="008C3E09" w:rsidRDefault="0089333A" w14:paraId="3999DB7B" w14:textId="5D872771">
      <w:pPr>
        <w:pStyle w:val="ListParagraph"/>
        <w:numPr>
          <w:ilvl w:val="0"/>
          <w:numId w:val="3"/>
        </w:numPr>
        <w:ind w:left="357" w:hanging="357"/>
      </w:pPr>
      <w:r>
        <w:t xml:space="preserve">solicită ca sectorul privat și organizațiile societății civile să primească informații adecvate și sprijin </w:t>
      </w:r>
      <w:proofErr w:type="spellStart"/>
      <w:r>
        <w:t>proactiv</w:t>
      </w:r>
      <w:proofErr w:type="spellEnd"/>
      <w:r>
        <w:t xml:space="preserve"> pentru adaptarea la noua legislație și pentru a respecta cerințele regimurilor de sancțiuni.</w:t>
      </w:r>
    </w:p>
    <w:p w:rsidR="0089333A" w:rsidP="008C3E09" w:rsidRDefault="0089333A" w14:paraId="250110D0" w14:textId="1BFC976A">
      <w:pPr>
        <w:pStyle w:val="ListParagraph"/>
        <w:numPr>
          <w:ilvl w:val="0"/>
          <w:numId w:val="3"/>
        </w:numPr>
        <w:ind w:left="357" w:hanging="357"/>
      </w:pPr>
      <w:r>
        <w:t>solicită ca statele membre să dispună de capacități administrative adecvate, de fonduri suficiente și de personal instruit pentru a detecta, a urmări penal și a pedepsi încălcarea sancțiunilor și pentru a face schimb de bune practici între autoritățile judiciare și de aplicare a legii.</w:t>
      </w:r>
    </w:p>
    <w:p w:rsidR="0089333A" w:rsidP="008C3E09" w:rsidRDefault="0089333A" w14:paraId="4449813E" w14:textId="46A285BB">
      <w:pPr>
        <w:pStyle w:val="ListParagraph"/>
        <w:numPr>
          <w:ilvl w:val="0"/>
          <w:numId w:val="3"/>
        </w:numPr>
        <w:ind w:left="357" w:hanging="357"/>
      </w:pPr>
      <w:r>
        <w:t>rămâne îngrijorat că infracțiunile comune, la fel de grave precum violența bazată pe gen și infracțiunile motivate de ură, rămân în afara domeniului de aplicare al articolului 83 alineatul (1) din TFUE.</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B44BB9" w:rsidTr="0097506E" w14:paraId="502899FB" w14:textId="77777777">
        <w:tc>
          <w:tcPr>
            <w:tcW w:w="1843" w:type="dxa"/>
          </w:tcPr>
          <w:p w:rsidRPr="009B70E7" w:rsidR="00B44BB9" w:rsidP="008B66DD" w:rsidRDefault="00B44BB9" w14:paraId="4933D5C0" w14:textId="718809BF">
            <w:pPr>
              <w:pStyle w:val="ListParagraph"/>
              <w:ind w:left="0"/>
              <w:rPr>
                <w:i/>
              </w:rPr>
            </w:pPr>
            <w:bookmarkStart w:name="_Hlk130223166" w:id="11"/>
            <w:r>
              <w:rPr>
                <w:b/>
                <w:i/>
              </w:rPr>
              <w:t>Date de contact</w:t>
            </w:r>
          </w:p>
        </w:tc>
        <w:tc>
          <w:tcPr>
            <w:tcW w:w="5245" w:type="dxa"/>
          </w:tcPr>
          <w:p w:rsidRPr="009B70E7" w:rsidR="00B44BB9" w:rsidP="008B66DD" w:rsidRDefault="002859C4" w14:paraId="649C02E9" w14:textId="20F784C3">
            <w:pPr>
              <w:pStyle w:val="ListParagraph"/>
              <w:ind w:left="0"/>
              <w:rPr>
                <w:i/>
              </w:rPr>
            </w:pPr>
            <w:proofErr w:type="spellStart"/>
            <w:r>
              <w:rPr>
                <w:i/>
              </w:rPr>
              <w:t>Alessia</w:t>
            </w:r>
            <w:proofErr w:type="spellEnd"/>
            <w:r>
              <w:rPr>
                <w:i/>
              </w:rPr>
              <w:t xml:space="preserve"> </w:t>
            </w:r>
            <w:proofErr w:type="spellStart"/>
            <w:r>
              <w:rPr>
                <w:i/>
              </w:rPr>
              <w:t>Cova</w:t>
            </w:r>
            <w:proofErr w:type="spellEnd"/>
          </w:p>
        </w:tc>
      </w:tr>
      <w:tr w:rsidRPr="009B70E7" w:rsidR="00B44BB9" w:rsidTr="0097506E" w14:paraId="54638E70" w14:textId="77777777">
        <w:tc>
          <w:tcPr>
            <w:tcW w:w="1843" w:type="dxa"/>
          </w:tcPr>
          <w:p w:rsidRPr="009B70E7" w:rsidR="00B44BB9" w:rsidP="008B66DD" w:rsidRDefault="00B44BB9" w14:paraId="40A81D42" w14:textId="0AEADD1A">
            <w:pPr>
              <w:pStyle w:val="ListParagraph"/>
              <w:ind w:left="601"/>
              <w:rPr>
                <w:i/>
              </w:rPr>
            </w:pPr>
            <w:r>
              <w:rPr>
                <w:i/>
              </w:rPr>
              <w:t>Tel.:</w:t>
            </w:r>
          </w:p>
        </w:tc>
        <w:tc>
          <w:tcPr>
            <w:tcW w:w="5245" w:type="dxa"/>
          </w:tcPr>
          <w:p w:rsidRPr="009B70E7" w:rsidR="00B44BB9" w:rsidP="008B66DD" w:rsidRDefault="00B44BB9" w14:paraId="0C77361C" w14:textId="65DB1A49">
            <w:pPr>
              <w:pStyle w:val="ListParagraph"/>
              <w:ind w:left="0"/>
              <w:rPr>
                <w:i/>
              </w:rPr>
            </w:pPr>
            <w:r>
              <w:rPr>
                <w:i/>
              </w:rPr>
              <w:t>00 32 2 546 94 26</w:t>
            </w:r>
          </w:p>
        </w:tc>
      </w:tr>
      <w:tr w:rsidRPr="001D770D" w:rsidR="00B44BB9" w:rsidTr="0097506E" w14:paraId="5FB79B0A" w14:textId="77777777">
        <w:tc>
          <w:tcPr>
            <w:tcW w:w="1843" w:type="dxa"/>
          </w:tcPr>
          <w:p w:rsidRPr="009B70E7" w:rsidR="00B44BB9" w:rsidP="008B66DD" w:rsidRDefault="00B44BB9" w14:paraId="0A5C365B" w14:textId="6F30D388">
            <w:pPr>
              <w:pStyle w:val="ListParagraph"/>
              <w:ind w:left="601"/>
              <w:rPr>
                <w:i/>
              </w:rPr>
            </w:pPr>
            <w:r>
              <w:rPr>
                <w:i/>
              </w:rPr>
              <w:t>e-mail:</w:t>
            </w:r>
          </w:p>
        </w:tc>
        <w:tc>
          <w:tcPr>
            <w:tcW w:w="5245" w:type="dxa"/>
          </w:tcPr>
          <w:p w:rsidRPr="0089333A" w:rsidR="0089333A" w:rsidP="00726054" w:rsidRDefault="00C12F9B" w14:paraId="0E9E0878" w14:textId="526BDB82">
            <w:pPr>
              <w:pStyle w:val="ListParagraph"/>
              <w:ind w:left="0"/>
              <w:rPr>
                <w:i/>
                <w:iCs/>
                <w:color w:val="0000FF"/>
                <w:szCs w:val="20"/>
                <w:u w:val="single"/>
              </w:rPr>
            </w:pPr>
            <w:hyperlink w:history="1" r:id="rId21">
              <w:r w:rsidR="00472A1F">
                <w:rPr>
                  <w:rStyle w:val="Hyperlink"/>
                  <w:i/>
                </w:rPr>
                <w:t>Alessia.Cova@eesc.europa.eu</w:t>
              </w:r>
            </w:hyperlink>
          </w:p>
        </w:tc>
      </w:tr>
      <w:bookmarkEnd w:id="9"/>
      <w:bookmarkEnd w:id="10"/>
      <w:bookmarkEnd w:id="11"/>
    </w:tbl>
    <w:p w:rsidR="005A67F3" w:rsidRDefault="005A67F3" w14:paraId="3585ED26" w14:textId="6DE79AE7">
      <w:pPr>
        <w:spacing w:after="160" w:line="259" w:lineRule="auto"/>
        <w:jc w:val="left"/>
        <w:rPr>
          <w:b/>
          <w:i/>
          <w:sz w:val="28"/>
          <w:szCs w:val="28"/>
        </w:rPr>
      </w:pPr>
    </w:p>
    <w:p w:rsidR="005A67F3" w:rsidRDefault="005A67F3" w14:paraId="3792A077" w14:textId="1F4E73F4">
      <w:pPr>
        <w:spacing w:after="160" w:line="259" w:lineRule="auto"/>
        <w:jc w:val="left"/>
        <w:rPr>
          <w:b/>
          <w:i/>
          <w:sz w:val="28"/>
          <w:szCs w:val="28"/>
        </w:rPr>
      </w:pPr>
      <w:r>
        <w:br w:type="page"/>
      </w:r>
    </w:p>
    <w:p w:rsidRPr="009B70E7" w:rsidR="0089333A" w:rsidP="0089333A" w:rsidRDefault="005A67F3" w14:paraId="23FDA58C" w14:textId="7574F530">
      <w:pPr>
        <w:pStyle w:val="ListParagraph"/>
        <w:keepNext/>
        <w:numPr>
          <w:ilvl w:val="0"/>
          <w:numId w:val="2"/>
        </w:numPr>
        <w:ind w:left="567" w:hanging="567"/>
        <w:rPr>
          <w:b/>
          <w:i/>
          <w:sz w:val="28"/>
          <w:szCs w:val="28"/>
        </w:rPr>
      </w:pPr>
      <w:bookmarkStart w:name="_Hlk130222751" w:id="12"/>
      <w:r>
        <w:rPr>
          <w:b/>
          <w:i/>
          <w:sz w:val="28"/>
        </w:rPr>
        <w:lastRenderedPageBreak/>
        <w:t>Recomandare privind venitul minim</w:t>
      </w:r>
    </w:p>
    <w:p w:rsidRPr="009B70E7" w:rsidR="0089333A" w:rsidP="0089333A" w:rsidRDefault="0089333A" w14:paraId="54C4B34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89333A" w:rsidTr="00726054" w14:paraId="79D5C60F" w14:textId="77777777">
        <w:trPr>
          <w:cantSplit/>
          <w:trHeight w:val="284" w:hRule="exact"/>
        </w:trPr>
        <w:tc>
          <w:tcPr>
            <w:tcW w:w="1701" w:type="dxa"/>
          </w:tcPr>
          <w:p w:rsidR="0089333A" w:rsidP="00726054" w:rsidRDefault="0089333A" w14:paraId="191E1584" w14:textId="0C93C0EC">
            <w:pPr>
              <w:pStyle w:val="ListParagraph"/>
              <w:spacing w:line="240" w:lineRule="auto"/>
              <w:ind w:left="-142" w:firstLine="142"/>
              <w:rPr>
                <w:b/>
              </w:rPr>
            </w:pPr>
            <w:r>
              <w:rPr>
                <w:b/>
              </w:rPr>
              <w:t>Raportori</w:t>
            </w:r>
          </w:p>
          <w:p w:rsidRPr="009B70E7" w:rsidR="0089333A" w:rsidP="00726054" w:rsidRDefault="0089333A" w14:paraId="322C2C51" w14:textId="77777777">
            <w:pPr>
              <w:pStyle w:val="ListParagraph"/>
              <w:keepNext/>
              <w:ind w:left="0"/>
              <w:rPr>
                <w:b/>
              </w:rPr>
            </w:pPr>
          </w:p>
        </w:tc>
        <w:tc>
          <w:tcPr>
            <w:tcW w:w="6096" w:type="dxa"/>
          </w:tcPr>
          <w:p w:rsidRPr="009B70E7" w:rsidR="0089333A" w:rsidP="00726054" w:rsidRDefault="0089333A" w14:paraId="63ACDE37" w14:textId="48E2F8B0">
            <w:pPr>
              <w:pStyle w:val="ListParagraph"/>
              <w:ind w:left="-52"/>
            </w:pPr>
            <w:proofErr w:type="spellStart"/>
            <w:r>
              <w:t>Jason</w:t>
            </w:r>
            <w:proofErr w:type="spellEnd"/>
            <w:r>
              <w:t xml:space="preserve"> DEGUARA (Grupul „Lucrători” – MT)</w:t>
            </w:r>
          </w:p>
        </w:tc>
      </w:tr>
      <w:tr w:rsidRPr="009B70E7" w:rsidR="0089333A" w:rsidTr="00726054" w14:paraId="6A867701" w14:textId="77777777">
        <w:trPr>
          <w:cantSplit/>
          <w:trHeight w:val="567" w:hRule="exact"/>
        </w:trPr>
        <w:tc>
          <w:tcPr>
            <w:tcW w:w="1701" w:type="dxa"/>
          </w:tcPr>
          <w:p w:rsidRPr="009B70E7" w:rsidR="0089333A" w:rsidP="00726054" w:rsidRDefault="0089333A" w14:paraId="191C24BD" w14:textId="181F873C">
            <w:pPr>
              <w:pStyle w:val="ListParagraph"/>
              <w:ind w:left="0"/>
              <w:rPr>
                <w:b/>
              </w:rPr>
            </w:pPr>
          </w:p>
        </w:tc>
        <w:tc>
          <w:tcPr>
            <w:tcW w:w="6096" w:type="dxa"/>
          </w:tcPr>
          <w:p w:rsidRPr="009B70E7" w:rsidR="0089333A" w:rsidP="00726054" w:rsidRDefault="005A67F3" w14:paraId="67BA20BA" w14:textId="0C9F80AE">
            <w:pPr>
              <w:pStyle w:val="ListParagraph"/>
              <w:ind w:left="-52"/>
            </w:pPr>
            <w:r>
              <w:t>Paul SOETE (Grupul „Angajatori” – BE)</w:t>
            </w:r>
          </w:p>
        </w:tc>
      </w:tr>
      <w:tr w:rsidRPr="00627B8F" w:rsidR="0089333A" w:rsidTr="00726054" w14:paraId="19C8DB2D" w14:textId="77777777">
        <w:tc>
          <w:tcPr>
            <w:tcW w:w="1701" w:type="dxa"/>
          </w:tcPr>
          <w:p w:rsidRPr="009B70E7" w:rsidR="0089333A" w:rsidP="00726054" w:rsidRDefault="0089333A" w14:paraId="43904FBC" w14:textId="77777777">
            <w:pPr>
              <w:pStyle w:val="ListParagraph"/>
              <w:ind w:left="0"/>
              <w:rPr>
                <w:b/>
              </w:rPr>
            </w:pPr>
            <w:r>
              <w:rPr>
                <w:b/>
              </w:rPr>
              <w:t xml:space="preserve">Referințe </w:t>
            </w:r>
          </w:p>
        </w:tc>
        <w:tc>
          <w:tcPr>
            <w:tcW w:w="6096" w:type="dxa"/>
          </w:tcPr>
          <w:p w:rsidRPr="00E119DF" w:rsidR="0089333A" w:rsidP="00726054" w:rsidRDefault="0089333A" w14:paraId="124FA821" w14:textId="77235BF4">
            <w:pPr>
              <w:pStyle w:val="ListParagraph"/>
              <w:ind w:left="-52"/>
            </w:pPr>
            <w:r>
              <w:t>COM(2022) 490 final</w:t>
            </w:r>
          </w:p>
          <w:p w:rsidRPr="00E119DF" w:rsidR="0089333A" w:rsidP="00726054" w:rsidRDefault="0089333A" w14:paraId="14F1C2BF" w14:textId="6B74FC11">
            <w:pPr>
              <w:pStyle w:val="ListParagraph"/>
              <w:ind w:left="-52"/>
            </w:pPr>
            <w:r>
              <w:t>EESC-2022-04756-00-00-AC</w:t>
            </w:r>
          </w:p>
        </w:tc>
      </w:tr>
    </w:tbl>
    <w:p w:rsidR="0089333A" w:rsidP="0089333A" w:rsidRDefault="0089333A" w14:paraId="498D1341" w14:textId="77777777">
      <w:pPr>
        <w:pStyle w:val="ListParagraph"/>
        <w:spacing w:line="240" w:lineRule="auto"/>
        <w:ind w:left="-142" w:firstLine="284"/>
        <w:rPr>
          <w:b/>
        </w:rPr>
      </w:pPr>
    </w:p>
    <w:p w:rsidRPr="0070677E" w:rsidR="0089333A" w:rsidP="0089333A" w:rsidRDefault="0089333A" w14:paraId="44289083" w14:textId="77777777">
      <w:pPr>
        <w:pStyle w:val="ListParagraph"/>
        <w:spacing w:line="240" w:lineRule="auto"/>
        <w:ind w:left="0"/>
        <w:rPr>
          <w:b/>
        </w:rPr>
      </w:pPr>
      <w:r>
        <w:rPr>
          <w:b/>
        </w:rPr>
        <w:t>Punctele principale:</w:t>
      </w:r>
    </w:p>
    <w:p w:rsidRPr="009B70E7" w:rsidR="0089333A" w:rsidP="0089333A" w:rsidRDefault="0089333A" w14:paraId="633CBAA5" w14:textId="77777777">
      <w:pPr>
        <w:pStyle w:val="ListParagraph"/>
        <w:ind w:left="0"/>
      </w:pPr>
    </w:p>
    <w:p w:rsidRPr="002E62B0" w:rsidR="0089333A" w:rsidP="0089333A" w:rsidRDefault="0089333A" w14:paraId="2BD1299A" w14:textId="77777777">
      <w:pPr>
        <w:pStyle w:val="ListParagraph"/>
        <w:spacing w:line="240" w:lineRule="auto"/>
        <w:ind w:left="0"/>
        <w:rPr>
          <w:bCs/>
        </w:rPr>
      </w:pPr>
      <w:r>
        <w:t>CESE:</w:t>
      </w:r>
    </w:p>
    <w:p w:rsidRPr="009B70E7" w:rsidR="0089333A" w:rsidP="0089333A" w:rsidRDefault="0089333A" w14:paraId="1235D4BC" w14:textId="77777777">
      <w:pPr>
        <w:pStyle w:val="ListParagraph"/>
        <w:ind w:left="0"/>
      </w:pPr>
    </w:p>
    <w:p w:rsidR="005A67F3" w:rsidP="005A67F3" w:rsidRDefault="005A67F3" w14:paraId="58EB93ED" w14:textId="77777777">
      <w:pPr>
        <w:pStyle w:val="ListParagraph"/>
        <w:numPr>
          <w:ilvl w:val="0"/>
          <w:numId w:val="3"/>
        </w:numPr>
        <w:ind w:left="357" w:hanging="357"/>
      </w:pPr>
      <w:r>
        <w:t>salută conținutul recomandării, în special punerea în aplicare a unor criterii realiste și suficiente pentru nivelul și accesibilitatea venitului minim, garanția legală a acestuia și sistemul de raportare;</w:t>
      </w:r>
    </w:p>
    <w:p w:rsidR="005A67F3" w:rsidP="005A67F3" w:rsidRDefault="005A67F3" w14:paraId="459C7AA3" w14:textId="77777777">
      <w:pPr>
        <w:pStyle w:val="ListParagraph"/>
        <w:numPr>
          <w:ilvl w:val="0"/>
          <w:numId w:val="3"/>
        </w:numPr>
        <w:ind w:left="357" w:hanging="357"/>
      </w:pPr>
      <w:r>
        <w:t>solicită stabilirea unei metodologii solide pentru stabilirea și nivelul prestațiilor de venit minim, pentru a ține seama de diferitele surse de venit și de situațiile specifice ale gospodăriilor; consideră că sistemele de venit minim ar trebui să facă parte din strategiile naționale de combatere a sărăciei, care integrează măsuri menite să asigure, printre altele, salarii echitabile și locuri de muncă decente, precum și accesul la servicii esențiale de bună calitate și la prețuri accesibile;</w:t>
      </w:r>
    </w:p>
    <w:p w:rsidR="005A67F3" w:rsidP="005A67F3" w:rsidRDefault="005A67F3" w14:paraId="490915C0" w14:textId="77777777">
      <w:pPr>
        <w:pStyle w:val="ListParagraph"/>
        <w:numPr>
          <w:ilvl w:val="0"/>
          <w:numId w:val="3"/>
        </w:numPr>
        <w:ind w:left="357" w:hanging="357"/>
      </w:pPr>
      <w:r>
        <w:t xml:space="preserve">subliniază necesitatea unei abordări pentru toți bazate pe dreptul  la un venit minim adecvat și care să nu lase pe nimeni în urmă, să nu aibă criterii excesiv de restrictive și să fie măsurat cu precizie pentru a asigura eficacitatea acestuia; insistă asupra necesității de a menține veniturile minime în funcție de inflație și de a face acest lucru în mod regulat, cu sprijinul organizațiilor societății civile, al partenerilor sociali și al organizațiilor de protecție socială; propune ca statele membre să evalueze nivelurile venitului minim cel puțin o dată pe an; </w:t>
      </w:r>
    </w:p>
    <w:p w:rsidR="005A67F3" w:rsidP="005A67F3" w:rsidRDefault="005A67F3" w14:paraId="69C6C411" w14:textId="77777777">
      <w:pPr>
        <w:pStyle w:val="ListParagraph"/>
        <w:numPr>
          <w:ilvl w:val="0"/>
          <w:numId w:val="3"/>
        </w:numPr>
        <w:ind w:left="357" w:hanging="357"/>
      </w:pPr>
      <w:r>
        <w:t xml:space="preserve">solicită să se acorde o atenție deosebită unor grupuri specifice, cum ar fi familiile monoparentale, familiile de </w:t>
      </w:r>
      <w:proofErr w:type="spellStart"/>
      <w:r>
        <w:t>migranți</w:t>
      </w:r>
      <w:proofErr w:type="spellEnd"/>
      <w:r>
        <w:t xml:space="preserve">, tinerii, persoanele cu dizabilități și romii; subliniază importanța sistemelor de venit minim pentru persoanele care desfășoară activități independente în Europa; atrage atenția asupra necesității unor sisteme de pensii care să ofere o pensie adecvată, astfel încât pensionarii să nu fie nevoiți să se bazeze pe un ajutor pentru venitul minim; </w:t>
      </w:r>
    </w:p>
    <w:p w:rsidR="0089333A" w:rsidP="005A67F3" w:rsidRDefault="005A67F3" w14:paraId="297E0EE6" w14:textId="078739F3">
      <w:pPr>
        <w:pStyle w:val="ListParagraph"/>
        <w:numPr>
          <w:ilvl w:val="0"/>
          <w:numId w:val="3"/>
        </w:numPr>
        <w:ind w:left="357" w:hanging="357"/>
      </w:pPr>
      <w:r>
        <w:t>consideră că sistemele de venit minim ar trebui să includă atât servicii în numerar, cât și servicii în natură pentru cei care nu pot lucra sau pentru care este aproape imposibil să muncească; ar trebui instituite criterii de acces transparente și nediscriminatorii în statele membre pentru a aborda aspectele legate de acoperire.</w:t>
      </w:r>
    </w:p>
    <w:p w:rsidRPr="00FE234C" w:rsidR="0089333A" w:rsidP="0089333A" w:rsidRDefault="0089333A" w14:paraId="640E43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89333A" w:rsidTr="0097506E" w14:paraId="56FD67A6" w14:textId="77777777">
        <w:tc>
          <w:tcPr>
            <w:tcW w:w="1701" w:type="dxa"/>
          </w:tcPr>
          <w:p w:rsidRPr="009B70E7" w:rsidR="0089333A" w:rsidP="00726054" w:rsidRDefault="0089333A" w14:paraId="12435D2F" w14:textId="77777777">
            <w:pPr>
              <w:pStyle w:val="ListParagraph"/>
              <w:ind w:left="0"/>
              <w:rPr>
                <w:i/>
              </w:rPr>
            </w:pPr>
            <w:r>
              <w:rPr>
                <w:b/>
                <w:i/>
              </w:rPr>
              <w:t>Date de contact</w:t>
            </w:r>
          </w:p>
        </w:tc>
        <w:tc>
          <w:tcPr>
            <w:tcW w:w="5387" w:type="dxa"/>
          </w:tcPr>
          <w:p w:rsidRPr="009B70E7" w:rsidR="0089333A" w:rsidP="00726054" w:rsidRDefault="005A67F3" w14:paraId="3D5A9470" w14:textId="75B0DCA8">
            <w:pPr>
              <w:pStyle w:val="ListParagraph"/>
              <w:ind w:left="0"/>
              <w:rPr>
                <w:i/>
              </w:rPr>
            </w:pPr>
            <w:r>
              <w:rPr>
                <w:i/>
              </w:rPr>
              <w:t>Sabrina Borg</w:t>
            </w:r>
          </w:p>
        </w:tc>
      </w:tr>
      <w:tr w:rsidRPr="009B70E7" w:rsidR="0089333A" w:rsidTr="0097506E" w14:paraId="07F76748" w14:textId="77777777">
        <w:tc>
          <w:tcPr>
            <w:tcW w:w="1701" w:type="dxa"/>
          </w:tcPr>
          <w:p w:rsidRPr="009B70E7" w:rsidR="0089333A" w:rsidP="00726054" w:rsidRDefault="0089333A" w14:paraId="527E38C6" w14:textId="77777777">
            <w:pPr>
              <w:pStyle w:val="ListParagraph"/>
              <w:ind w:left="601"/>
              <w:rPr>
                <w:i/>
              </w:rPr>
            </w:pPr>
            <w:r>
              <w:rPr>
                <w:i/>
              </w:rPr>
              <w:t>Tel.:</w:t>
            </w:r>
          </w:p>
        </w:tc>
        <w:tc>
          <w:tcPr>
            <w:tcW w:w="5387" w:type="dxa"/>
          </w:tcPr>
          <w:p w:rsidRPr="009B70E7" w:rsidR="0089333A" w:rsidP="00726054" w:rsidRDefault="0089333A" w14:paraId="4F54EC3B" w14:textId="2A54A57D">
            <w:pPr>
              <w:pStyle w:val="ListParagraph"/>
              <w:ind w:left="0"/>
              <w:rPr>
                <w:i/>
              </w:rPr>
            </w:pPr>
            <w:r>
              <w:rPr>
                <w:i/>
              </w:rPr>
              <w:t>00 32 2 546 97 27</w:t>
            </w:r>
          </w:p>
        </w:tc>
      </w:tr>
      <w:tr w:rsidRPr="001D770D" w:rsidR="0089333A" w:rsidTr="0097506E" w14:paraId="1C39FDC0" w14:textId="77777777">
        <w:tc>
          <w:tcPr>
            <w:tcW w:w="1701" w:type="dxa"/>
          </w:tcPr>
          <w:p w:rsidRPr="009B70E7" w:rsidR="0089333A" w:rsidP="00726054" w:rsidRDefault="0089333A" w14:paraId="3941F273" w14:textId="77777777">
            <w:pPr>
              <w:pStyle w:val="ListParagraph"/>
              <w:ind w:left="601"/>
              <w:rPr>
                <w:i/>
              </w:rPr>
            </w:pPr>
            <w:r>
              <w:rPr>
                <w:i/>
              </w:rPr>
              <w:t>e-mail:</w:t>
            </w:r>
          </w:p>
        </w:tc>
        <w:tc>
          <w:tcPr>
            <w:tcW w:w="5387" w:type="dxa"/>
          </w:tcPr>
          <w:p w:rsidRPr="005A67F3" w:rsidR="0089333A" w:rsidP="00726054" w:rsidRDefault="00C12F9B" w14:paraId="31FEEF95" w14:textId="4EEA05A6">
            <w:pPr>
              <w:pStyle w:val="ListParagraph"/>
              <w:ind w:left="0"/>
              <w:rPr>
                <w:i/>
                <w:iCs/>
                <w:color w:val="0000FF"/>
                <w:u w:val="single"/>
              </w:rPr>
            </w:pPr>
            <w:hyperlink w:history="1" r:id="rId22">
              <w:r w:rsidR="00472A1F">
                <w:rPr>
                  <w:rStyle w:val="Hyperlink"/>
                  <w:i/>
                </w:rPr>
                <w:t>Sabrina.Borg@eesc.europa.eu</w:t>
              </w:r>
            </w:hyperlink>
          </w:p>
        </w:tc>
      </w:tr>
      <w:bookmarkEnd w:id="12"/>
    </w:tbl>
    <w:p w:rsidR="004E0C44" w:rsidRDefault="004E0C44" w14:paraId="274BEC25" w14:textId="5454489A">
      <w:pPr>
        <w:spacing w:after="160" w:line="259" w:lineRule="auto"/>
        <w:jc w:val="left"/>
        <w:rPr>
          <w:b/>
          <w:i/>
          <w:sz w:val="28"/>
          <w:szCs w:val="28"/>
        </w:rPr>
      </w:pPr>
      <w:r>
        <w:br w:type="page"/>
      </w:r>
    </w:p>
    <w:p w:rsidRPr="00FC2BE8" w:rsidR="00CE7111" w:rsidP="00FC2BE8" w:rsidRDefault="00CE7111" w14:paraId="3F7A4442" w14:textId="77777777">
      <w:pPr>
        <w:pStyle w:val="ListParagraph"/>
        <w:keepNext/>
        <w:ind w:left="0"/>
        <w:rPr>
          <w:b/>
          <w:i/>
        </w:rPr>
      </w:pPr>
    </w:p>
    <w:p w:rsidRPr="009B70E7" w:rsidR="00CE7111" w:rsidP="00CE7111" w:rsidRDefault="005A67F3" w14:paraId="78CF9464" w14:textId="37BB8DA2">
      <w:pPr>
        <w:pStyle w:val="ListParagraph"/>
        <w:keepNext/>
        <w:numPr>
          <w:ilvl w:val="0"/>
          <w:numId w:val="2"/>
        </w:numPr>
        <w:ind w:left="567" w:hanging="567"/>
        <w:rPr>
          <w:b/>
          <w:i/>
          <w:sz w:val="28"/>
          <w:szCs w:val="28"/>
        </w:rPr>
      </w:pPr>
      <w:r>
        <w:rPr>
          <w:b/>
          <w:i/>
          <w:sz w:val="28"/>
        </w:rPr>
        <w:t>Rolul tinerilor în tranziția verde</w:t>
      </w:r>
    </w:p>
    <w:p w:rsidRPr="009B70E7" w:rsidR="005A67F3" w:rsidP="00CE7111" w:rsidRDefault="005A67F3" w14:paraId="0F9A9FA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938"/>
      </w:tblGrid>
      <w:tr w:rsidRPr="009B70E7" w:rsidR="00CE7111" w:rsidTr="00726054" w14:paraId="00EE265E" w14:textId="77777777">
        <w:trPr>
          <w:cantSplit/>
          <w:trHeight w:val="284" w:hRule="exact"/>
        </w:trPr>
        <w:tc>
          <w:tcPr>
            <w:tcW w:w="1701" w:type="dxa"/>
          </w:tcPr>
          <w:p w:rsidR="00CE7111" w:rsidP="00726054" w:rsidRDefault="00CE7111" w14:paraId="242C44FC" w14:textId="77777777">
            <w:pPr>
              <w:pStyle w:val="ListParagraph"/>
              <w:spacing w:line="240" w:lineRule="auto"/>
              <w:ind w:left="-142" w:firstLine="142"/>
              <w:rPr>
                <w:b/>
              </w:rPr>
            </w:pPr>
            <w:r>
              <w:rPr>
                <w:b/>
              </w:rPr>
              <w:t>Raportoare</w:t>
            </w:r>
          </w:p>
          <w:p w:rsidRPr="009B70E7" w:rsidR="00CE7111" w:rsidP="00726054" w:rsidRDefault="00CE7111" w14:paraId="515F35BD" w14:textId="77777777">
            <w:pPr>
              <w:pStyle w:val="ListParagraph"/>
              <w:keepNext/>
              <w:ind w:left="0"/>
              <w:rPr>
                <w:b/>
              </w:rPr>
            </w:pPr>
          </w:p>
        </w:tc>
        <w:tc>
          <w:tcPr>
            <w:tcW w:w="7938" w:type="dxa"/>
          </w:tcPr>
          <w:p w:rsidR="00CE7111" w:rsidP="00726054" w:rsidRDefault="00C87097" w14:paraId="4C9D645C" w14:textId="508A169E">
            <w:pPr>
              <w:pStyle w:val="ListParagraph"/>
              <w:ind w:left="-52" w:right="-1618"/>
            </w:pPr>
            <w:proofErr w:type="spellStart"/>
            <w:r>
              <w:t>Nicoletta</w:t>
            </w:r>
            <w:proofErr w:type="spellEnd"/>
            <w:r>
              <w:t xml:space="preserve"> MERLO (Grupul „Lucrători” – IT)</w:t>
            </w:r>
          </w:p>
          <w:p w:rsidR="005A67F3" w:rsidP="00726054" w:rsidRDefault="005A67F3" w14:paraId="1DCB5A7C" w14:textId="77777777">
            <w:pPr>
              <w:pStyle w:val="ListParagraph"/>
              <w:ind w:left="-52" w:right="-1618"/>
            </w:pPr>
          </w:p>
          <w:p w:rsidR="005A67F3" w:rsidP="00726054" w:rsidRDefault="005A67F3" w14:paraId="7E1A896D" w14:textId="77777777">
            <w:pPr>
              <w:pStyle w:val="ListParagraph"/>
              <w:ind w:left="-52" w:right="-1618"/>
            </w:pPr>
          </w:p>
          <w:p w:rsidR="005A67F3" w:rsidP="00726054" w:rsidRDefault="005A67F3" w14:paraId="68373C07" w14:textId="77777777">
            <w:pPr>
              <w:pStyle w:val="ListParagraph"/>
              <w:ind w:left="-52" w:right="-1618"/>
            </w:pPr>
          </w:p>
          <w:p w:rsidR="00CE7111" w:rsidP="00726054" w:rsidRDefault="00CE7111" w14:paraId="4D1FE8F3" w14:textId="77777777">
            <w:pPr>
              <w:pStyle w:val="ListParagraph"/>
              <w:ind w:left="-52"/>
            </w:pPr>
          </w:p>
          <w:p w:rsidRPr="009B70E7" w:rsidR="00CE7111" w:rsidP="00726054" w:rsidRDefault="00CE7111" w14:paraId="5C388FB6" w14:textId="77777777">
            <w:pPr>
              <w:pStyle w:val="ListParagraph"/>
              <w:ind w:left="-52"/>
            </w:pPr>
          </w:p>
        </w:tc>
      </w:tr>
      <w:tr w:rsidRPr="00627B8F" w:rsidR="005A67F3" w:rsidTr="00726054" w14:paraId="6B3250F4" w14:textId="77777777">
        <w:tc>
          <w:tcPr>
            <w:tcW w:w="1701" w:type="dxa"/>
          </w:tcPr>
          <w:p w:rsidRPr="009B70E7" w:rsidR="005A67F3" w:rsidP="00726054" w:rsidRDefault="005A67F3" w14:paraId="609A3794" w14:textId="77777777">
            <w:pPr>
              <w:pStyle w:val="ListParagraph"/>
              <w:ind w:left="0"/>
              <w:rPr>
                <w:b/>
              </w:rPr>
            </w:pPr>
          </w:p>
        </w:tc>
        <w:tc>
          <w:tcPr>
            <w:tcW w:w="7938" w:type="dxa"/>
          </w:tcPr>
          <w:p w:rsidR="005A67F3" w:rsidP="00726054" w:rsidRDefault="005A67F3" w14:paraId="17532154" w14:textId="77777777">
            <w:pPr>
              <w:pStyle w:val="ListParagraph"/>
              <w:ind w:left="-52"/>
            </w:pPr>
          </w:p>
        </w:tc>
      </w:tr>
      <w:tr w:rsidRPr="00627B8F" w:rsidR="00CE7111" w:rsidTr="00726054" w14:paraId="03CE010C" w14:textId="77777777">
        <w:tc>
          <w:tcPr>
            <w:tcW w:w="1701" w:type="dxa"/>
          </w:tcPr>
          <w:p w:rsidRPr="009B70E7" w:rsidR="00CE7111" w:rsidP="00726054" w:rsidRDefault="00CE7111" w14:paraId="33E40C80" w14:textId="1D5B064A">
            <w:pPr>
              <w:pStyle w:val="ListParagraph"/>
              <w:ind w:left="0"/>
              <w:rPr>
                <w:b/>
              </w:rPr>
            </w:pPr>
            <w:r>
              <w:rPr>
                <w:b/>
              </w:rPr>
              <w:t>Referințe</w:t>
            </w:r>
          </w:p>
        </w:tc>
        <w:tc>
          <w:tcPr>
            <w:tcW w:w="7938" w:type="dxa"/>
          </w:tcPr>
          <w:p w:rsidRPr="00E119DF" w:rsidR="00CE7111" w:rsidP="00726054" w:rsidRDefault="00C87097" w14:paraId="4EC067DC" w14:textId="6324B467">
            <w:pPr>
              <w:pStyle w:val="ListParagraph"/>
              <w:ind w:left="-52"/>
            </w:pPr>
            <w:r>
              <w:t>(aviz exploratoriu la solicitarea Președinției suedeze)</w:t>
            </w:r>
          </w:p>
          <w:p w:rsidRPr="00E119DF" w:rsidR="00CE7111" w:rsidP="00726054" w:rsidRDefault="00CE7111" w14:paraId="465D4933" w14:textId="73F34CF3">
            <w:pPr>
              <w:pStyle w:val="ListParagraph"/>
              <w:ind w:left="-52"/>
            </w:pPr>
            <w:r>
              <w:t>EESC-2023-00128-00-00-AC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Punctele principale:</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CESE:</w:t>
      </w:r>
    </w:p>
    <w:p w:rsidRPr="009B70E7" w:rsidR="00CE7111" w:rsidP="00CE7111" w:rsidRDefault="00CE7111" w14:paraId="111000EE" w14:textId="77777777">
      <w:pPr>
        <w:pStyle w:val="ListParagraph"/>
        <w:ind w:left="0"/>
      </w:pPr>
    </w:p>
    <w:p w:rsidR="00C87097" w:rsidP="00C87097" w:rsidRDefault="00C87097" w14:paraId="204067AD" w14:textId="77777777">
      <w:pPr>
        <w:pStyle w:val="ListParagraph"/>
        <w:numPr>
          <w:ilvl w:val="0"/>
          <w:numId w:val="3"/>
        </w:numPr>
        <w:ind w:left="357" w:hanging="357"/>
      </w:pPr>
      <w:r>
        <w:t>consideră că pentru a permite tinerilor să joace un rol determinant în contextul tranziției verzi, este esențial să se elaboreze un nou model de guvernanță, mai favorabil incluziunii și capabil să asigure implicarea activă a tinerilor în procesele decizionale;</w:t>
      </w:r>
    </w:p>
    <w:p w:rsidR="00C87097" w:rsidP="00C87097" w:rsidRDefault="00C87097" w14:paraId="754218CC" w14:textId="77777777">
      <w:pPr>
        <w:pStyle w:val="ListParagraph"/>
        <w:numPr>
          <w:ilvl w:val="0"/>
          <w:numId w:val="3"/>
        </w:numPr>
        <w:ind w:left="357" w:hanging="357"/>
      </w:pPr>
      <w:r>
        <w:t>subliniază că este important să se garanteze că organizațiile de tineret joacă un rol de lider în procesul decizional și în dezvoltarea și diseminarea proiectelor legate de sustenabilitate și de mediu; în acest sens, solicită instituțiilor UE să ofere acestor asociații sprijin financiar structural prin resurse adecvate și specifice, astfel încât organizațiile de tineret să dispună de condițiile necesare pentru a asigura și a dezvolta implicarea tinerilor în tranziția verde;</w:t>
      </w:r>
    </w:p>
    <w:p w:rsidR="00C87097" w:rsidP="00C87097" w:rsidRDefault="00C87097" w14:paraId="1F84D0BD" w14:textId="77777777">
      <w:pPr>
        <w:pStyle w:val="ListParagraph"/>
        <w:numPr>
          <w:ilvl w:val="0"/>
          <w:numId w:val="3"/>
        </w:numPr>
        <w:ind w:left="357" w:hanging="357"/>
      </w:pPr>
      <w:r>
        <w:t>consideră necesar ca aspectele legate de sustenabilitate și de protecția mediului să înceapă să fie predate de la o vârstă fragedă; subliniază că este important ca lucrătorii, atât cei tineri, cât și cei mai în vârstă, să fie înzestrați cu competențele necesare pentru a putea gestiona inovarea generată de tranziția verde, punându-se accentul pe învățarea la locul de muncă, pe formarea la locul de muncă și pe stagiile de practică și uceniciile de calitate; este important ca inițiativele și politicile care vor fi adoptate în contextul Anului european al competențelor să fie corelate cu tema tranziției verzi și a dezvoltării durabile și cu provocările cu care se confruntă tinerii într-o lume aflată în schimbare rapidă;</w:t>
      </w:r>
    </w:p>
    <w:p w:rsidR="00C87097" w:rsidP="00C87097" w:rsidRDefault="00C87097" w14:paraId="49852C82" w14:textId="77777777">
      <w:pPr>
        <w:pStyle w:val="ListParagraph"/>
        <w:numPr>
          <w:ilvl w:val="0"/>
          <w:numId w:val="3"/>
        </w:numPr>
        <w:ind w:left="357" w:hanging="357"/>
      </w:pPr>
      <w:r>
        <w:t>încurajează instituțiile UE și statele membre să pună în aplicare măsuri care să garanteze că perspectiva tineretului este luată în considerare în toate domeniile de politică și să creeze un spațiu în care tinerii să poată aduce o contribuție coerentă și bazată pe competențe la provocările cu care se confruntă, prin adoptarea deplină a testului UE pentru tineret;</w:t>
      </w:r>
    </w:p>
    <w:p w:rsidR="00CE7111" w:rsidP="00C87097" w:rsidRDefault="00C87097" w14:paraId="6CACA9BC" w14:textId="1D1BAB3E">
      <w:pPr>
        <w:pStyle w:val="ListParagraph"/>
        <w:numPr>
          <w:ilvl w:val="0"/>
          <w:numId w:val="3"/>
        </w:numPr>
        <w:ind w:left="357" w:hanging="357"/>
      </w:pPr>
      <w:r>
        <w:t>consideră că statele membre ar trebui să investească resurse semnificative pentru sprijinirea întreprinderilor care trebuie să-și convertească activitățile, pentru remobilizarea lucrătorilor care au fost concediați și pentru sprijinirea antreprenorilor, mai ales a celor tineri, care intenționează să investească în întreprinderi verzi; de asemenea, este nevoie de mai multe resurse pentru a oferi tinerilor orientare profesională la școală și pentru a-i sprijini în vederea intrării lor în câmpul muncii.</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A67F3" w:rsidTr="0097506E" w14:paraId="1E17F130" w14:textId="77777777">
        <w:tc>
          <w:tcPr>
            <w:tcW w:w="1701" w:type="dxa"/>
          </w:tcPr>
          <w:p w:rsidRPr="009B70E7" w:rsidR="005A67F3" w:rsidP="00726054" w:rsidRDefault="005A67F3" w14:paraId="0A579510" w14:textId="77777777">
            <w:pPr>
              <w:pStyle w:val="ListParagraph"/>
              <w:ind w:left="0"/>
              <w:rPr>
                <w:i/>
              </w:rPr>
            </w:pPr>
            <w:r>
              <w:rPr>
                <w:b/>
                <w:i/>
              </w:rPr>
              <w:t>Date de contact</w:t>
            </w:r>
          </w:p>
        </w:tc>
        <w:tc>
          <w:tcPr>
            <w:tcW w:w="5387" w:type="dxa"/>
          </w:tcPr>
          <w:p w:rsidRPr="009B70E7" w:rsidR="005A67F3" w:rsidP="00726054" w:rsidRDefault="005A67F3" w14:paraId="5CFE2D2D" w14:textId="77777777">
            <w:pPr>
              <w:pStyle w:val="ListParagraph"/>
              <w:ind w:left="0"/>
              <w:rPr>
                <w:i/>
              </w:rPr>
            </w:pPr>
            <w:r>
              <w:rPr>
                <w:i/>
              </w:rPr>
              <w:t>Sabrina Borg</w:t>
            </w:r>
          </w:p>
        </w:tc>
      </w:tr>
      <w:tr w:rsidRPr="009B70E7" w:rsidR="005A67F3" w:rsidTr="0097506E" w14:paraId="2BA2718A" w14:textId="77777777">
        <w:tc>
          <w:tcPr>
            <w:tcW w:w="1701" w:type="dxa"/>
          </w:tcPr>
          <w:p w:rsidRPr="009B70E7" w:rsidR="005A67F3" w:rsidP="00726054" w:rsidRDefault="005A67F3" w14:paraId="178C901D" w14:textId="77777777">
            <w:pPr>
              <w:pStyle w:val="ListParagraph"/>
              <w:ind w:left="601"/>
              <w:rPr>
                <w:i/>
              </w:rPr>
            </w:pPr>
            <w:r>
              <w:rPr>
                <w:i/>
              </w:rPr>
              <w:t>Tel.:</w:t>
            </w:r>
          </w:p>
        </w:tc>
        <w:tc>
          <w:tcPr>
            <w:tcW w:w="5387" w:type="dxa"/>
          </w:tcPr>
          <w:p w:rsidRPr="009B70E7" w:rsidR="005A67F3" w:rsidP="00726054" w:rsidRDefault="005A67F3" w14:paraId="06815B91" w14:textId="77777777">
            <w:pPr>
              <w:pStyle w:val="ListParagraph"/>
              <w:ind w:left="0"/>
              <w:rPr>
                <w:i/>
              </w:rPr>
            </w:pPr>
            <w:r>
              <w:rPr>
                <w:i/>
              </w:rPr>
              <w:t>00 32 2 546 97 27</w:t>
            </w:r>
          </w:p>
        </w:tc>
      </w:tr>
      <w:tr w:rsidRPr="005A67F3" w:rsidR="005A67F3" w:rsidTr="0097506E" w14:paraId="1E1095EF" w14:textId="77777777">
        <w:tc>
          <w:tcPr>
            <w:tcW w:w="1701" w:type="dxa"/>
          </w:tcPr>
          <w:p w:rsidRPr="009B70E7" w:rsidR="005A67F3" w:rsidP="00726054" w:rsidRDefault="005A67F3" w14:paraId="11EA86E3" w14:textId="77777777">
            <w:pPr>
              <w:pStyle w:val="ListParagraph"/>
              <w:ind w:left="601"/>
              <w:rPr>
                <w:i/>
              </w:rPr>
            </w:pPr>
            <w:r>
              <w:rPr>
                <w:i/>
              </w:rPr>
              <w:t>e-mail:</w:t>
            </w:r>
          </w:p>
        </w:tc>
        <w:tc>
          <w:tcPr>
            <w:tcW w:w="5387" w:type="dxa"/>
          </w:tcPr>
          <w:p w:rsidRPr="005A67F3" w:rsidR="005A67F3" w:rsidP="00726054" w:rsidRDefault="00C12F9B" w14:paraId="6D457E71" w14:textId="77777777">
            <w:pPr>
              <w:pStyle w:val="ListParagraph"/>
              <w:ind w:left="0"/>
              <w:rPr>
                <w:i/>
                <w:iCs/>
                <w:color w:val="0000FF"/>
                <w:u w:val="single"/>
              </w:rPr>
            </w:pPr>
            <w:hyperlink w:history="1" r:id="rId23">
              <w:r w:rsidR="00472A1F">
                <w:rPr>
                  <w:rStyle w:val="Hyperlink"/>
                  <w:i/>
                </w:rPr>
                <w:t>Sabrina.Borg@eesc.europa.eu</w:t>
              </w:r>
            </w:hyperlink>
          </w:p>
        </w:tc>
      </w:tr>
    </w:tbl>
    <w:p w:rsidR="004E0C44" w:rsidRDefault="004E0C44" w14:paraId="510F214D" w14:textId="15095FE8">
      <w:pPr>
        <w:spacing w:after="160" w:line="259" w:lineRule="auto"/>
        <w:jc w:val="left"/>
      </w:pPr>
    </w:p>
    <w:p w:rsidR="00C87097" w:rsidRDefault="00C87097" w14:paraId="30BA2115" w14:textId="574078F9">
      <w:pPr>
        <w:spacing w:after="160" w:line="259" w:lineRule="auto"/>
        <w:jc w:val="left"/>
      </w:pPr>
      <w:r>
        <w:br w:type="page"/>
      </w:r>
    </w:p>
    <w:p w:rsidRPr="00C87097" w:rsidR="00C87097" w:rsidP="00C87097" w:rsidRDefault="00C87097" w14:paraId="2F903669" w14:textId="385BF4F7">
      <w:pPr>
        <w:keepNext/>
        <w:numPr>
          <w:ilvl w:val="0"/>
          <w:numId w:val="2"/>
        </w:numPr>
        <w:ind w:left="567" w:hanging="567"/>
        <w:contextualSpacing/>
        <w:rPr>
          <w:b/>
          <w:i/>
          <w:sz w:val="28"/>
          <w:szCs w:val="28"/>
        </w:rPr>
      </w:pPr>
      <w:bookmarkStart w:name="_Hlk130311599" w:id="13"/>
      <w:r>
        <w:rPr>
          <w:b/>
          <w:i/>
          <w:sz w:val="28"/>
        </w:rPr>
        <w:lastRenderedPageBreak/>
        <w:t>Consolidarea rolului și a independenței organismelor de promovare a egalității</w:t>
      </w:r>
    </w:p>
    <w:p w:rsidRPr="00C87097" w:rsidR="00C87097" w:rsidP="00C87097" w:rsidRDefault="00C87097" w14:paraId="4A842C6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C87097" w:rsidR="00C87097" w:rsidTr="00726054" w14:paraId="27382B2A" w14:textId="77777777">
        <w:trPr>
          <w:cantSplit/>
          <w:trHeight w:val="284" w:hRule="exact"/>
        </w:trPr>
        <w:tc>
          <w:tcPr>
            <w:tcW w:w="1701" w:type="dxa"/>
          </w:tcPr>
          <w:p w:rsidRPr="00C87097" w:rsidR="00C87097" w:rsidP="00C87097" w:rsidRDefault="00C87097" w14:paraId="4BA8C948" w14:textId="77777777">
            <w:pPr>
              <w:spacing w:line="240" w:lineRule="auto"/>
              <w:ind w:left="-142" w:firstLine="142"/>
              <w:contextualSpacing/>
              <w:rPr>
                <w:b/>
              </w:rPr>
            </w:pPr>
            <w:r>
              <w:rPr>
                <w:b/>
              </w:rPr>
              <w:t>Raportori</w:t>
            </w:r>
          </w:p>
          <w:p w:rsidRPr="00C87097" w:rsidR="00C87097" w:rsidP="00C87097" w:rsidRDefault="00C87097" w14:paraId="253EA2C7" w14:textId="77777777">
            <w:pPr>
              <w:keepNext/>
              <w:contextualSpacing/>
              <w:rPr>
                <w:b/>
              </w:rPr>
            </w:pPr>
          </w:p>
        </w:tc>
        <w:tc>
          <w:tcPr>
            <w:tcW w:w="6096" w:type="dxa"/>
          </w:tcPr>
          <w:p w:rsidRPr="00C87097" w:rsidR="00C87097" w:rsidP="00C87097" w:rsidRDefault="00C87097" w14:paraId="6EF77B0A" w14:textId="36376881">
            <w:pPr>
              <w:ind w:left="-52"/>
              <w:contextualSpacing/>
            </w:pPr>
            <w:r>
              <w:t>Sif HOLST (Grupul „Organizații ale societății civile – DK)</w:t>
            </w:r>
          </w:p>
        </w:tc>
      </w:tr>
      <w:tr w:rsidRPr="00C87097" w:rsidR="00C87097" w:rsidTr="00726054" w14:paraId="5C30CFA0" w14:textId="77777777">
        <w:trPr>
          <w:cantSplit/>
          <w:trHeight w:val="567" w:hRule="exact"/>
        </w:trPr>
        <w:tc>
          <w:tcPr>
            <w:tcW w:w="1701" w:type="dxa"/>
          </w:tcPr>
          <w:p w:rsidRPr="00C87097" w:rsidR="00C87097" w:rsidP="00C87097" w:rsidRDefault="00C87097" w14:paraId="30DCBFE7" w14:textId="77777777">
            <w:pPr>
              <w:contextualSpacing/>
              <w:rPr>
                <w:b/>
              </w:rPr>
            </w:pPr>
          </w:p>
        </w:tc>
        <w:tc>
          <w:tcPr>
            <w:tcW w:w="6096" w:type="dxa"/>
          </w:tcPr>
          <w:p w:rsidRPr="00C87097" w:rsidR="00C87097" w:rsidP="00C87097" w:rsidRDefault="00C87097" w14:paraId="1FBACC00" w14:textId="2F6D34A4">
            <w:pPr>
              <w:ind w:left="-52"/>
              <w:contextualSpacing/>
            </w:pPr>
            <w:proofErr w:type="spellStart"/>
            <w:r>
              <w:t>Nicoletta</w:t>
            </w:r>
            <w:proofErr w:type="spellEnd"/>
            <w:r>
              <w:t xml:space="preserve"> MERLO (Grupul „Lucrători” – IT)</w:t>
            </w:r>
          </w:p>
        </w:tc>
      </w:tr>
      <w:tr w:rsidRPr="00C87097" w:rsidR="00C87097" w:rsidTr="00726054" w14:paraId="3129760A" w14:textId="77777777">
        <w:tc>
          <w:tcPr>
            <w:tcW w:w="1701" w:type="dxa"/>
          </w:tcPr>
          <w:p w:rsidRPr="00C87097" w:rsidR="00C87097" w:rsidP="00C87097" w:rsidRDefault="00C87097" w14:paraId="579A0CBB" w14:textId="77777777">
            <w:pPr>
              <w:contextualSpacing/>
              <w:rPr>
                <w:b/>
              </w:rPr>
            </w:pPr>
            <w:r>
              <w:rPr>
                <w:b/>
              </w:rPr>
              <w:t xml:space="preserve">Referință </w:t>
            </w:r>
          </w:p>
        </w:tc>
        <w:tc>
          <w:tcPr>
            <w:tcW w:w="6096" w:type="dxa"/>
          </w:tcPr>
          <w:p w:rsidRPr="00C87097" w:rsidR="00C87097" w:rsidP="00C87097" w:rsidRDefault="00C87097" w14:paraId="4BE75972" w14:textId="2C565E9C">
            <w:pPr>
              <w:ind w:left="-52"/>
              <w:contextualSpacing/>
            </w:pPr>
            <w:r>
              <w:t>COM(2022) 688-689 final</w:t>
            </w:r>
          </w:p>
          <w:p w:rsidRPr="00C87097" w:rsidR="00C87097" w:rsidP="00C87097" w:rsidRDefault="00C87097" w14:paraId="055F3964" w14:textId="558931F4">
            <w:pPr>
              <w:ind w:left="-52"/>
              <w:contextualSpacing/>
            </w:pPr>
            <w:r>
              <w:t>EESC-2022-05875-00-00-AC</w:t>
            </w:r>
          </w:p>
        </w:tc>
      </w:tr>
    </w:tbl>
    <w:p w:rsidRPr="00C87097" w:rsidR="00C87097" w:rsidP="00C87097" w:rsidRDefault="00C87097" w14:paraId="1EA226C4" w14:textId="77777777">
      <w:pPr>
        <w:spacing w:line="240" w:lineRule="auto"/>
        <w:ind w:left="-142" w:firstLine="284"/>
        <w:contextualSpacing/>
        <w:rPr>
          <w:b/>
        </w:rPr>
      </w:pPr>
    </w:p>
    <w:p w:rsidRPr="00C87097" w:rsidR="00C87097" w:rsidP="00C87097" w:rsidRDefault="00C87097" w14:paraId="4DB5EB78" w14:textId="77777777">
      <w:pPr>
        <w:spacing w:line="240" w:lineRule="auto"/>
        <w:contextualSpacing/>
        <w:rPr>
          <w:b/>
        </w:rPr>
      </w:pPr>
      <w:r>
        <w:rPr>
          <w:b/>
        </w:rPr>
        <w:t>Punctele principale:</w:t>
      </w:r>
    </w:p>
    <w:p w:rsidRPr="00C87097" w:rsidR="00C87097" w:rsidP="00C87097" w:rsidRDefault="00C87097" w14:paraId="57173242" w14:textId="77777777">
      <w:pPr>
        <w:contextualSpacing/>
      </w:pPr>
    </w:p>
    <w:p w:rsidRPr="00C87097" w:rsidR="00C87097" w:rsidP="00C87097" w:rsidRDefault="00C87097" w14:paraId="2FEFFBBF" w14:textId="77777777">
      <w:pPr>
        <w:spacing w:line="240" w:lineRule="auto"/>
        <w:contextualSpacing/>
        <w:rPr>
          <w:bCs/>
        </w:rPr>
      </w:pPr>
      <w:r>
        <w:t>CESE:</w:t>
      </w:r>
    </w:p>
    <w:p w:rsidRPr="00C87097" w:rsidR="00C87097" w:rsidP="00C87097" w:rsidRDefault="00C87097" w14:paraId="2499AC33" w14:textId="77777777">
      <w:pPr>
        <w:contextualSpacing/>
      </w:pPr>
    </w:p>
    <w:p w:rsidR="00C87097" w:rsidP="00C87097" w:rsidRDefault="00C87097" w14:paraId="31DB2B1C" w14:textId="77777777">
      <w:pPr>
        <w:numPr>
          <w:ilvl w:val="0"/>
          <w:numId w:val="3"/>
        </w:numPr>
        <w:ind w:left="357" w:hanging="357"/>
        <w:contextualSpacing/>
      </w:pPr>
      <w:r>
        <w:t>salută inițiativa de a acorda organismelor de promovare a egalității rolul de susținători ai drepturilor victimelor discriminării și subliniază că este important să fie găsit un echilibru adecvat între stabilirea unor standarde pentru organismele de promovare a egalității și subsidiaritate, garantându-se, în același timp, că sporirea forței și a eficacității organismelor de promovare a egalității rămâne o prioritate.</w:t>
      </w:r>
    </w:p>
    <w:p w:rsidR="00C87097" w:rsidP="00C87097" w:rsidRDefault="00C87097" w14:paraId="44D44925" w14:textId="77777777">
      <w:pPr>
        <w:numPr>
          <w:ilvl w:val="0"/>
          <w:numId w:val="3"/>
        </w:numPr>
        <w:ind w:left="357" w:hanging="357"/>
        <w:contextualSpacing/>
      </w:pPr>
      <w:r>
        <w:t xml:space="preserve">solicită ca </w:t>
      </w:r>
      <w:proofErr w:type="spellStart"/>
      <w:r>
        <w:t>intersecționalitatea</w:t>
      </w:r>
      <w:proofErr w:type="spellEnd"/>
      <w:r>
        <w:t xml:space="preserve"> și formele multiple de discriminare să fie luate în considerare în politici atât la nivel național, cât și la nivelul UE și salută precizarea că accesul tuturor înseamnă și atenție pentru nevoile de acces ale persoanelor cu handicap.</w:t>
      </w:r>
    </w:p>
    <w:p w:rsidR="00C87097" w:rsidP="00C87097" w:rsidRDefault="00C87097" w14:paraId="295F0CB8" w14:textId="77777777">
      <w:pPr>
        <w:numPr>
          <w:ilvl w:val="0"/>
          <w:numId w:val="3"/>
        </w:numPr>
        <w:ind w:left="357" w:hanging="357"/>
        <w:contextualSpacing/>
      </w:pPr>
      <w:r>
        <w:t>salută introducerea obligației juridice ca organismele de promovare a egalității să fie libere de orice influență externă și dispoziții care să asigure suficiente resurse umane, tehnice și financiare.</w:t>
      </w:r>
    </w:p>
    <w:p w:rsidR="00C87097" w:rsidP="00C87097" w:rsidRDefault="00C87097" w14:paraId="1B3D0DA4" w14:textId="77777777">
      <w:pPr>
        <w:numPr>
          <w:ilvl w:val="0"/>
          <w:numId w:val="3"/>
        </w:numPr>
        <w:ind w:left="357" w:hanging="357"/>
        <w:contextualSpacing/>
      </w:pPr>
      <w:r>
        <w:t>recomandă ca statele membre să aibă obligația de a raporta despre acțiunile întreprinse în ceea ce privește interacțiunile lor cu organismele de promovare a egalității.</w:t>
      </w:r>
    </w:p>
    <w:p w:rsidR="00C87097" w:rsidP="00C87097" w:rsidRDefault="00C87097" w14:paraId="516A5927" w14:textId="77777777">
      <w:pPr>
        <w:numPr>
          <w:ilvl w:val="0"/>
          <w:numId w:val="3"/>
        </w:numPr>
        <w:ind w:left="357" w:hanging="357"/>
        <w:contextualSpacing/>
      </w:pPr>
      <w:r>
        <w:t>sugerează ca termenul de raportare al mecanismului de supraveghere să poată fi redus la trei ani.</w:t>
      </w:r>
    </w:p>
    <w:p w:rsidR="00C87097" w:rsidP="00C87097" w:rsidRDefault="00C87097" w14:paraId="26F7BD8A" w14:textId="77777777">
      <w:pPr>
        <w:numPr>
          <w:ilvl w:val="0"/>
          <w:numId w:val="3"/>
        </w:numPr>
        <w:ind w:left="357" w:hanging="357"/>
        <w:contextualSpacing/>
      </w:pPr>
      <w:r>
        <w:t>consideră că este foarte important să se respecte diversitatea cadrelor juridice naționale privind nediscriminarea și să se țină seama de diferențe în modul în care partenerii sociali și organizațiile societății civile se implică în acest proces. recunoaște și că exercitarea competențelor de investigare în cadrul procedurilor în numele sau în sprijinul victimelor discriminării nu trebuie să aducă atingere competențelor instanțelor și altor organisme publice de monitorizare.</w:t>
      </w:r>
    </w:p>
    <w:p w:rsidR="00C87097" w:rsidP="00C87097" w:rsidRDefault="00C87097" w14:paraId="5D9DE56D" w14:textId="77777777">
      <w:pPr>
        <w:numPr>
          <w:ilvl w:val="0"/>
          <w:numId w:val="3"/>
        </w:numPr>
        <w:ind w:left="357" w:hanging="357"/>
        <w:contextualSpacing/>
      </w:pPr>
      <w:r>
        <w:t>solicită să se garanteze despăgubiri proporționale pentru vătămarea suferită de victimă și sancțiuni pentru infractori, pentru a se pune accentul pe victimele discriminării.</w:t>
      </w:r>
    </w:p>
    <w:p w:rsidR="00C87097" w:rsidP="00C87097" w:rsidRDefault="00C87097" w14:paraId="6425DBEF" w14:textId="77777777">
      <w:pPr>
        <w:numPr>
          <w:ilvl w:val="0"/>
          <w:numId w:val="3"/>
        </w:numPr>
        <w:ind w:left="357" w:hanging="357"/>
        <w:contextualSpacing/>
      </w:pPr>
      <w:r>
        <w:t>recomandă dezvoltarea unor campanii de informare cu privire la drepturile în UE și la respectarea diversității, care să poată fi desfășurate la nivel local de organismele naționale de promovare a egalității, acordând o atenție deosebită grupurilor vulnerabile, copiilor și tinerilor la școală.</w:t>
      </w:r>
    </w:p>
    <w:p w:rsidRPr="00C87097" w:rsidR="00C87097" w:rsidP="00C87097" w:rsidRDefault="00C87097" w14:paraId="311D2F3C" w14:textId="4226C379">
      <w:pPr>
        <w:numPr>
          <w:ilvl w:val="0"/>
          <w:numId w:val="3"/>
        </w:numPr>
        <w:ind w:left="357" w:hanging="357"/>
        <w:contextualSpacing/>
      </w:pPr>
      <w:r>
        <w:t>solicită colectarea și analiza periodică a datelor defalcate pentru a monitoriza inegalitățile și discriminarea.</w:t>
      </w:r>
    </w:p>
    <w:p w:rsidRPr="00C87097" w:rsidR="00C87097" w:rsidP="00C87097" w:rsidRDefault="00C87097" w14:paraId="1F37C7FD"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C87097" w:rsidTr="0097506E" w14:paraId="2CB4F2AC" w14:textId="77777777">
        <w:tc>
          <w:tcPr>
            <w:tcW w:w="1701" w:type="dxa"/>
          </w:tcPr>
          <w:p w:rsidRPr="009B70E7" w:rsidR="00C87097" w:rsidP="00726054" w:rsidRDefault="00C87097" w14:paraId="403C9FF6" w14:textId="77777777">
            <w:pPr>
              <w:pStyle w:val="ListParagraph"/>
              <w:ind w:left="0"/>
              <w:rPr>
                <w:i/>
              </w:rPr>
            </w:pPr>
            <w:r>
              <w:rPr>
                <w:b/>
                <w:i/>
              </w:rPr>
              <w:t>Date de contact</w:t>
            </w:r>
          </w:p>
        </w:tc>
        <w:tc>
          <w:tcPr>
            <w:tcW w:w="5387" w:type="dxa"/>
          </w:tcPr>
          <w:p w:rsidRPr="009B70E7" w:rsidR="00C87097" w:rsidP="00726054" w:rsidRDefault="00C87097" w14:paraId="70D168F8" w14:textId="77777777">
            <w:pPr>
              <w:pStyle w:val="ListParagraph"/>
              <w:ind w:left="0"/>
              <w:rPr>
                <w:i/>
              </w:rPr>
            </w:pPr>
            <w:proofErr w:type="spellStart"/>
            <w:r>
              <w:rPr>
                <w:i/>
              </w:rPr>
              <w:t>Alessia</w:t>
            </w:r>
            <w:proofErr w:type="spellEnd"/>
            <w:r>
              <w:rPr>
                <w:i/>
              </w:rPr>
              <w:t xml:space="preserve"> </w:t>
            </w:r>
            <w:proofErr w:type="spellStart"/>
            <w:r>
              <w:rPr>
                <w:i/>
              </w:rPr>
              <w:t>Cova</w:t>
            </w:r>
            <w:proofErr w:type="spellEnd"/>
          </w:p>
        </w:tc>
      </w:tr>
      <w:tr w:rsidRPr="009B70E7" w:rsidR="00C87097" w:rsidTr="0097506E" w14:paraId="6822E819" w14:textId="77777777">
        <w:tc>
          <w:tcPr>
            <w:tcW w:w="1701" w:type="dxa"/>
          </w:tcPr>
          <w:p w:rsidRPr="009B70E7" w:rsidR="00C87097" w:rsidP="00726054" w:rsidRDefault="00C87097" w14:paraId="34CE7EA3" w14:textId="77777777">
            <w:pPr>
              <w:pStyle w:val="ListParagraph"/>
              <w:ind w:left="601"/>
              <w:rPr>
                <w:i/>
              </w:rPr>
            </w:pPr>
            <w:r>
              <w:rPr>
                <w:i/>
              </w:rPr>
              <w:t>Tel.:</w:t>
            </w:r>
          </w:p>
        </w:tc>
        <w:tc>
          <w:tcPr>
            <w:tcW w:w="5387" w:type="dxa"/>
          </w:tcPr>
          <w:p w:rsidRPr="009B70E7" w:rsidR="00C87097" w:rsidP="00726054" w:rsidRDefault="00C87097" w14:paraId="70DCF7FF" w14:textId="77777777">
            <w:pPr>
              <w:pStyle w:val="ListParagraph"/>
              <w:ind w:left="0"/>
              <w:rPr>
                <w:i/>
              </w:rPr>
            </w:pPr>
            <w:r>
              <w:rPr>
                <w:i/>
              </w:rPr>
              <w:t>00 32 2 546 94 26</w:t>
            </w:r>
          </w:p>
        </w:tc>
      </w:tr>
      <w:tr w:rsidRPr="0089333A" w:rsidR="00C87097" w:rsidTr="0097506E" w14:paraId="28283276" w14:textId="77777777">
        <w:tc>
          <w:tcPr>
            <w:tcW w:w="1701" w:type="dxa"/>
          </w:tcPr>
          <w:p w:rsidRPr="009B70E7" w:rsidR="00C87097" w:rsidP="00726054" w:rsidRDefault="00C87097" w14:paraId="1E2EE7AB" w14:textId="77777777">
            <w:pPr>
              <w:pStyle w:val="ListParagraph"/>
              <w:ind w:left="601"/>
              <w:rPr>
                <w:i/>
              </w:rPr>
            </w:pPr>
            <w:r>
              <w:rPr>
                <w:i/>
              </w:rPr>
              <w:t>e-mail:</w:t>
            </w:r>
          </w:p>
        </w:tc>
        <w:tc>
          <w:tcPr>
            <w:tcW w:w="5387" w:type="dxa"/>
          </w:tcPr>
          <w:p w:rsidRPr="0089333A" w:rsidR="00C87097" w:rsidP="00726054" w:rsidRDefault="00C12F9B" w14:paraId="55869C54" w14:textId="14EF6E71">
            <w:pPr>
              <w:pStyle w:val="ListParagraph"/>
              <w:ind w:left="0"/>
              <w:rPr>
                <w:i/>
                <w:iCs/>
                <w:color w:val="0000FF"/>
                <w:szCs w:val="20"/>
                <w:u w:val="single"/>
              </w:rPr>
            </w:pPr>
            <w:hyperlink w:history="1" r:id="rId24">
              <w:r w:rsidR="00472A1F">
                <w:rPr>
                  <w:rStyle w:val="Hyperlink"/>
                  <w:i/>
                </w:rPr>
                <w:t>Alessia.Cova@eesc.europa.eu</w:t>
              </w:r>
            </w:hyperlink>
          </w:p>
        </w:tc>
      </w:tr>
      <w:bookmarkEnd w:id="13"/>
    </w:tbl>
    <w:p w:rsidR="00C87097" w:rsidRDefault="00C87097" w14:paraId="5F6DDDA5" w14:textId="77777777">
      <w:pPr>
        <w:spacing w:after="160" w:line="259" w:lineRule="auto"/>
        <w:jc w:val="left"/>
      </w:pPr>
    </w:p>
    <w:p w:rsidR="00C87097" w:rsidRDefault="00C87097" w14:paraId="4357D193" w14:textId="29249A95">
      <w:pPr>
        <w:spacing w:after="160" w:line="259" w:lineRule="auto"/>
        <w:jc w:val="left"/>
      </w:pPr>
      <w:r>
        <w:br w:type="page"/>
      </w:r>
    </w:p>
    <w:p w:rsidRPr="00C87097" w:rsidR="00F359DE" w:rsidP="00F359DE" w:rsidRDefault="00F359DE" w14:paraId="62CDC830" w14:textId="0324E4E7">
      <w:pPr>
        <w:keepNext/>
        <w:numPr>
          <w:ilvl w:val="0"/>
          <w:numId w:val="2"/>
        </w:numPr>
        <w:ind w:left="567" w:hanging="567"/>
        <w:contextualSpacing/>
        <w:rPr>
          <w:b/>
          <w:i/>
          <w:sz w:val="28"/>
          <w:szCs w:val="28"/>
        </w:rPr>
      </w:pPr>
      <w:r>
        <w:rPr>
          <w:b/>
          <w:i/>
          <w:sz w:val="28"/>
        </w:rPr>
        <w:lastRenderedPageBreak/>
        <w:t xml:space="preserve">Valorile-limită pentru plumb, compușii anorganici ai acestuia și </w:t>
      </w:r>
      <w:proofErr w:type="spellStart"/>
      <w:r>
        <w:rPr>
          <w:b/>
          <w:i/>
          <w:sz w:val="28"/>
        </w:rPr>
        <w:t>diizocianați</w:t>
      </w:r>
      <w:proofErr w:type="spellEnd"/>
    </w:p>
    <w:p w:rsidR="00F359DE" w:rsidP="00F359DE" w:rsidRDefault="00F359DE" w14:paraId="0B85D11A" w14:textId="14D63F9C">
      <w:pPr>
        <w:keepNext/>
        <w:contextualSpacing/>
      </w:pPr>
    </w:p>
    <w:p w:rsidRPr="00F359DE" w:rsidR="00F359DE" w:rsidP="00F359DE" w:rsidRDefault="00F359DE" w14:paraId="7A52EE87" w14:textId="51957AB6">
      <w:pPr>
        <w:keepNext/>
        <w:contextualSpacing/>
        <w:rPr>
          <w:b/>
          <w:bCs/>
        </w:rPr>
      </w:pPr>
      <w:r>
        <w:rPr>
          <w:b/>
        </w:rPr>
        <w:t>Aviz de categoria C</w:t>
      </w:r>
    </w:p>
    <w:p w:rsidRPr="00C87097" w:rsidR="00F359DE" w:rsidP="00F359DE" w:rsidRDefault="00F359DE" w14:paraId="6E9168A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C87097" w:rsidR="00F359DE" w:rsidTr="00726054" w14:paraId="13561E4B" w14:textId="77777777">
        <w:tc>
          <w:tcPr>
            <w:tcW w:w="1701" w:type="dxa"/>
          </w:tcPr>
          <w:p w:rsidRPr="00C87097" w:rsidR="00F359DE" w:rsidP="00726054" w:rsidRDefault="00F359DE" w14:paraId="4980AFC3" w14:textId="77777777">
            <w:pPr>
              <w:contextualSpacing/>
              <w:rPr>
                <w:b/>
              </w:rPr>
            </w:pPr>
            <w:r>
              <w:rPr>
                <w:b/>
              </w:rPr>
              <w:t xml:space="preserve">Referințe </w:t>
            </w:r>
          </w:p>
        </w:tc>
        <w:tc>
          <w:tcPr>
            <w:tcW w:w="6096" w:type="dxa"/>
          </w:tcPr>
          <w:p w:rsidRPr="00C87097" w:rsidR="00F359DE" w:rsidP="00726054" w:rsidRDefault="00F359DE" w14:paraId="68E3AB4C" w14:textId="63D2E9B7">
            <w:pPr>
              <w:ind w:left="-52"/>
              <w:contextualSpacing/>
            </w:pPr>
            <w:r>
              <w:t>COM(2023) 71 final</w:t>
            </w:r>
          </w:p>
          <w:p w:rsidRPr="00C87097" w:rsidR="00F359DE" w:rsidP="00726054" w:rsidRDefault="00F359DE" w14:paraId="012F6C30" w14:textId="4F3ECEC7">
            <w:pPr>
              <w:ind w:left="-52"/>
              <w:contextualSpacing/>
            </w:pPr>
            <w:r>
              <w:t>EESC-2023-01367-00-00-AC</w:t>
            </w:r>
          </w:p>
        </w:tc>
      </w:tr>
    </w:tbl>
    <w:p w:rsidRPr="00C87097" w:rsidR="00F359DE" w:rsidP="00F359DE" w:rsidRDefault="00F359DE" w14:paraId="69D4E734" w14:textId="77777777">
      <w:pPr>
        <w:spacing w:line="240" w:lineRule="auto"/>
        <w:ind w:left="-142" w:firstLine="284"/>
        <w:contextualSpacing/>
        <w:rPr>
          <w:b/>
        </w:rPr>
      </w:pPr>
    </w:p>
    <w:p w:rsidRPr="00C87097" w:rsidR="00F359DE" w:rsidP="00F359DE" w:rsidRDefault="00F359DE" w14:paraId="27B6B7EE" w14:textId="77777777">
      <w:pPr>
        <w:spacing w:line="240" w:lineRule="auto"/>
        <w:contextualSpacing/>
        <w:rPr>
          <w:b/>
        </w:rPr>
      </w:pPr>
      <w:r>
        <w:rPr>
          <w:b/>
        </w:rPr>
        <w:t>Punctele principale:</w:t>
      </w:r>
    </w:p>
    <w:p w:rsidRPr="00C87097" w:rsidR="00F359DE" w:rsidP="00F359DE" w:rsidRDefault="00F359DE" w14:paraId="27BAF530" w14:textId="77777777">
      <w:pPr>
        <w:contextualSpacing/>
      </w:pPr>
    </w:p>
    <w:p w:rsidRPr="00C87097" w:rsidR="00F359DE" w:rsidP="00F359DE" w:rsidRDefault="00F359DE" w14:paraId="4A5CF01A" w14:textId="586E2ABF">
      <w:pPr>
        <w:spacing w:line="240" w:lineRule="auto"/>
        <w:contextualSpacing/>
        <w:rPr>
          <w:bCs/>
        </w:rPr>
      </w:pPr>
      <w:r>
        <w:t>Întrucât conținutul propunerii formulate este satisfăcător și nu face obiectul niciunei observații din partea sa, Comitetul a hotărât să emită un aviz favorabil cu privire la textul propus, respectând în același timp poziția partenerilor sociali prezentată în expunerea de motive a propunerii.</w:t>
      </w:r>
    </w:p>
    <w:p w:rsidRPr="00C87097" w:rsidR="00F359DE" w:rsidP="00F359DE" w:rsidRDefault="00F359DE" w14:paraId="6A740217"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F359DE" w:rsidTr="0097506E" w14:paraId="00F6F501" w14:textId="77777777">
        <w:tc>
          <w:tcPr>
            <w:tcW w:w="1843" w:type="dxa"/>
          </w:tcPr>
          <w:p w:rsidRPr="009B70E7" w:rsidR="00F359DE" w:rsidP="00726054" w:rsidRDefault="00F359DE" w14:paraId="45560EBD" w14:textId="77777777">
            <w:pPr>
              <w:pStyle w:val="ListParagraph"/>
              <w:ind w:left="0"/>
              <w:rPr>
                <w:i/>
              </w:rPr>
            </w:pPr>
            <w:r>
              <w:rPr>
                <w:b/>
                <w:i/>
              </w:rPr>
              <w:t>Date de contact</w:t>
            </w:r>
          </w:p>
        </w:tc>
        <w:tc>
          <w:tcPr>
            <w:tcW w:w="5245" w:type="dxa"/>
          </w:tcPr>
          <w:p w:rsidRPr="009B70E7" w:rsidR="00F359DE" w:rsidP="00726054" w:rsidRDefault="00F359DE" w14:paraId="11804580" w14:textId="080D8761">
            <w:pPr>
              <w:pStyle w:val="ListParagraph"/>
              <w:ind w:left="0"/>
              <w:rPr>
                <w:i/>
              </w:rPr>
            </w:pPr>
            <w:r>
              <w:rPr>
                <w:i/>
              </w:rPr>
              <w:t xml:space="preserve">Valeria </w:t>
            </w:r>
            <w:proofErr w:type="spellStart"/>
            <w:r>
              <w:rPr>
                <w:i/>
              </w:rPr>
              <w:t>Atzori</w:t>
            </w:r>
            <w:proofErr w:type="spellEnd"/>
          </w:p>
        </w:tc>
      </w:tr>
      <w:tr w:rsidRPr="009B70E7" w:rsidR="00F359DE" w:rsidTr="0097506E" w14:paraId="1DEDCB76" w14:textId="77777777">
        <w:tc>
          <w:tcPr>
            <w:tcW w:w="1843" w:type="dxa"/>
          </w:tcPr>
          <w:p w:rsidRPr="009B70E7" w:rsidR="00F359DE" w:rsidP="00726054" w:rsidRDefault="00F359DE" w14:paraId="1D21CF01" w14:textId="77777777">
            <w:pPr>
              <w:pStyle w:val="ListParagraph"/>
              <w:ind w:left="601"/>
              <w:rPr>
                <w:i/>
              </w:rPr>
            </w:pPr>
            <w:r>
              <w:rPr>
                <w:i/>
              </w:rPr>
              <w:t>Tel.:</w:t>
            </w:r>
          </w:p>
        </w:tc>
        <w:tc>
          <w:tcPr>
            <w:tcW w:w="5245" w:type="dxa"/>
          </w:tcPr>
          <w:p w:rsidRPr="009B70E7" w:rsidR="00F359DE" w:rsidP="00726054" w:rsidRDefault="00F359DE" w14:paraId="350F1037" w14:textId="0648723B">
            <w:pPr>
              <w:pStyle w:val="ListParagraph"/>
              <w:ind w:left="0"/>
              <w:rPr>
                <w:i/>
              </w:rPr>
            </w:pPr>
            <w:r>
              <w:rPr>
                <w:i/>
              </w:rPr>
              <w:t>00 32 2 546 87 74</w:t>
            </w:r>
          </w:p>
        </w:tc>
      </w:tr>
      <w:tr w:rsidRPr="0089333A" w:rsidR="00F359DE" w:rsidTr="0097506E" w14:paraId="0E4711EB" w14:textId="77777777">
        <w:tc>
          <w:tcPr>
            <w:tcW w:w="1843" w:type="dxa"/>
          </w:tcPr>
          <w:p w:rsidRPr="009B70E7" w:rsidR="00F359DE" w:rsidP="00726054" w:rsidRDefault="00F359DE" w14:paraId="46A335E9" w14:textId="77777777">
            <w:pPr>
              <w:pStyle w:val="ListParagraph"/>
              <w:ind w:left="601"/>
              <w:rPr>
                <w:i/>
              </w:rPr>
            </w:pPr>
            <w:r>
              <w:rPr>
                <w:i/>
              </w:rPr>
              <w:t>e-mail:</w:t>
            </w:r>
          </w:p>
        </w:tc>
        <w:tc>
          <w:tcPr>
            <w:tcW w:w="5245" w:type="dxa"/>
          </w:tcPr>
          <w:p w:rsidRPr="0089333A" w:rsidR="00F359DE" w:rsidP="00726054" w:rsidRDefault="00C12F9B" w14:paraId="12B03DFF" w14:textId="3810DD5C">
            <w:pPr>
              <w:pStyle w:val="ListParagraph"/>
              <w:ind w:left="0"/>
              <w:rPr>
                <w:i/>
                <w:iCs/>
                <w:color w:val="0000FF"/>
                <w:szCs w:val="20"/>
                <w:u w:val="single"/>
              </w:rPr>
            </w:pPr>
            <w:hyperlink w:history="1" r:id="rId25">
              <w:r w:rsidR="00472A1F">
                <w:rPr>
                  <w:rStyle w:val="Hyperlink"/>
                  <w:i/>
                </w:rPr>
                <w:t>Valeria.Atzori@eesc.europa.eu</w:t>
              </w:r>
            </w:hyperlink>
          </w:p>
        </w:tc>
      </w:tr>
    </w:tbl>
    <w:p w:rsidR="00F359DE" w:rsidRDefault="00F359DE" w14:paraId="7C4B0511" w14:textId="4DF985A9">
      <w:pPr>
        <w:spacing w:after="160" w:line="259" w:lineRule="auto"/>
        <w:jc w:val="left"/>
      </w:pPr>
    </w:p>
    <w:p w:rsidR="00F359DE" w:rsidRDefault="00F359DE" w14:paraId="788974F0"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14"/>
      <w:bookmarkStart w:name="_Toc131155350" w:id="15"/>
      <w:r>
        <w:rPr>
          <w:b/>
        </w:rPr>
        <w:lastRenderedPageBreak/>
        <w:t>SECȚIUNEA PENTRU PIAȚA UNICĂ, PRODUCȚIE ȘI CONSUM</w:t>
      </w:r>
      <w:bookmarkEnd w:id="14"/>
      <w:bookmarkEnd w:id="15"/>
    </w:p>
    <w:p w:rsidRPr="0097506E" w:rsidR="004D7AC0" w:rsidRDefault="004D7AC0" w14:paraId="03FF9505" w14:textId="6FCC94D6">
      <w:pPr>
        <w:rPr>
          <w:sz w:val="18"/>
          <w:szCs w:val="18"/>
        </w:rPr>
      </w:pPr>
    </w:p>
    <w:p w:rsidRPr="00D70F4B" w:rsidR="00721B7D" w:rsidP="00721B7D" w:rsidRDefault="00721B7D" w14:paraId="0A2BF896" w14:textId="3C91B3F7">
      <w:pPr>
        <w:pStyle w:val="ListParagraph"/>
        <w:keepNext/>
        <w:numPr>
          <w:ilvl w:val="0"/>
          <w:numId w:val="2"/>
        </w:numPr>
        <w:ind w:left="567" w:hanging="567"/>
      </w:pPr>
      <w:r>
        <w:rPr>
          <w:b/>
          <w:i/>
          <w:sz w:val="28"/>
        </w:rPr>
        <w:t>Evaluarea ex-post a programului Orizont 2020</w:t>
      </w:r>
    </w:p>
    <w:p w:rsidRPr="0097506E" w:rsidR="00721B7D" w:rsidP="00721B7D" w:rsidRDefault="00721B7D" w14:paraId="53EC364F" w14:textId="77777777">
      <w:pPr>
        <w:keepNext/>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21B7D" w:rsidTr="00726054" w14:paraId="2A8EDF11" w14:textId="77777777">
        <w:tc>
          <w:tcPr>
            <w:tcW w:w="1701" w:type="dxa"/>
          </w:tcPr>
          <w:p w:rsidRPr="009B70E7" w:rsidR="00721B7D" w:rsidP="00726054" w:rsidRDefault="00721B7D" w14:paraId="27EC47CC" w14:textId="77777777">
            <w:pPr>
              <w:pStyle w:val="ListParagraph"/>
              <w:ind w:left="0"/>
              <w:rPr>
                <w:b/>
              </w:rPr>
            </w:pPr>
            <w:r>
              <w:rPr>
                <w:b/>
              </w:rPr>
              <w:t>Raportor</w:t>
            </w:r>
          </w:p>
        </w:tc>
        <w:tc>
          <w:tcPr>
            <w:tcW w:w="6096" w:type="dxa"/>
          </w:tcPr>
          <w:p w:rsidRPr="007E7A4F" w:rsidR="00721B7D" w:rsidP="00726054" w:rsidRDefault="00721B7D" w14:paraId="2E8B2172" w14:textId="31FC8EEE">
            <w:pPr>
              <w:pStyle w:val="ListParagraph"/>
              <w:ind w:left="-108"/>
            </w:pPr>
            <w:proofErr w:type="spellStart"/>
            <w:r>
              <w:t>Gonçalo</w:t>
            </w:r>
            <w:proofErr w:type="spellEnd"/>
            <w:r>
              <w:t xml:space="preserve"> LOBO XAVIER (Grupul „Angajatori” – PT)</w:t>
            </w:r>
          </w:p>
        </w:tc>
      </w:tr>
      <w:tr w:rsidRPr="009B70E7" w:rsidR="00721B7D" w:rsidTr="00726054" w14:paraId="54A67D2F" w14:textId="77777777">
        <w:tc>
          <w:tcPr>
            <w:tcW w:w="1701" w:type="dxa"/>
          </w:tcPr>
          <w:p w:rsidRPr="0097506E" w:rsidR="00721B7D" w:rsidP="00726054" w:rsidRDefault="00721B7D" w14:paraId="4610620C" w14:textId="77777777">
            <w:pPr>
              <w:pStyle w:val="ListParagraph"/>
              <w:ind w:left="0"/>
              <w:rPr>
                <w:b/>
                <w:sz w:val="18"/>
                <w:szCs w:val="18"/>
              </w:rPr>
            </w:pPr>
          </w:p>
        </w:tc>
        <w:tc>
          <w:tcPr>
            <w:tcW w:w="6096" w:type="dxa"/>
          </w:tcPr>
          <w:p w:rsidRPr="0097506E" w:rsidR="00721B7D" w:rsidP="00726054" w:rsidRDefault="00721B7D" w14:paraId="7D8E3C26" w14:textId="77777777">
            <w:pPr>
              <w:tabs>
                <w:tab w:val="center" w:pos="284"/>
              </w:tabs>
              <w:ind w:left="266" w:hanging="374"/>
              <w:rPr>
                <w:sz w:val="18"/>
                <w:szCs w:val="18"/>
              </w:rPr>
            </w:pPr>
          </w:p>
        </w:tc>
      </w:tr>
      <w:tr w:rsidRPr="009B70E7" w:rsidR="00721B7D" w:rsidTr="00726054" w14:paraId="614ABB45" w14:textId="77777777">
        <w:tc>
          <w:tcPr>
            <w:tcW w:w="1701" w:type="dxa"/>
          </w:tcPr>
          <w:p w:rsidRPr="009B70E7" w:rsidR="00721B7D" w:rsidP="00726054" w:rsidRDefault="00721B7D" w14:paraId="121D45D3" w14:textId="77777777">
            <w:pPr>
              <w:pStyle w:val="ListParagraph"/>
              <w:ind w:left="0"/>
              <w:rPr>
                <w:b/>
              </w:rPr>
            </w:pPr>
            <w:r>
              <w:rPr>
                <w:b/>
              </w:rPr>
              <w:t xml:space="preserve">Referințe </w:t>
            </w:r>
          </w:p>
        </w:tc>
        <w:tc>
          <w:tcPr>
            <w:tcW w:w="6096" w:type="dxa"/>
          </w:tcPr>
          <w:p w:rsidRPr="009B70E7" w:rsidR="00721B7D" w:rsidP="00726054" w:rsidRDefault="00721B7D" w14:paraId="080C69A7" w14:textId="37C05D63">
            <w:pPr>
              <w:tabs>
                <w:tab w:val="center" w:pos="284"/>
              </w:tabs>
              <w:ind w:left="266" w:hanging="374"/>
            </w:pPr>
            <w:r>
              <w:t>Raport de evaluare</w:t>
            </w:r>
          </w:p>
          <w:p w:rsidRPr="009B70E7" w:rsidR="00721B7D" w:rsidP="00726054" w:rsidRDefault="00721B7D" w14:paraId="5F3DCF68" w14:textId="0F2D9FED">
            <w:pPr>
              <w:pStyle w:val="ListParagraph"/>
              <w:ind w:left="-108"/>
            </w:pPr>
            <w:r>
              <w:t>EESC-2022-03850-00-00-RE</w:t>
            </w:r>
          </w:p>
        </w:tc>
      </w:tr>
    </w:tbl>
    <w:p w:rsidRPr="0097506E" w:rsidR="00721B7D" w:rsidP="00721B7D" w:rsidRDefault="00721B7D" w14:paraId="0AFF34E4" w14:textId="77777777">
      <w:pPr>
        <w:pStyle w:val="ListParagraph"/>
        <w:spacing w:line="240" w:lineRule="auto"/>
        <w:ind w:left="0" w:firstLine="142"/>
        <w:rPr>
          <w:b/>
          <w:sz w:val="18"/>
          <w:szCs w:val="18"/>
        </w:rPr>
      </w:pPr>
    </w:p>
    <w:p w:rsidRPr="0018231C" w:rsidR="00721B7D" w:rsidP="00721B7D" w:rsidRDefault="00721B7D" w14:paraId="7B9CB4BD" w14:textId="77777777">
      <w:pPr>
        <w:pStyle w:val="ListParagraph"/>
        <w:spacing w:line="240" w:lineRule="auto"/>
        <w:ind w:left="0"/>
        <w:rPr>
          <w:b/>
        </w:rPr>
      </w:pPr>
      <w:r>
        <w:rPr>
          <w:b/>
        </w:rPr>
        <w:t>Punctele principale:</w:t>
      </w:r>
    </w:p>
    <w:p w:rsidRPr="0097506E" w:rsidR="00721B7D" w:rsidP="00721B7D" w:rsidRDefault="00721B7D" w14:paraId="45CEB36A" w14:textId="77777777">
      <w:pPr>
        <w:pStyle w:val="ListParagraph"/>
        <w:ind w:left="0"/>
        <w:rPr>
          <w:sz w:val="18"/>
          <w:szCs w:val="18"/>
          <w:lang w:val="fr-FR"/>
        </w:rPr>
      </w:pPr>
    </w:p>
    <w:p w:rsidR="00721B7D" w:rsidP="00721B7D" w:rsidRDefault="00721B7D" w14:paraId="25C5D3FC" w14:textId="77777777">
      <w:pPr>
        <w:pStyle w:val="ListParagraph"/>
        <w:spacing w:line="240" w:lineRule="auto"/>
        <w:ind w:left="0"/>
      </w:pPr>
      <w:r>
        <w:t>CESE:</w:t>
      </w:r>
    </w:p>
    <w:p w:rsidRPr="0097506E" w:rsidR="00721B7D" w:rsidP="00721B7D" w:rsidRDefault="00721B7D" w14:paraId="3162224B" w14:textId="61AEC0EA">
      <w:pPr>
        <w:pStyle w:val="ListParagraph"/>
        <w:ind w:left="0"/>
        <w:rPr>
          <w:sz w:val="18"/>
          <w:szCs w:val="18"/>
          <w:lang w:val="fr-FR"/>
        </w:rPr>
      </w:pPr>
    </w:p>
    <w:p w:rsidRPr="0018231C" w:rsidR="00721B7D" w:rsidP="00721B7D" w:rsidRDefault="00721B7D" w14:paraId="082BA9A7" w14:textId="2669EB59">
      <w:pPr>
        <w:pStyle w:val="ListParagraph"/>
        <w:ind w:left="0"/>
      </w:pPr>
      <w:r>
        <w:t xml:space="preserve">În ceea ce privește </w:t>
      </w:r>
      <w:r>
        <w:rPr>
          <w:b/>
        </w:rPr>
        <w:t>eficacitatea</w:t>
      </w:r>
      <w:r>
        <w:t>:</w:t>
      </w:r>
    </w:p>
    <w:p w:rsidR="00721B7D" w:rsidP="00721B7D" w:rsidRDefault="00721B7D" w14:paraId="0A30CE21" w14:textId="77777777">
      <w:pPr>
        <w:numPr>
          <w:ilvl w:val="0"/>
          <w:numId w:val="3"/>
        </w:numPr>
        <w:overflowPunct w:val="0"/>
        <w:autoSpaceDE w:val="0"/>
        <w:autoSpaceDN w:val="0"/>
        <w:adjustRightInd w:val="0"/>
        <w:ind w:left="357" w:hanging="357"/>
        <w:textAlignment w:val="baseline"/>
      </w:pPr>
      <w:r>
        <w:t xml:space="preserve">consideră că </w:t>
      </w:r>
      <w:r>
        <w:rPr>
          <w:b/>
        </w:rPr>
        <w:t>impactul programului Orizont 2020</w:t>
      </w:r>
      <w:r>
        <w:t xml:space="preserve"> (Orizont 2020) este </w:t>
      </w:r>
      <w:r>
        <w:rPr>
          <w:b/>
        </w:rPr>
        <w:t>pozitiv</w:t>
      </w:r>
      <w:r>
        <w:t xml:space="preserve">. Programul este considerat a fi mult mai bun decât programele precedente, cu un </w:t>
      </w:r>
      <w:r>
        <w:rPr>
          <w:b/>
        </w:rPr>
        <w:t>impact mai amplu asupra societății</w:t>
      </w:r>
      <w:r>
        <w:t>.</w:t>
      </w:r>
    </w:p>
    <w:p w:rsidR="00721B7D" w:rsidP="00721B7D" w:rsidRDefault="00721B7D" w14:paraId="0B2DB4B9" w14:textId="77777777">
      <w:pPr>
        <w:numPr>
          <w:ilvl w:val="0"/>
          <w:numId w:val="3"/>
        </w:numPr>
        <w:overflowPunct w:val="0"/>
        <w:autoSpaceDE w:val="0"/>
        <w:autoSpaceDN w:val="0"/>
        <w:adjustRightInd w:val="0"/>
        <w:ind w:left="357" w:hanging="357"/>
        <w:textAlignment w:val="baseline"/>
      </w:pPr>
      <w:r>
        <w:t>Atrage atenția asupra nivelului scăzut de implicare a IMM-urilor și asupra obstacolelor în calea participării acestora, fiind dificilă beneficierea de Instrumentul IMM. Prin urmare, recomandă ca viitoarele programe să sporească implicarea IMM-urilor și să reducă barierele din calea participării acestora.</w:t>
      </w:r>
    </w:p>
    <w:p w:rsidR="00721B7D" w:rsidP="00721B7D" w:rsidRDefault="00721B7D" w14:paraId="6C6673F5" w14:textId="10D6D048">
      <w:pPr>
        <w:numPr>
          <w:ilvl w:val="0"/>
          <w:numId w:val="3"/>
        </w:numPr>
        <w:overflowPunct w:val="0"/>
        <w:autoSpaceDE w:val="0"/>
        <w:autoSpaceDN w:val="0"/>
        <w:adjustRightInd w:val="0"/>
        <w:ind w:left="357" w:hanging="357"/>
        <w:textAlignment w:val="baseline"/>
      </w:pPr>
      <w:r>
        <w:t>Afirmă că rigiditatea și birocrația au fost numite ca obstacole și deficiențe ale programului Orizont</w:t>
      </w:r>
      <w:r w:rsidR="0097506E">
        <w:t> </w:t>
      </w:r>
      <w:r>
        <w:t>2020.</w:t>
      </w:r>
    </w:p>
    <w:p w:rsidR="00721B7D" w:rsidP="00721B7D" w:rsidRDefault="00721B7D" w14:paraId="0622E90D" w14:textId="77777777">
      <w:pPr>
        <w:numPr>
          <w:ilvl w:val="0"/>
          <w:numId w:val="3"/>
        </w:numPr>
        <w:overflowPunct w:val="0"/>
        <w:autoSpaceDE w:val="0"/>
        <w:autoSpaceDN w:val="0"/>
        <w:adjustRightInd w:val="0"/>
        <w:ind w:left="357" w:hanging="357"/>
        <w:textAlignment w:val="baseline"/>
      </w:pPr>
      <w:r>
        <w:t>Solicită accelerarea proceselor de revizuire și simplificarea procesului de evaluare sporind, în același timp, transparența și coerența acestora.</w:t>
      </w:r>
    </w:p>
    <w:p w:rsidR="00721B7D" w:rsidP="00721B7D" w:rsidRDefault="00721B7D" w14:paraId="209B71CB" w14:textId="0EF7342C">
      <w:pPr>
        <w:numPr>
          <w:ilvl w:val="0"/>
          <w:numId w:val="3"/>
        </w:numPr>
        <w:overflowPunct w:val="0"/>
        <w:autoSpaceDE w:val="0"/>
        <w:autoSpaceDN w:val="0"/>
        <w:adjustRightInd w:val="0"/>
        <w:ind w:left="357" w:hanging="357"/>
        <w:textAlignment w:val="baseline"/>
      </w:pPr>
      <w:r>
        <w:t xml:space="preserve">Consideră că ar trebui îmbunătățite </w:t>
      </w:r>
      <w:proofErr w:type="spellStart"/>
      <w:r>
        <w:t>sinergiile</w:t>
      </w:r>
      <w:proofErr w:type="spellEnd"/>
      <w:r>
        <w:t xml:space="preserve"> cu programele de finanțare regionale și naționale.</w:t>
      </w:r>
    </w:p>
    <w:p w:rsidR="00721B7D" w:rsidP="00721B7D" w:rsidRDefault="00721B7D" w14:paraId="1E30215B" w14:textId="4B2D3B46">
      <w:pPr>
        <w:numPr>
          <w:ilvl w:val="0"/>
          <w:numId w:val="3"/>
        </w:numPr>
        <w:overflowPunct w:val="0"/>
        <w:autoSpaceDE w:val="0"/>
        <w:autoSpaceDN w:val="0"/>
        <w:adjustRightInd w:val="0"/>
        <w:ind w:left="357" w:hanging="357"/>
        <w:textAlignment w:val="baseline"/>
      </w:pPr>
      <w:r>
        <w:t>Pentru a îmbunătăți previzibilitatea, s-a sugerat ca bugetul și programele de lucru să fie disponibile mai devreme.</w:t>
      </w:r>
    </w:p>
    <w:p w:rsidRPr="0097506E" w:rsidR="00721B7D" w:rsidP="00721B7D" w:rsidRDefault="00721B7D" w14:paraId="2147D734" w14:textId="77777777">
      <w:pPr>
        <w:overflowPunct w:val="0"/>
        <w:autoSpaceDE w:val="0"/>
        <w:autoSpaceDN w:val="0"/>
        <w:adjustRightInd w:val="0"/>
        <w:textAlignment w:val="baseline"/>
        <w:rPr>
          <w:sz w:val="18"/>
          <w:szCs w:val="18"/>
        </w:rPr>
      </w:pPr>
    </w:p>
    <w:p w:rsidR="00721B7D" w:rsidP="00721B7D" w:rsidRDefault="00721B7D" w14:paraId="40CAEF94" w14:textId="302BD36D">
      <w:pPr>
        <w:overflowPunct w:val="0"/>
        <w:autoSpaceDE w:val="0"/>
        <w:autoSpaceDN w:val="0"/>
        <w:adjustRightInd w:val="0"/>
        <w:textAlignment w:val="baseline"/>
      </w:pPr>
      <w:bookmarkStart w:name="_Hlk130740501" w:id="16"/>
      <w:r>
        <w:t xml:space="preserve">În ceea ce privește </w:t>
      </w:r>
      <w:r>
        <w:rPr>
          <w:b/>
        </w:rPr>
        <w:t>relevanța</w:t>
      </w:r>
      <w:r>
        <w:t>:</w:t>
      </w:r>
    </w:p>
    <w:p w:rsidR="00721B7D" w:rsidP="00721B7D" w:rsidRDefault="00721B7D" w14:paraId="377C5D47" w14:textId="607B8643">
      <w:pPr>
        <w:numPr>
          <w:ilvl w:val="0"/>
          <w:numId w:val="3"/>
        </w:numPr>
        <w:overflowPunct w:val="0"/>
        <w:autoSpaceDE w:val="0"/>
        <w:autoSpaceDN w:val="0"/>
        <w:adjustRightInd w:val="0"/>
        <w:ind w:left="357" w:hanging="357"/>
        <w:textAlignment w:val="baseline"/>
      </w:pPr>
      <w:r>
        <w:t xml:space="preserve">consideră că programul Orizont 2020 este </w:t>
      </w:r>
      <w:r>
        <w:rPr>
          <w:b/>
        </w:rPr>
        <w:t>extrem de relevant</w:t>
      </w:r>
      <w:r>
        <w:t xml:space="preserve">, deoarece participarea la astfel de programe contribuie la </w:t>
      </w:r>
      <w:r>
        <w:rPr>
          <w:b/>
        </w:rPr>
        <w:t>construirea capitalului politic și științific și are efecte pozitive asupra reputației</w:t>
      </w:r>
      <w:r>
        <w:t xml:space="preserve">. Programul a permis stabilirea de </w:t>
      </w:r>
      <w:r>
        <w:rPr>
          <w:b/>
        </w:rPr>
        <w:t>parteneriate strategice</w:t>
      </w:r>
      <w:r>
        <w:t xml:space="preserve"> în cadrul rețelelor noi sau a celor existente.</w:t>
      </w:r>
    </w:p>
    <w:p w:rsidRPr="00721B7D" w:rsidR="00721B7D" w:rsidP="00721B7D" w:rsidRDefault="00721B7D" w14:paraId="06A6888B" w14:textId="68B36D55">
      <w:pPr>
        <w:numPr>
          <w:ilvl w:val="0"/>
          <w:numId w:val="3"/>
        </w:numPr>
        <w:overflowPunct w:val="0"/>
        <w:autoSpaceDE w:val="0"/>
        <w:autoSpaceDN w:val="0"/>
        <w:adjustRightInd w:val="0"/>
        <w:ind w:left="357" w:hanging="357"/>
        <w:textAlignment w:val="baseline"/>
      </w:pPr>
      <w:r>
        <w:rPr>
          <w:b/>
        </w:rPr>
        <w:t>Incapacitatea de a elimina decalajul dintre țările UE-15 și UE-13 este considerată principala deficiență</w:t>
      </w:r>
      <w:r>
        <w:t xml:space="preserve"> a programului Orizont 2020.</w:t>
      </w:r>
      <w:bookmarkEnd w:id="16"/>
    </w:p>
    <w:p w:rsidRPr="0097506E" w:rsidR="00721B7D" w:rsidP="00721B7D" w:rsidRDefault="00721B7D" w14:paraId="467642E6" w14:textId="77777777">
      <w:pPr>
        <w:overflowPunct w:val="0"/>
        <w:autoSpaceDE w:val="0"/>
        <w:autoSpaceDN w:val="0"/>
        <w:adjustRightInd w:val="0"/>
        <w:textAlignment w:val="baseline"/>
        <w:rPr>
          <w:sz w:val="18"/>
          <w:szCs w:val="18"/>
        </w:rPr>
      </w:pPr>
    </w:p>
    <w:p w:rsidR="00721B7D" w:rsidP="00721B7D" w:rsidRDefault="00721B7D" w14:paraId="77D20E77" w14:textId="54601474">
      <w:pPr>
        <w:overflowPunct w:val="0"/>
        <w:autoSpaceDE w:val="0"/>
        <w:autoSpaceDN w:val="0"/>
        <w:adjustRightInd w:val="0"/>
        <w:textAlignment w:val="baseline"/>
      </w:pPr>
      <w:r>
        <w:t xml:space="preserve">În ceea ce privește </w:t>
      </w:r>
      <w:r>
        <w:rPr>
          <w:b/>
        </w:rPr>
        <w:t>implicarea societății civile</w:t>
      </w:r>
      <w:r>
        <w:t>:</w:t>
      </w:r>
    </w:p>
    <w:p w:rsidRPr="00721B7D" w:rsidR="00721B7D" w:rsidP="00721B7D" w:rsidRDefault="00721B7D" w14:paraId="5081F1BA" w14:textId="74049739">
      <w:pPr>
        <w:numPr>
          <w:ilvl w:val="0"/>
          <w:numId w:val="3"/>
        </w:numPr>
        <w:overflowPunct w:val="0"/>
        <w:autoSpaceDE w:val="0"/>
        <w:autoSpaceDN w:val="0"/>
        <w:adjustRightInd w:val="0"/>
        <w:ind w:left="357" w:hanging="357"/>
        <w:textAlignment w:val="baseline"/>
      </w:pPr>
      <w:r>
        <w:t xml:space="preserve">Subliniază că </w:t>
      </w:r>
      <w:r>
        <w:rPr>
          <w:b/>
        </w:rPr>
        <w:t>implicarea societății civile</w:t>
      </w:r>
      <w:r>
        <w:t xml:space="preserve"> într-un stadiu incipient </w:t>
      </w:r>
      <w:r>
        <w:rPr>
          <w:b/>
        </w:rPr>
        <w:t>contribuie la abordarea provocărilor societale</w:t>
      </w:r>
      <w:r>
        <w:t xml:space="preserve"> și aduce beneficii tuturor părților.</w:t>
      </w:r>
    </w:p>
    <w:p w:rsidRPr="00721B7D" w:rsidR="00721B7D" w:rsidP="00721B7D" w:rsidRDefault="00721B7D" w14:paraId="6F2A6E99" w14:textId="147399EC">
      <w:pPr>
        <w:numPr>
          <w:ilvl w:val="0"/>
          <w:numId w:val="3"/>
        </w:numPr>
        <w:overflowPunct w:val="0"/>
        <w:autoSpaceDE w:val="0"/>
        <w:autoSpaceDN w:val="0"/>
        <w:adjustRightInd w:val="0"/>
        <w:ind w:left="357" w:hanging="357"/>
        <w:textAlignment w:val="baseline"/>
      </w:pPr>
      <w:r>
        <w:t xml:space="preserve">Susține că, în pofida disparităților dintre statele membre, este clar că </w:t>
      </w:r>
      <w:r>
        <w:rPr>
          <w:b/>
        </w:rPr>
        <w:t>organizațiile societății civile pot aduce valoare adăugată tuturor etapelor procesului de inovare</w:t>
      </w:r>
      <w:r>
        <w:t>.</w:t>
      </w:r>
    </w:p>
    <w:p w:rsidRPr="007E7A4F" w:rsidR="00721B7D" w:rsidP="00721B7D" w:rsidRDefault="00721B7D" w14:paraId="31E4A610" w14:textId="2A482004">
      <w:pPr>
        <w:numPr>
          <w:ilvl w:val="0"/>
          <w:numId w:val="3"/>
        </w:numPr>
        <w:overflowPunct w:val="0"/>
        <w:autoSpaceDE w:val="0"/>
        <w:autoSpaceDN w:val="0"/>
        <w:adjustRightInd w:val="0"/>
        <w:ind w:left="357" w:hanging="357"/>
        <w:textAlignment w:val="baseline"/>
      </w:pPr>
      <w:r>
        <w:t xml:space="preserve">Solicită o </w:t>
      </w:r>
      <w:r>
        <w:rPr>
          <w:b/>
        </w:rPr>
        <w:t>evaluare serioasă a impactului</w:t>
      </w:r>
      <w:r>
        <w:t xml:space="preserve"> programului Orizont 2020 și realizarea de investiții în </w:t>
      </w:r>
      <w:r>
        <w:rPr>
          <w:b/>
        </w:rPr>
        <w:t>comunicarea</w:t>
      </w:r>
      <w:r>
        <w:t xml:space="preserve"> privind acest program, întrucât implicarea societății civile și sprijinirea finanțării C&amp;I sunt considerate esențiale.</w:t>
      </w:r>
    </w:p>
    <w:p w:rsidRPr="0097506E" w:rsidR="00721B7D" w:rsidP="00721B7D" w:rsidRDefault="00721B7D" w14:paraId="3DD0E781" w14:textId="085ACB3C">
      <w:pPr>
        <w:overflowPunct w:val="0"/>
        <w:autoSpaceDE w:val="0"/>
        <w:autoSpaceDN w:val="0"/>
        <w:adjustRightInd w:val="0"/>
        <w:textAlignment w:val="baseline"/>
        <w:rPr>
          <w:sz w:val="18"/>
          <w:szCs w:val="1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164813" w:rsidR="00721B7D" w:rsidTr="0097506E" w14:paraId="48480C8D" w14:textId="77777777">
        <w:tc>
          <w:tcPr>
            <w:tcW w:w="1843" w:type="dxa"/>
          </w:tcPr>
          <w:p w:rsidRPr="00164813" w:rsidR="00721B7D" w:rsidP="00726054" w:rsidRDefault="00721B7D" w14:paraId="124E23BF" w14:textId="77777777">
            <w:pPr>
              <w:contextualSpacing/>
              <w:rPr>
                <w:i/>
              </w:rPr>
            </w:pPr>
            <w:r>
              <w:rPr>
                <w:b/>
                <w:i/>
              </w:rPr>
              <w:t>Date de contact</w:t>
            </w:r>
          </w:p>
        </w:tc>
        <w:tc>
          <w:tcPr>
            <w:tcW w:w="5245" w:type="dxa"/>
          </w:tcPr>
          <w:p w:rsidRPr="00164813" w:rsidR="00721B7D" w:rsidP="00726054" w:rsidRDefault="00721B7D" w14:paraId="5ABE0EBB" w14:textId="22479A14">
            <w:pPr>
              <w:contextualSpacing/>
              <w:rPr>
                <w:i/>
              </w:rPr>
            </w:pPr>
            <w:r>
              <w:rPr>
                <w:i/>
              </w:rPr>
              <w:t xml:space="preserve">Silvia </w:t>
            </w:r>
            <w:proofErr w:type="spellStart"/>
            <w:r>
              <w:rPr>
                <w:i/>
              </w:rPr>
              <w:t>Staffa</w:t>
            </w:r>
            <w:proofErr w:type="spellEnd"/>
            <w:r>
              <w:rPr>
                <w:i/>
              </w:rPr>
              <w:t>/Igor Caldeira</w:t>
            </w:r>
          </w:p>
        </w:tc>
      </w:tr>
      <w:tr w:rsidRPr="00164813" w:rsidR="00721B7D" w:rsidTr="0097506E" w14:paraId="3C68F61C" w14:textId="77777777">
        <w:tc>
          <w:tcPr>
            <w:tcW w:w="1843" w:type="dxa"/>
          </w:tcPr>
          <w:p w:rsidRPr="00164813" w:rsidR="00721B7D" w:rsidP="00726054" w:rsidRDefault="00721B7D" w14:paraId="0F16574A" w14:textId="77777777">
            <w:pPr>
              <w:ind w:left="601"/>
              <w:contextualSpacing/>
              <w:rPr>
                <w:i/>
              </w:rPr>
            </w:pPr>
            <w:r>
              <w:rPr>
                <w:i/>
              </w:rPr>
              <w:t>Tel.:</w:t>
            </w:r>
          </w:p>
        </w:tc>
        <w:tc>
          <w:tcPr>
            <w:tcW w:w="5245" w:type="dxa"/>
          </w:tcPr>
          <w:p w:rsidRPr="00164813" w:rsidR="00721B7D" w:rsidP="00726054" w:rsidRDefault="00721B7D" w14:paraId="671F7218" w14:textId="0CC719A5">
            <w:pPr>
              <w:contextualSpacing/>
              <w:rPr>
                <w:i/>
              </w:rPr>
            </w:pPr>
            <w:r>
              <w:rPr>
                <w:i/>
              </w:rPr>
              <w:t>00 32 2 546 83 78 / 00 32 2 546 21 73</w:t>
            </w:r>
          </w:p>
        </w:tc>
      </w:tr>
      <w:tr w:rsidRPr="00164813" w:rsidR="00721B7D" w:rsidTr="0097506E" w14:paraId="530D1789" w14:textId="77777777">
        <w:tc>
          <w:tcPr>
            <w:tcW w:w="1843" w:type="dxa"/>
          </w:tcPr>
          <w:p w:rsidRPr="00164813" w:rsidR="00721B7D" w:rsidP="00726054" w:rsidRDefault="00721B7D" w14:paraId="21B65F86" w14:textId="77777777">
            <w:pPr>
              <w:ind w:left="601"/>
              <w:contextualSpacing/>
              <w:rPr>
                <w:i/>
              </w:rPr>
            </w:pPr>
            <w:r>
              <w:rPr>
                <w:i/>
              </w:rPr>
              <w:t>E-mail</w:t>
            </w:r>
          </w:p>
        </w:tc>
        <w:tc>
          <w:tcPr>
            <w:tcW w:w="5245" w:type="dxa"/>
          </w:tcPr>
          <w:p w:rsidRPr="003F78A9" w:rsidR="00721B7D" w:rsidP="00245CC6" w:rsidRDefault="00C12F9B" w14:paraId="6C7B58DD" w14:textId="6ADB733A">
            <w:pPr>
              <w:ind w:right="-114"/>
              <w:contextualSpacing/>
              <w:rPr>
                <w:i/>
                <w:iCs/>
              </w:rPr>
            </w:pPr>
            <w:hyperlink w:history="1" r:id="rId26">
              <w:r w:rsidR="00472A1F">
                <w:rPr>
                  <w:rStyle w:val="Hyperlink"/>
                  <w:i/>
                </w:rPr>
                <w:t>Silvia.Staffa@eesc.europa.eu</w:t>
              </w:r>
            </w:hyperlink>
            <w:r w:rsidR="00472A1F">
              <w:t xml:space="preserve">, </w:t>
            </w:r>
            <w:hyperlink w:history="1" r:id="rId27">
              <w:r w:rsidR="00472A1F">
                <w:rPr>
                  <w:rStyle w:val="Hyperlink"/>
                  <w:i/>
                </w:rPr>
                <w:t>Igor.Caldeira@eesc.europa.eu</w:t>
              </w:r>
            </w:hyperlink>
          </w:p>
        </w:tc>
      </w:tr>
    </w:tbl>
    <w:p w:rsidRPr="0097506E" w:rsidR="00726054" w:rsidRDefault="00726054" w14:paraId="14D83260" w14:textId="29108BB0">
      <w:pPr>
        <w:spacing w:after="160" w:line="259" w:lineRule="auto"/>
        <w:jc w:val="left"/>
        <w:rPr>
          <w:sz w:val="14"/>
          <w:szCs w:val="14"/>
        </w:rPr>
      </w:pPr>
      <w:r>
        <w:br w:type="page"/>
      </w:r>
    </w:p>
    <w:p w:rsidRPr="00D70F4B" w:rsidR="00164813" w:rsidP="00E4355F" w:rsidRDefault="00627D71" w14:paraId="1DADE393" w14:textId="197415F9">
      <w:pPr>
        <w:pStyle w:val="ListParagraph"/>
        <w:keepNext/>
        <w:numPr>
          <w:ilvl w:val="0"/>
          <w:numId w:val="2"/>
        </w:numPr>
        <w:ind w:left="567" w:hanging="567"/>
      </w:pPr>
      <w:bookmarkStart w:name="_Hlk125970424" w:id="17"/>
      <w:bookmarkStart w:name="_Hlk130740055" w:id="18"/>
      <w:r>
        <w:rPr>
          <w:b/>
          <w:i/>
          <w:sz w:val="28"/>
        </w:rPr>
        <w:lastRenderedPageBreak/>
        <w:t>Raport pe 2022 de analiză prospectivă strategică</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Raportor</w:t>
            </w:r>
          </w:p>
        </w:tc>
        <w:tc>
          <w:tcPr>
            <w:tcW w:w="6096" w:type="dxa"/>
          </w:tcPr>
          <w:p w:rsidRPr="007E7A4F" w:rsidR="00164813" w:rsidP="00B83E7B" w:rsidRDefault="00627D71" w14:paraId="2BCDDC29" w14:textId="47928BD9">
            <w:pPr>
              <w:pStyle w:val="ListParagraph"/>
              <w:ind w:left="-108"/>
            </w:pPr>
            <w:proofErr w:type="spellStart"/>
            <w:r>
              <w:t>Angelo</w:t>
            </w:r>
            <w:proofErr w:type="spellEnd"/>
            <w:r>
              <w:t xml:space="preserve"> PAGLIARA (Grupul „Lucrători” – IT)</w:t>
            </w:r>
          </w:p>
        </w:tc>
      </w:tr>
      <w:tr w:rsidRPr="009B70E7" w:rsidR="00627D71" w:rsidTr="00B83E7B" w14:paraId="7ADC324C" w14:textId="77777777">
        <w:tc>
          <w:tcPr>
            <w:tcW w:w="1701" w:type="dxa"/>
          </w:tcPr>
          <w:p w:rsidRPr="009B70E7" w:rsidR="00627D71" w:rsidP="00B83E7B" w:rsidRDefault="00627D71" w14:paraId="4D59D9BA" w14:textId="77777777">
            <w:pPr>
              <w:pStyle w:val="ListParagraph"/>
              <w:ind w:left="0"/>
              <w:rPr>
                <w:b/>
              </w:rPr>
            </w:pPr>
          </w:p>
        </w:tc>
        <w:tc>
          <w:tcPr>
            <w:tcW w:w="6096" w:type="dxa"/>
          </w:tcPr>
          <w:p w:rsidR="00627D71" w:rsidP="00B83E7B" w:rsidRDefault="00627D71" w14:paraId="0B028605" w14:textId="77777777">
            <w:pPr>
              <w:tabs>
                <w:tab w:val="center" w:pos="284"/>
              </w:tabs>
              <w:ind w:left="266" w:hanging="374"/>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Referințe </w:t>
            </w:r>
          </w:p>
        </w:tc>
        <w:tc>
          <w:tcPr>
            <w:tcW w:w="6096" w:type="dxa"/>
          </w:tcPr>
          <w:p w:rsidRPr="009B70E7" w:rsidR="00164813" w:rsidP="00B83E7B" w:rsidRDefault="005C0454" w14:paraId="1EB81693" w14:textId="697F0F35">
            <w:pPr>
              <w:tabs>
                <w:tab w:val="center" w:pos="284"/>
              </w:tabs>
              <w:ind w:left="266" w:hanging="374"/>
            </w:pPr>
            <w:r>
              <w:t>COM(2022) 289 final</w:t>
            </w:r>
          </w:p>
          <w:p w:rsidRPr="009B70E7" w:rsidR="00164813" w:rsidP="00B83E7B" w:rsidRDefault="00ED377B" w14:paraId="1746D341" w14:textId="7AF82F97">
            <w:pPr>
              <w:pStyle w:val="ListParagraph"/>
              <w:ind w:left="-108"/>
            </w:pPr>
            <w:r>
              <w:t>EESC-2022-04981-00-00-AC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Punctele principale:</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CESE:</w:t>
      </w:r>
    </w:p>
    <w:p w:rsidRPr="0018231C" w:rsidR="00164813" w:rsidP="00164813" w:rsidRDefault="00164813" w14:paraId="7D5F280C" w14:textId="77777777">
      <w:pPr>
        <w:pStyle w:val="ListParagraph"/>
        <w:ind w:left="0"/>
        <w:rPr>
          <w:lang w:val="fr-FR"/>
        </w:rPr>
      </w:pPr>
    </w:p>
    <w:p w:rsidRPr="00A3344B" w:rsidR="00A3344B" w:rsidP="00164813" w:rsidRDefault="00627D71" w14:paraId="5C624B6F" w14:textId="31A23FAC">
      <w:pPr>
        <w:numPr>
          <w:ilvl w:val="0"/>
          <w:numId w:val="3"/>
        </w:numPr>
        <w:overflowPunct w:val="0"/>
        <w:autoSpaceDE w:val="0"/>
        <w:autoSpaceDN w:val="0"/>
        <w:adjustRightInd w:val="0"/>
        <w:ind w:left="357" w:hanging="357"/>
        <w:textAlignment w:val="baseline"/>
      </w:pPr>
      <w:r>
        <w:t xml:space="preserve">încurajează Comisia </w:t>
      </w:r>
      <w:r>
        <w:rPr>
          <w:b/>
        </w:rPr>
        <w:t>să continue dezvoltarea agendei analizei prospective strategice</w:t>
      </w:r>
      <w:r>
        <w:t xml:space="preserve"> și solicită </w:t>
      </w:r>
      <w:r>
        <w:rPr>
          <w:b/>
        </w:rPr>
        <w:t>o mai mare implicare a sa în acest proces încă de la început</w:t>
      </w:r>
      <w:r>
        <w:t>. Implicarea sporită a CESE în calitate de voce a partenerilor sociali și a societății civile organizate ar îmbunătăți capacitatea analitică și prospectivă și ar contribui la identificarea tendințelor și a posibilelor soluții.</w:t>
      </w:r>
    </w:p>
    <w:p w:rsidR="00627D71" w:rsidP="00627D71" w:rsidRDefault="00627D71" w14:paraId="199EB6A6" w14:textId="77777777">
      <w:pPr>
        <w:numPr>
          <w:ilvl w:val="0"/>
          <w:numId w:val="3"/>
        </w:numPr>
        <w:overflowPunct w:val="0"/>
        <w:autoSpaceDE w:val="0"/>
        <w:autoSpaceDN w:val="0"/>
        <w:adjustRightInd w:val="0"/>
        <w:ind w:left="357" w:hanging="357"/>
        <w:textAlignment w:val="baseline"/>
      </w:pPr>
      <w:bookmarkStart w:name="_Hlk130223576" w:id="19"/>
      <w:r>
        <w:t xml:space="preserve">solicită ca agenda analizei prospective strategice și acțiunea Comisiei Europene </w:t>
      </w:r>
      <w:r>
        <w:rPr>
          <w:b/>
        </w:rPr>
        <w:t>să aibă în vedere construirea unui nou model de dezvoltare axat pe durabilitate economică, de mediu și socială</w:t>
      </w:r>
      <w:r>
        <w:t>.</w:t>
      </w:r>
      <w:bookmarkEnd w:id="19"/>
    </w:p>
    <w:p w:rsidR="00627D71" w:rsidP="00627D71" w:rsidRDefault="00627D71" w14:paraId="1C8F5949" w14:textId="3FED424D">
      <w:pPr>
        <w:numPr>
          <w:ilvl w:val="0"/>
          <w:numId w:val="3"/>
        </w:numPr>
        <w:overflowPunct w:val="0"/>
        <w:autoSpaceDE w:val="0"/>
        <w:autoSpaceDN w:val="0"/>
        <w:adjustRightInd w:val="0"/>
        <w:ind w:left="357" w:hanging="357"/>
        <w:textAlignment w:val="baseline"/>
      </w:pPr>
      <w:r>
        <w:t>solicită să se ia în considerare următoarele domenii strategice de politică în cadrul viitoarelor exerciții de analiză prospectivă:</w:t>
      </w:r>
    </w:p>
    <w:p w:rsidR="00627D71" w:rsidP="00627D71" w:rsidRDefault="00627D71" w14:paraId="42611372" w14:textId="77777777">
      <w:pPr>
        <w:numPr>
          <w:ilvl w:val="0"/>
          <w:numId w:val="32"/>
        </w:numPr>
        <w:overflowPunct w:val="0"/>
        <w:autoSpaceDE w:val="0"/>
        <w:autoSpaceDN w:val="0"/>
        <w:adjustRightInd w:val="0"/>
        <w:textAlignment w:val="baseline"/>
      </w:pPr>
      <w:r>
        <w:t xml:space="preserve">Sistemele de aprovizionare și reziliența sectorului agroalimentar european. </w:t>
      </w:r>
    </w:p>
    <w:p w:rsidR="00627D71" w:rsidP="00627D71" w:rsidRDefault="00627D71" w14:paraId="2133D2A9" w14:textId="77777777">
      <w:pPr>
        <w:numPr>
          <w:ilvl w:val="0"/>
          <w:numId w:val="32"/>
        </w:numPr>
        <w:overflowPunct w:val="0"/>
        <w:autoSpaceDE w:val="0"/>
        <w:autoSpaceDN w:val="0"/>
        <w:adjustRightInd w:val="0"/>
        <w:textAlignment w:val="baseline"/>
      </w:pPr>
      <w:r>
        <w:t xml:space="preserve">Un sistem industrial european puternic, coerent și inovator, capabil să genereze locuri de muncă de calitate. </w:t>
      </w:r>
    </w:p>
    <w:p w:rsidR="00627D71" w:rsidP="00627D71" w:rsidRDefault="00627D71" w14:paraId="5C25537E" w14:textId="77777777">
      <w:pPr>
        <w:numPr>
          <w:ilvl w:val="0"/>
          <w:numId w:val="32"/>
        </w:numPr>
        <w:overflowPunct w:val="0"/>
        <w:autoSpaceDE w:val="0"/>
        <w:autoSpaceDN w:val="0"/>
        <w:adjustRightInd w:val="0"/>
        <w:textAlignment w:val="baseline"/>
      </w:pPr>
      <w:r>
        <w:t xml:space="preserve">Nevoia de autonomie energetică strategică și de sprijinire a întreprinderilor și lucrătorilor ca urmare a acțiunilor întreprinse în timpul crizei provocate de pandemie. </w:t>
      </w:r>
    </w:p>
    <w:p w:rsidR="00627D71" w:rsidP="00627D71" w:rsidRDefault="00627D71" w14:paraId="323F59EF" w14:textId="60C1DABB">
      <w:pPr>
        <w:numPr>
          <w:ilvl w:val="0"/>
          <w:numId w:val="32"/>
        </w:numPr>
        <w:overflowPunct w:val="0"/>
        <w:autoSpaceDE w:val="0"/>
        <w:autoSpaceDN w:val="0"/>
        <w:adjustRightInd w:val="0"/>
        <w:textAlignment w:val="baseline"/>
        <w:rPr>
          <w:bCs/>
          <w:iCs/>
        </w:rPr>
      </w:pPr>
      <w:r>
        <w:t>solicită să fie descrise mai clar riscurile și să fie analizate posibilitățile și scenariile în cazul în care obiectivele dorite nu sunt îndeplinite, în special disponibilitatea materiilor prime, a metalelor rare, a resurselor de apă și eventualele probleme conexe.</w:t>
      </w:r>
    </w:p>
    <w:p w:rsidRPr="00627D71" w:rsidR="00627D71" w:rsidP="00627D71" w:rsidRDefault="00627D71" w14:paraId="07F11F1D" w14:textId="5F707249">
      <w:pPr>
        <w:numPr>
          <w:ilvl w:val="0"/>
          <w:numId w:val="3"/>
        </w:numPr>
        <w:overflowPunct w:val="0"/>
        <w:autoSpaceDE w:val="0"/>
        <w:autoSpaceDN w:val="0"/>
        <w:adjustRightInd w:val="0"/>
        <w:ind w:left="357" w:hanging="357"/>
        <w:textAlignment w:val="baseline"/>
      </w:pPr>
      <w:r>
        <w:t xml:space="preserve">recunoaște că agresiunea militară a Rusiei împotriva Ucrainei, criza energetică și noua realitate economică și geopolitică vor avea un </w:t>
      </w:r>
      <w:r>
        <w:rPr>
          <w:b/>
        </w:rPr>
        <w:t>impact asupra traiectoriei către dubla tranziție</w:t>
      </w:r>
      <w:r>
        <w:t>.</w:t>
      </w:r>
    </w:p>
    <w:p w:rsidRPr="00627D71" w:rsidR="00627D71" w:rsidP="00627D71" w:rsidRDefault="00627D71" w14:paraId="77DD534D" w14:textId="03B170D2">
      <w:pPr>
        <w:numPr>
          <w:ilvl w:val="0"/>
          <w:numId w:val="3"/>
        </w:numPr>
        <w:overflowPunct w:val="0"/>
        <w:autoSpaceDE w:val="0"/>
        <w:autoSpaceDN w:val="0"/>
        <w:adjustRightInd w:val="0"/>
        <w:ind w:left="357" w:hanging="357"/>
        <w:textAlignment w:val="baseline"/>
      </w:pPr>
      <w:r>
        <w:t xml:space="preserve">salută </w:t>
      </w:r>
      <w:r>
        <w:rPr>
          <w:b/>
        </w:rPr>
        <w:t>referințele tot mai dese la dimensiunea socială</w:t>
      </w:r>
      <w:r>
        <w:t xml:space="preserve"> și, așa cum a afirmat deja în avizul său din 2021, cere să fie elaborate instrumente de previzionare a impactului tranzițiilor asupra sistemelor de securitate socială și să propună măsuri de atenuare a efectelor sociale ale dublei tranziții.</w:t>
      </w:r>
    </w:p>
    <w:p w:rsidRPr="00627D71" w:rsidR="00627D71" w:rsidP="00627D71" w:rsidRDefault="00627D71" w14:paraId="4941DD57" w14:textId="561EAA8A">
      <w:pPr>
        <w:numPr>
          <w:ilvl w:val="0"/>
          <w:numId w:val="3"/>
        </w:numPr>
        <w:overflowPunct w:val="0"/>
        <w:autoSpaceDE w:val="0"/>
        <w:autoSpaceDN w:val="0"/>
        <w:adjustRightInd w:val="0"/>
        <w:ind w:left="357" w:hanging="357"/>
        <w:textAlignment w:val="baseline"/>
      </w:pPr>
      <w:r>
        <w:t>consideră că UE trebuie să își respecte valorile și să continue să colaboreze cu țările terțe, consolidând politica externă comună, căutând soluții comune și garantând că cooperarea și comerțul nostru sunt benefice pentru drepturile economice și sociale ale popoarelor acestor țări, în vederea durabilității pe termen lung.</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E4355F" w:rsidTr="0097506E" w14:paraId="3DA9FCD8" w14:textId="77777777">
        <w:tc>
          <w:tcPr>
            <w:tcW w:w="1701" w:type="dxa"/>
          </w:tcPr>
          <w:p w:rsidRPr="00164813" w:rsidR="00E4355F" w:rsidP="00726054" w:rsidRDefault="00E4355F" w14:paraId="1C6720FA" w14:textId="77777777">
            <w:pPr>
              <w:contextualSpacing/>
              <w:rPr>
                <w:i/>
              </w:rPr>
            </w:pPr>
            <w:r>
              <w:rPr>
                <w:b/>
                <w:i/>
              </w:rPr>
              <w:t>Date de contact</w:t>
            </w:r>
          </w:p>
        </w:tc>
        <w:tc>
          <w:tcPr>
            <w:tcW w:w="5387" w:type="dxa"/>
          </w:tcPr>
          <w:p w:rsidRPr="00164813" w:rsidR="00E4355F" w:rsidP="00726054" w:rsidRDefault="00627D71" w14:paraId="3B68C713" w14:textId="278C2F40">
            <w:pPr>
              <w:contextualSpacing/>
              <w:rPr>
                <w:i/>
              </w:rPr>
            </w:pPr>
            <w:proofErr w:type="spellStart"/>
            <w:r>
              <w:rPr>
                <w:i/>
              </w:rPr>
              <w:t>Raúl</w:t>
            </w:r>
            <w:proofErr w:type="spellEnd"/>
            <w:r>
              <w:rPr>
                <w:i/>
              </w:rPr>
              <w:t xml:space="preserve"> Muriel </w:t>
            </w:r>
            <w:proofErr w:type="spellStart"/>
            <w:r>
              <w:rPr>
                <w:i/>
              </w:rPr>
              <w:t>Carrasco</w:t>
            </w:r>
            <w:proofErr w:type="spellEnd"/>
          </w:p>
        </w:tc>
      </w:tr>
      <w:tr w:rsidRPr="00164813" w:rsidR="00E4355F" w:rsidTr="0097506E" w14:paraId="3CC1DDE1" w14:textId="77777777">
        <w:tc>
          <w:tcPr>
            <w:tcW w:w="1701" w:type="dxa"/>
          </w:tcPr>
          <w:p w:rsidRPr="00164813" w:rsidR="00E4355F" w:rsidP="00726054" w:rsidRDefault="00E4355F" w14:paraId="3D55B53F" w14:textId="77777777">
            <w:pPr>
              <w:ind w:left="601"/>
              <w:contextualSpacing/>
              <w:rPr>
                <w:i/>
              </w:rPr>
            </w:pPr>
            <w:r>
              <w:rPr>
                <w:i/>
              </w:rPr>
              <w:t>tel.</w:t>
            </w:r>
          </w:p>
        </w:tc>
        <w:tc>
          <w:tcPr>
            <w:tcW w:w="5387" w:type="dxa"/>
          </w:tcPr>
          <w:p w:rsidRPr="00164813" w:rsidR="00E4355F" w:rsidP="00726054" w:rsidRDefault="00E4355F" w14:paraId="1C17165E" w14:textId="702F6F7C">
            <w:pPr>
              <w:contextualSpacing/>
              <w:rPr>
                <w:i/>
              </w:rPr>
            </w:pPr>
            <w:r>
              <w:rPr>
                <w:i/>
              </w:rPr>
              <w:t>00 32 2 546 82 70</w:t>
            </w:r>
          </w:p>
        </w:tc>
      </w:tr>
      <w:tr w:rsidRPr="00164813" w:rsidR="00E4355F" w:rsidTr="0097506E" w14:paraId="46542E19" w14:textId="77777777">
        <w:tc>
          <w:tcPr>
            <w:tcW w:w="1701" w:type="dxa"/>
          </w:tcPr>
          <w:p w:rsidRPr="00164813" w:rsidR="00E4355F" w:rsidP="00726054" w:rsidRDefault="00E4355F" w14:paraId="7469D062" w14:textId="77777777">
            <w:pPr>
              <w:ind w:left="601"/>
              <w:contextualSpacing/>
              <w:rPr>
                <w:i/>
              </w:rPr>
            </w:pPr>
            <w:r>
              <w:rPr>
                <w:i/>
              </w:rPr>
              <w:t>e-mail:</w:t>
            </w:r>
          </w:p>
        </w:tc>
        <w:tc>
          <w:tcPr>
            <w:tcW w:w="5387" w:type="dxa"/>
          </w:tcPr>
          <w:p w:rsidRPr="00CE7111" w:rsidR="00E4355F" w:rsidP="00726054" w:rsidRDefault="00C12F9B" w14:paraId="1A6C4307" w14:textId="2C79B623">
            <w:pPr>
              <w:contextualSpacing/>
              <w:rPr>
                <w:i/>
                <w:iCs/>
              </w:rPr>
            </w:pPr>
            <w:hyperlink w:history="1" r:id="rId28">
              <w:r w:rsidR="00472A1F">
                <w:rPr>
                  <w:rStyle w:val="Hyperlink"/>
                  <w:i/>
                </w:rPr>
                <w:t>Raul.Murielcarrasco@eesc.europa.eu</w:t>
              </w:r>
            </w:hyperlink>
          </w:p>
        </w:tc>
      </w:tr>
      <w:bookmarkEnd w:id="17"/>
      <w:bookmarkEnd w:id="18"/>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AA5C1D" w:rsidR="00AA5C1D" w:rsidP="00AA5C1D" w:rsidRDefault="00507FBD" w14:paraId="2EE2A332" w14:textId="07214A78">
      <w:pPr>
        <w:pStyle w:val="ListParagraph"/>
        <w:numPr>
          <w:ilvl w:val="0"/>
          <w:numId w:val="2"/>
        </w:numPr>
        <w:ind w:left="567" w:hanging="567"/>
        <w:rPr>
          <w:b/>
          <w:bCs/>
          <w:i/>
          <w:iCs/>
          <w:sz w:val="28"/>
          <w:szCs w:val="28"/>
        </w:rPr>
      </w:pPr>
      <w:bookmarkStart w:name="_Hlk130281118" w:id="20"/>
      <w:r>
        <w:rPr>
          <w:b/>
          <w:i/>
          <w:sz w:val="28"/>
        </w:rPr>
        <w:lastRenderedPageBreak/>
        <w:t>Actul privind Europa interoperabilă</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726054" w14:paraId="377CFA40" w14:textId="77777777">
        <w:tc>
          <w:tcPr>
            <w:tcW w:w="1701" w:type="dxa"/>
          </w:tcPr>
          <w:p w:rsidR="00AA5C1D" w:rsidP="00726054" w:rsidRDefault="00AA5C1D" w14:paraId="5C15ED0E" w14:textId="77777777">
            <w:pPr>
              <w:pStyle w:val="ListParagraph"/>
              <w:ind w:left="0"/>
              <w:rPr>
                <w:b/>
              </w:rPr>
            </w:pPr>
            <w:r>
              <w:rPr>
                <w:b/>
              </w:rPr>
              <w:t>Raportor</w:t>
            </w:r>
          </w:p>
          <w:p w:rsidRPr="009B70E7" w:rsidR="00E302BC" w:rsidP="00726054" w:rsidRDefault="00E302BC" w14:paraId="6700269D" w14:textId="4C78E621">
            <w:pPr>
              <w:pStyle w:val="ListParagraph"/>
              <w:ind w:left="0"/>
              <w:rPr>
                <w:b/>
              </w:rPr>
            </w:pPr>
          </w:p>
        </w:tc>
        <w:tc>
          <w:tcPr>
            <w:tcW w:w="6096" w:type="dxa"/>
          </w:tcPr>
          <w:p w:rsidR="00AA5C1D" w:rsidP="00726054" w:rsidRDefault="00DF3ABC" w14:paraId="283EF046" w14:textId="56F38DBE">
            <w:pPr>
              <w:pStyle w:val="ListParagraph"/>
              <w:ind w:left="-108"/>
            </w:pPr>
            <w:r>
              <w:t>Vasco DE MELLO (Grupul „Angajatori” – PT)</w:t>
            </w:r>
          </w:p>
          <w:p w:rsidRPr="007E7A4F" w:rsidR="00E302BC" w:rsidP="00726054" w:rsidRDefault="00E302BC" w14:paraId="0BD64E0D" w14:textId="678F2318">
            <w:pPr>
              <w:pStyle w:val="ListParagraph"/>
              <w:ind w:left="-108"/>
              <w:rPr>
                <w:lang w:val="fr-BE"/>
              </w:rPr>
            </w:pPr>
          </w:p>
        </w:tc>
      </w:tr>
      <w:tr w:rsidRPr="009B70E7" w:rsidR="00AA5C1D" w:rsidTr="00726054" w14:paraId="4E577528" w14:textId="77777777">
        <w:tc>
          <w:tcPr>
            <w:tcW w:w="1701" w:type="dxa"/>
          </w:tcPr>
          <w:p w:rsidRPr="009B70E7" w:rsidR="00AA5C1D" w:rsidP="00726054" w:rsidRDefault="00AA5C1D" w14:paraId="7CEEDB52" w14:textId="1C12C238">
            <w:pPr>
              <w:pStyle w:val="ListParagraph"/>
              <w:ind w:left="0"/>
              <w:rPr>
                <w:b/>
              </w:rPr>
            </w:pPr>
            <w:r>
              <w:rPr>
                <w:b/>
              </w:rPr>
              <w:t xml:space="preserve">Referințe </w:t>
            </w:r>
          </w:p>
        </w:tc>
        <w:tc>
          <w:tcPr>
            <w:tcW w:w="6096" w:type="dxa"/>
          </w:tcPr>
          <w:p w:rsidRPr="009B70E7" w:rsidR="00AA5C1D" w:rsidP="00726054" w:rsidRDefault="004429E2" w14:paraId="7260D9BD" w14:textId="645CB3A4">
            <w:pPr>
              <w:tabs>
                <w:tab w:val="center" w:pos="284"/>
              </w:tabs>
              <w:ind w:left="266" w:hanging="374"/>
            </w:pPr>
            <w:r>
              <w:t>COM(2022) 710-720 final</w:t>
            </w:r>
          </w:p>
          <w:p w:rsidRPr="009B70E7" w:rsidR="00AA5C1D" w:rsidP="00726054" w:rsidRDefault="00AA5C1D" w14:paraId="088E18BB" w14:textId="67CB883B">
            <w:pPr>
              <w:pStyle w:val="ListParagraph"/>
              <w:ind w:left="-108"/>
            </w:pPr>
            <w:r>
              <w:t>EESC-2022-05805-00-00-AC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Punctele principale:</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CESE:</w:t>
      </w:r>
    </w:p>
    <w:p w:rsidRPr="0018231C" w:rsidR="00AA5C1D" w:rsidP="00AA5C1D" w:rsidRDefault="00AA5C1D" w14:paraId="7DF02088" w14:textId="77777777">
      <w:pPr>
        <w:pStyle w:val="ListParagraph"/>
        <w:ind w:left="0"/>
        <w:rPr>
          <w:lang w:val="fr-FR"/>
        </w:rPr>
      </w:pPr>
    </w:p>
    <w:p w:rsidRPr="00A3344B" w:rsidR="00AA5C1D" w:rsidP="00AA5C1D" w:rsidRDefault="00507FBD" w14:paraId="001CF33A" w14:textId="7371C9FC">
      <w:pPr>
        <w:numPr>
          <w:ilvl w:val="0"/>
          <w:numId w:val="3"/>
        </w:numPr>
        <w:overflowPunct w:val="0"/>
        <w:autoSpaceDE w:val="0"/>
        <w:autoSpaceDN w:val="0"/>
        <w:adjustRightInd w:val="0"/>
        <w:ind w:left="357" w:hanging="357"/>
        <w:textAlignment w:val="baseline"/>
      </w:pPr>
      <w:r>
        <w:t>consideră că interoperabilitatea serviciilor publice este o cerință esențială pentru instituirea unei piețe unice digitale;</w:t>
      </w:r>
    </w:p>
    <w:p w:rsidR="00CE7111" w:rsidP="00AA5C1D" w:rsidRDefault="00507FBD" w14:paraId="5FE2D52F" w14:textId="1E473EE6">
      <w:pPr>
        <w:numPr>
          <w:ilvl w:val="0"/>
          <w:numId w:val="3"/>
        </w:numPr>
        <w:overflowPunct w:val="0"/>
        <w:autoSpaceDE w:val="0"/>
        <w:autoSpaceDN w:val="0"/>
        <w:adjustRightInd w:val="0"/>
        <w:ind w:left="357" w:hanging="357"/>
        <w:textAlignment w:val="baseline"/>
      </w:pPr>
      <w:r>
        <w:t xml:space="preserve">cu toate acestea, este de părere că realizarea acestui obiectiv </w:t>
      </w:r>
      <w:r>
        <w:rPr>
          <w:b/>
        </w:rPr>
        <w:t>nu trebuie să implice adoptarea de către statele membre a unei politici de digitalizare completă a serviciilor publice, în detrimentul serviciilor furnizate în persoană</w:t>
      </w:r>
      <w:r>
        <w:t xml:space="preserve">; este necesar să se țină seama de cele mai vulnerabile grupuri de cetățeni. </w:t>
      </w:r>
      <w:r>
        <w:rPr>
          <w:b/>
        </w:rPr>
        <w:t>Formarea privind competențele digitale</w:t>
      </w:r>
      <w:r>
        <w:t xml:space="preserve"> ar trebui să fie disponibilă pentru toți, dar în special pentru aceste grupuri de populație;</w:t>
      </w:r>
    </w:p>
    <w:p w:rsidRPr="00402A19" w:rsidR="00507FBD" w:rsidP="00AA5C1D" w:rsidRDefault="00507FBD" w14:paraId="2E44CAA8" w14:textId="3DD609F6">
      <w:pPr>
        <w:numPr>
          <w:ilvl w:val="0"/>
          <w:numId w:val="3"/>
        </w:numPr>
        <w:overflowPunct w:val="0"/>
        <w:autoSpaceDE w:val="0"/>
        <w:autoSpaceDN w:val="0"/>
        <w:adjustRightInd w:val="0"/>
        <w:ind w:left="357" w:hanging="357"/>
        <w:textAlignment w:val="baseline"/>
      </w:pPr>
      <w:r>
        <w:t xml:space="preserve">observă că, în loc să reducă personalul, dezvoltarea și operarea serviciilor digitale vor crea inițial o nevoie suplimentară de personal. </w:t>
      </w:r>
      <w:r>
        <w:rPr>
          <w:b/>
        </w:rPr>
        <w:t>Asigurarea personalului adecvat este o condiție prealabilă pentru succesul transformării digitale</w:t>
      </w:r>
      <w:r>
        <w:t>;</w:t>
      </w:r>
    </w:p>
    <w:p w:rsidR="00402A19" w:rsidP="00AA5C1D" w:rsidRDefault="00402A19" w14:paraId="5748E880" w14:textId="2D8FCEF9">
      <w:pPr>
        <w:numPr>
          <w:ilvl w:val="0"/>
          <w:numId w:val="3"/>
        </w:numPr>
        <w:overflowPunct w:val="0"/>
        <w:autoSpaceDE w:val="0"/>
        <w:autoSpaceDN w:val="0"/>
        <w:adjustRightInd w:val="0"/>
        <w:ind w:left="357" w:hanging="357"/>
        <w:textAlignment w:val="baseline"/>
      </w:pPr>
      <w:r>
        <w:t>consideră că este important ca viitoarele programe de finanțare a proiectelor de interoperabilitate a serviciilor publice să condiționeze acordarea fondurilor de adoptarea principiilor și structurilor preconizate de Cadrul european de interoperabilitate;</w:t>
      </w:r>
    </w:p>
    <w:p w:rsidR="00402A19" w:rsidP="00AA5C1D" w:rsidRDefault="00402A19" w14:paraId="010403E6" w14:textId="0B9DAC18">
      <w:pPr>
        <w:numPr>
          <w:ilvl w:val="0"/>
          <w:numId w:val="3"/>
        </w:numPr>
        <w:overflowPunct w:val="0"/>
        <w:autoSpaceDE w:val="0"/>
        <w:autoSpaceDN w:val="0"/>
        <w:adjustRightInd w:val="0"/>
        <w:ind w:left="357" w:hanging="357"/>
        <w:textAlignment w:val="baseline"/>
      </w:pPr>
      <w:r>
        <w:t xml:space="preserve">salută faptul că acest proces se înscrie în contextul așa-numitei duble tranziții, însă avertizează că </w:t>
      </w:r>
      <w:r>
        <w:rPr>
          <w:b/>
        </w:rPr>
        <w:t>unele dintre soluțiile tehnologice în materie de digitalizare ar putea fi mari consumatoare de energie</w:t>
      </w:r>
      <w:r>
        <w:t>;</w:t>
      </w:r>
    </w:p>
    <w:p w:rsidR="00402A19" w:rsidP="00AA5C1D" w:rsidRDefault="00402A19" w14:paraId="3ADFBCA8" w14:textId="57CD4FB7">
      <w:pPr>
        <w:numPr>
          <w:ilvl w:val="0"/>
          <w:numId w:val="3"/>
        </w:numPr>
        <w:overflowPunct w:val="0"/>
        <w:autoSpaceDE w:val="0"/>
        <w:autoSpaceDN w:val="0"/>
        <w:adjustRightInd w:val="0"/>
        <w:ind w:left="357" w:hanging="357"/>
        <w:textAlignment w:val="baseline"/>
      </w:pPr>
      <w:r>
        <w:t xml:space="preserve">consideră că </w:t>
      </w:r>
      <w:r>
        <w:rPr>
          <w:b/>
        </w:rPr>
        <w:t>protecția datelor, chiar și însoțită de precauțiile necesare, nu trebuie să constituie un obstacol</w:t>
      </w:r>
      <w:r>
        <w:t xml:space="preserve"> în calea creării de noi soluții de interoperabilitate, fie de către serviciile publice, fie de către persoane fizice;</w:t>
      </w:r>
    </w:p>
    <w:p w:rsidR="00402A19" w:rsidP="00AA5C1D" w:rsidRDefault="00402A19" w14:paraId="7A77F4D2" w14:textId="40775535">
      <w:pPr>
        <w:numPr>
          <w:ilvl w:val="0"/>
          <w:numId w:val="3"/>
        </w:numPr>
        <w:overflowPunct w:val="0"/>
        <w:autoSpaceDE w:val="0"/>
        <w:autoSpaceDN w:val="0"/>
        <w:adjustRightInd w:val="0"/>
        <w:ind w:left="357" w:hanging="357"/>
        <w:textAlignment w:val="baseline"/>
      </w:pPr>
      <w:r>
        <w:t xml:space="preserve">consideră că accesibilitatea datelor, atât pentru cetățeni, pentru întreprinderi, cât și pentru serviciile publice, ar trebui să facă obiectul unor niveluri diferite de autorizare, pentru a </w:t>
      </w:r>
      <w:r>
        <w:rPr>
          <w:b/>
        </w:rPr>
        <w:t>garanta confidențialitatea datelor</w:t>
      </w:r>
      <w:r>
        <w:t xml:space="preserve"> și pentru a le comunica numai pe cele strict necesare.</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AA5C1D" w:rsidTr="00F70110" w14:paraId="41C508F8" w14:textId="77777777">
        <w:tc>
          <w:tcPr>
            <w:tcW w:w="1701" w:type="dxa"/>
          </w:tcPr>
          <w:p w:rsidRPr="00164813" w:rsidR="00AA5C1D" w:rsidP="00726054" w:rsidRDefault="00AA5C1D" w14:paraId="682B16C4" w14:textId="247691B3">
            <w:pPr>
              <w:contextualSpacing/>
              <w:rPr>
                <w:i/>
              </w:rPr>
            </w:pPr>
            <w:r>
              <w:rPr>
                <w:b/>
                <w:i/>
              </w:rPr>
              <w:t>Date de contact</w:t>
            </w:r>
          </w:p>
        </w:tc>
        <w:tc>
          <w:tcPr>
            <w:tcW w:w="5387" w:type="dxa"/>
          </w:tcPr>
          <w:p w:rsidRPr="00164813" w:rsidR="00AA5C1D" w:rsidP="00726054" w:rsidRDefault="00402A19" w14:paraId="58153CA9" w14:textId="7E8AFC90">
            <w:pPr>
              <w:contextualSpacing/>
              <w:rPr>
                <w:i/>
              </w:rPr>
            </w:pPr>
            <w:proofErr w:type="spellStart"/>
            <w:r>
              <w:rPr>
                <w:i/>
              </w:rPr>
              <w:t>Raquel</w:t>
            </w:r>
            <w:proofErr w:type="spellEnd"/>
            <w:r>
              <w:rPr>
                <w:i/>
              </w:rPr>
              <w:t xml:space="preserve"> Ferreira da Silva</w:t>
            </w:r>
          </w:p>
        </w:tc>
      </w:tr>
      <w:tr w:rsidRPr="00164813" w:rsidR="00AA5C1D" w:rsidTr="00F70110" w14:paraId="72CAC45A" w14:textId="77777777">
        <w:tc>
          <w:tcPr>
            <w:tcW w:w="1701" w:type="dxa"/>
          </w:tcPr>
          <w:p w:rsidRPr="00164813" w:rsidR="00AA5C1D" w:rsidP="00726054" w:rsidRDefault="00AA5C1D" w14:paraId="3EF5E950" w14:textId="73C04D47">
            <w:pPr>
              <w:ind w:left="601"/>
              <w:contextualSpacing/>
              <w:rPr>
                <w:i/>
              </w:rPr>
            </w:pPr>
            <w:r>
              <w:rPr>
                <w:i/>
              </w:rPr>
              <w:t>tel.</w:t>
            </w:r>
          </w:p>
        </w:tc>
        <w:tc>
          <w:tcPr>
            <w:tcW w:w="5387" w:type="dxa"/>
          </w:tcPr>
          <w:p w:rsidRPr="00164813" w:rsidR="00AA5C1D" w:rsidP="00726054" w:rsidRDefault="00AA5C1D" w14:paraId="7B046605" w14:textId="362A5E79">
            <w:pPr>
              <w:contextualSpacing/>
              <w:rPr>
                <w:i/>
              </w:rPr>
            </w:pPr>
            <w:r>
              <w:rPr>
                <w:i/>
              </w:rPr>
              <w:t>00 32 2 546 91 13</w:t>
            </w:r>
          </w:p>
        </w:tc>
      </w:tr>
      <w:tr w:rsidRPr="00164813" w:rsidR="00AA5C1D" w:rsidTr="00F70110" w14:paraId="73DA6362" w14:textId="77777777">
        <w:tc>
          <w:tcPr>
            <w:tcW w:w="1701" w:type="dxa"/>
          </w:tcPr>
          <w:p w:rsidRPr="00164813" w:rsidR="00AA5C1D" w:rsidP="00726054" w:rsidRDefault="00AA5C1D" w14:paraId="67DB9852" w14:textId="3361810C">
            <w:pPr>
              <w:ind w:left="601"/>
              <w:contextualSpacing/>
              <w:rPr>
                <w:i/>
              </w:rPr>
            </w:pPr>
            <w:r>
              <w:rPr>
                <w:i/>
              </w:rPr>
              <w:t>e-mail:</w:t>
            </w:r>
          </w:p>
        </w:tc>
        <w:tc>
          <w:tcPr>
            <w:tcW w:w="5387" w:type="dxa"/>
          </w:tcPr>
          <w:p w:rsidRPr="00D93D43" w:rsidR="00D93D43" w:rsidP="009A3E0E" w:rsidRDefault="00C12F9B" w14:paraId="49BD07A0" w14:textId="02B9A5FF">
            <w:pPr>
              <w:contextualSpacing/>
              <w:rPr>
                <w:i/>
                <w:iCs/>
                <w:color w:val="0000FF"/>
                <w:u w:val="single"/>
              </w:rPr>
            </w:pPr>
            <w:hyperlink w:history="1" r:id="rId29">
              <w:r w:rsidR="00472A1F">
                <w:rPr>
                  <w:rStyle w:val="Hyperlink"/>
                  <w:i/>
                </w:rPr>
                <w:t>Raquel.Ferreiradasilva@eesc.europa.eu</w:t>
              </w:r>
            </w:hyperlink>
          </w:p>
        </w:tc>
      </w:tr>
      <w:bookmarkEnd w:id="20"/>
    </w:tbl>
    <w:p w:rsidR="00D93D43" w:rsidRDefault="00D93D43" w14:paraId="64CC52D5" w14:textId="77777777">
      <w:r>
        <w:br w:type="page"/>
      </w:r>
    </w:p>
    <w:p w:rsidRPr="009B70E7" w:rsidR="00D93D43" w:rsidP="00D93D43" w:rsidRDefault="00D93D43" w14:paraId="4B68C961" w14:textId="042EEDB4">
      <w:pPr>
        <w:pStyle w:val="ListParagraph"/>
        <w:keepNext/>
        <w:numPr>
          <w:ilvl w:val="0"/>
          <w:numId w:val="2"/>
        </w:numPr>
        <w:ind w:left="567" w:hanging="567"/>
        <w:rPr>
          <w:b/>
          <w:i/>
          <w:sz w:val="28"/>
          <w:szCs w:val="28"/>
        </w:rPr>
      </w:pPr>
      <w:bookmarkStart w:name="_Hlk130282294" w:id="21"/>
      <w:r>
        <w:rPr>
          <w:b/>
          <w:i/>
          <w:sz w:val="28"/>
        </w:rPr>
        <w:lastRenderedPageBreak/>
        <w:t>Consolidarea convergenței procedurilor de insolvență</w:t>
      </w:r>
    </w:p>
    <w:p w:rsidRPr="009B70E7" w:rsidR="00D93D43" w:rsidP="00D93D43" w:rsidRDefault="00D93D43" w14:paraId="0E02720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D61100" w:rsidR="00D93D43" w:rsidTr="00726054" w14:paraId="663B372D" w14:textId="77777777">
        <w:trPr>
          <w:cantSplit/>
          <w:trHeight w:val="284" w:hRule="exact"/>
        </w:trPr>
        <w:tc>
          <w:tcPr>
            <w:tcW w:w="1701" w:type="dxa"/>
          </w:tcPr>
          <w:p w:rsidRPr="00D61100" w:rsidR="00D93D43" w:rsidP="00726054" w:rsidRDefault="00D93D43" w14:paraId="0EDDE7BE" w14:textId="77777777">
            <w:pPr>
              <w:pStyle w:val="ListParagraph"/>
              <w:spacing w:line="240" w:lineRule="auto"/>
              <w:ind w:left="-142" w:firstLine="142"/>
              <w:rPr>
                <w:b/>
              </w:rPr>
            </w:pPr>
            <w:r>
              <w:rPr>
                <w:b/>
              </w:rPr>
              <w:t>Raportoare</w:t>
            </w:r>
          </w:p>
          <w:p w:rsidRPr="00D61100" w:rsidR="00D93D43" w:rsidP="00726054" w:rsidRDefault="00D93D43" w14:paraId="72100C08" w14:textId="77777777">
            <w:pPr>
              <w:pStyle w:val="ListParagraph"/>
              <w:keepNext/>
              <w:ind w:left="0"/>
              <w:rPr>
                <w:b/>
              </w:rPr>
            </w:pPr>
          </w:p>
        </w:tc>
        <w:tc>
          <w:tcPr>
            <w:tcW w:w="6096" w:type="dxa"/>
          </w:tcPr>
          <w:p w:rsidRPr="00D61100" w:rsidR="00D93D43" w:rsidP="00726054" w:rsidRDefault="00D61100" w14:paraId="6CAA8EF5" w14:textId="563A6736">
            <w:pPr>
              <w:pStyle w:val="ListParagraph"/>
              <w:ind w:left="-52"/>
            </w:pPr>
            <w:r>
              <w:t>Sandra PARTHIE (Grupul „Angajatori” – DE)</w:t>
            </w:r>
          </w:p>
        </w:tc>
      </w:tr>
      <w:tr w:rsidRPr="00D61100" w:rsidR="00D93D43" w:rsidTr="00726054" w14:paraId="6CF873E9" w14:textId="77777777">
        <w:trPr>
          <w:cantSplit/>
          <w:trHeight w:val="567" w:hRule="exact"/>
        </w:trPr>
        <w:tc>
          <w:tcPr>
            <w:tcW w:w="1701" w:type="dxa"/>
          </w:tcPr>
          <w:p w:rsidRPr="00D61100" w:rsidR="00D93D43" w:rsidP="00726054" w:rsidRDefault="00D93D43" w14:paraId="08C0A207" w14:textId="77777777">
            <w:pPr>
              <w:pStyle w:val="ListParagraph"/>
              <w:ind w:left="0"/>
              <w:rPr>
                <w:b/>
              </w:rPr>
            </w:pPr>
            <w:r>
              <w:rPr>
                <w:b/>
              </w:rPr>
              <w:t>Coraportor</w:t>
            </w:r>
          </w:p>
        </w:tc>
        <w:tc>
          <w:tcPr>
            <w:tcW w:w="6096" w:type="dxa"/>
          </w:tcPr>
          <w:p w:rsidRPr="00D61100" w:rsidR="00D93D43" w:rsidP="00726054" w:rsidRDefault="00D61100" w14:paraId="61149080" w14:textId="0E848375">
            <w:pPr>
              <w:pStyle w:val="ListParagraph"/>
              <w:ind w:left="-52"/>
            </w:pPr>
            <w:r>
              <w:t>Philip VON BROCKDORFF (Grupul „Lucrători” – MT)</w:t>
            </w:r>
          </w:p>
        </w:tc>
      </w:tr>
      <w:tr w:rsidRPr="00D61100" w:rsidR="00D93D43" w:rsidTr="00726054" w14:paraId="44C1DA4C" w14:textId="77777777">
        <w:tc>
          <w:tcPr>
            <w:tcW w:w="1701" w:type="dxa"/>
          </w:tcPr>
          <w:p w:rsidRPr="00D61100" w:rsidR="00D93D43" w:rsidP="00726054" w:rsidRDefault="00D93D43" w14:paraId="1283A3B0" w14:textId="77777777">
            <w:pPr>
              <w:pStyle w:val="ListParagraph"/>
              <w:ind w:left="0"/>
              <w:rPr>
                <w:b/>
              </w:rPr>
            </w:pPr>
            <w:r>
              <w:rPr>
                <w:b/>
              </w:rPr>
              <w:t xml:space="preserve">Referințe </w:t>
            </w:r>
          </w:p>
        </w:tc>
        <w:tc>
          <w:tcPr>
            <w:tcW w:w="6096" w:type="dxa"/>
          </w:tcPr>
          <w:p w:rsidRPr="00D61100" w:rsidR="00D93D43" w:rsidP="00726054" w:rsidRDefault="00D93D43" w14:paraId="5F2B5C18" w14:textId="6C32BC03">
            <w:pPr>
              <w:pStyle w:val="ListParagraph"/>
              <w:ind w:left="-52"/>
            </w:pPr>
            <w:r>
              <w:t>COM(2022) 702 final</w:t>
            </w:r>
          </w:p>
          <w:p w:rsidRPr="00D61100" w:rsidR="00D93D43" w:rsidP="00726054" w:rsidRDefault="00D93D43" w14:paraId="1D78F7A9" w14:textId="5C17C23B">
            <w:pPr>
              <w:pStyle w:val="ListParagraph"/>
              <w:ind w:left="-52"/>
            </w:pPr>
            <w:r>
              <w:t>EESC-2022-05781-00-00-AC</w:t>
            </w:r>
          </w:p>
        </w:tc>
      </w:tr>
    </w:tbl>
    <w:p w:rsidRPr="00D61100" w:rsidR="00D93D43" w:rsidP="00D93D43" w:rsidRDefault="00D93D43" w14:paraId="5BE06F86" w14:textId="77777777">
      <w:pPr>
        <w:pStyle w:val="ListParagraph"/>
        <w:spacing w:line="240" w:lineRule="auto"/>
        <w:ind w:left="-142" w:firstLine="284"/>
        <w:rPr>
          <w:b/>
        </w:rPr>
      </w:pPr>
    </w:p>
    <w:p w:rsidRPr="00D61100" w:rsidR="00D93D43" w:rsidP="00D93D43" w:rsidRDefault="00D93D43" w14:paraId="4C234052" w14:textId="77777777">
      <w:pPr>
        <w:pStyle w:val="ListParagraph"/>
        <w:spacing w:line="240" w:lineRule="auto"/>
        <w:ind w:left="0"/>
        <w:rPr>
          <w:b/>
        </w:rPr>
      </w:pPr>
      <w:r>
        <w:rPr>
          <w:b/>
        </w:rPr>
        <w:t>Punctele principale:</w:t>
      </w:r>
    </w:p>
    <w:p w:rsidRPr="00D61100" w:rsidR="00D93D43" w:rsidP="00D93D43" w:rsidRDefault="00D93D43" w14:paraId="7F675F0E" w14:textId="77777777">
      <w:pPr>
        <w:pStyle w:val="ListParagraph"/>
        <w:ind w:left="0"/>
      </w:pPr>
    </w:p>
    <w:p w:rsidRPr="00D61100" w:rsidR="00D93D43" w:rsidP="00D93D43" w:rsidRDefault="00D93D43" w14:paraId="3BB6910D" w14:textId="77777777">
      <w:pPr>
        <w:pStyle w:val="ListParagraph"/>
        <w:spacing w:line="240" w:lineRule="auto"/>
        <w:ind w:left="0"/>
        <w:rPr>
          <w:bCs/>
        </w:rPr>
      </w:pPr>
      <w:r>
        <w:t>CESE:</w:t>
      </w:r>
    </w:p>
    <w:p w:rsidRPr="00D61100" w:rsidR="00D93D43" w:rsidP="00D93D43" w:rsidRDefault="00D93D43" w14:paraId="65E76807" w14:textId="77777777">
      <w:pPr>
        <w:pStyle w:val="ListParagraph"/>
        <w:ind w:left="0"/>
      </w:pPr>
    </w:p>
    <w:p w:rsidR="00D61100" w:rsidP="00D61100" w:rsidRDefault="00D61100" w14:paraId="5C89D3C1" w14:textId="77777777">
      <w:pPr>
        <w:pStyle w:val="ListParagraph"/>
        <w:numPr>
          <w:ilvl w:val="0"/>
          <w:numId w:val="3"/>
        </w:numPr>
        <w:ind w:left="357" w:hanging="357"/>
      </w:pPr>
      <w:r>
        <w:t xml:space="preserve">subliniază că </w:t>
      </w:r>
      <w:r>
        <w:rPr>
          <w:b/>
        </w:rPr>
        <w:t>un regim de insolvență conceput în mod corespunzător ar trebui să ajute întreprinderile viabile să rămână operaționale</w:t>
      </w:r>
      <w:r>
        <w:t>, evitând lichidarea lor prematură. Scopul ar trebui să fie găsirea unui echilibru între insolvența prematură și declanșarea tardivă a procedurilor;</w:t>
      </w:r>
    </w:p>
    <w:p w:rsidRPr="00D61100" w:rsidR="00D61100" w:rsidP="00D61100" w:rsidRDefault="00D61100" w14:paraId="53B7A304" w14:textId="77777777">
      <w:pPr>
        <w:pStyle w:val="ListParagraph"/>
        <w:numPr>
          <w:ilvl w:val="0"/>
          <w:numId w:val="3"/>
        </w:numPr>
        <w:ind w:left="357" w:hanging="357"/>
      </w:pPr>
      <w:r>
        <w:t xml:space="preserve">se îndoiește că propunerea, prezentată drept un pas important în acoperirea lacunelor relevante în îmbunătățirea uniunii piețelor de capital a UE, poate răspunde cu adevărat acestei așteptări. </w:t>
      </w:r>
      <w:r>
        <w:rPr>
          <w:b/>
        </w:rPr>
        <w:t>Propunerea nu oferă o definiție armonizată a motivelor de insolvență și a rangului creanțelor</w:t>
      </w:r>
      <w:r>
        <w:t>, ambele aspecte fiind esențiale pentru o eficiență sporită și pentru limitarea fragmentării existente la nivelul normelor naționale în materie de insolvență.</w:t>
      </w:r>
    </w:p>
    <w:p w:rsidRPr="00D61100" w:rsidR="00D61100" w:rsidP="00D61100" w:rsidRDefault="00D61100" w14:paraId="73F012B5" w14:textId="644AD3A1">
      <w:pPr>
        <w:pStyle w:val="ListParagraph"/>
        <w:numPr>
          <w:ilvl w:val="0"/>
          <w:numId w:val="3"/>
        </w:numPr>
        <w:ind w:left="357" w:hanging="357"/>
      </w:pPr>
      <w:r>
        <w:t xml:space="preserve">Prin urmare, CESE îndeamnă Comisia, Parlamentul și Consiliul să revizuiască propunerea de la articolul 27, de a obliga </w:t>
      </w:r>
      <w:proofErr w:type="spellStart"/>
      <w:r>
        <w:t>contrapărțile</w:t>
      </w:r>
      <w:proofErr w:type="spellEnd"/>
      <w:r>
        <w:t xml:space="preserve">, precum furnizorii unei întreprinderi care intră într-o procedură de insolvență, să semneze contracte executorii, care sunt atribuite apoi achizitorului întreprinderii fără consimțământul </w:t>
      </w:r>
      <w:proofErr w:type="spellStart"/>
      <w:r>
        <w:t>contrapărții</w:t>
      </w:r>
      <w:proofErr w:type="spellEnd"/>
      <w:r>
        <w:t>;</w:t>
      </w:r>
    </w:p>
    <w:p w:rsidRPr="00D61100" w:rsidR="00D61100" w:rsidP="00D61100" w:rsidRDefault="00D61100" w14:paraId="0F4996BB" w14:textId="783A32E7">
      <w:pPr>
        <w:pStyle w:val="ListParagraph"/>
        <w:numPr>
          <w:ilvl w:val="0"/>
          <w:numId w:val="3"/>
        </w:numPr>
        <w:ind w:left="357" w:hanging="357"/>
      </w:pPr>
      <w:r>
        <w:t xml:space="preserve">salută propunerea de </w:t>
      </w:r>
      <w:r>
        <w:rPr>
          <w:b/>
        </w:rPr>
        <w:t>introducere a unei proceduri speciale pentru facilitarea și accelerarea lichidării microîntreprinderilor</w:t>
      </w:r>
      <w:r>
        <w:t>, care permite un proces de insolvență mai eficient din punctul de vedere al costurilor pentru aceste întreprinderi;</w:t>
      </w:r>
    </w:p>
    <w:p w:rsidR="00D61100" w:rsidP="00D61100" w:rsidRDefault="00D61100" w14:paraId="07FC72FE" w14:textId="784ABC99">
      <w:pPr>
        <w:pStyle w:val="ListParagraph"/>
        <w:numPr>
          <w:ilvl w:val="0"/>
          <w:numId w:val="3"/>
        </w:numPr>
        <w:ind w:left="357" w:hanging="357"/>
      </w:pPr>
      <w:r>
        <w:t xml:space="preserve">recomandă </w:t>
      </w:r>
      <w:r>
        <w:rPr>
          <w:b/>
        </w:rPr>
        <w:t>recurgerea la</w:t>
      </w:r>
      <w:r>
        <w:t xml:space="preserve"> alți actori competenți, alții decât instanțele naționale, cum ar fi </w:t>
      </w:r>
      <w:r>
        <w:rPr>
          <w:b/>
        </w:rPr>
        <w:t>practicienii în insolvență, pentru a contribui la reducerea sarcinii asupra sistemului judiciar</w:t>
      </w:r>
      <w:r>
        <w:t>;</w:t>
      </w:r>
    </w:p>
    <w:p w:rsidRPr="00D61100" w:rsidR="00D93D43" w:rsidP="00D61100" w:rsidRDefault="00D61100" w14:paraId="6A09ADC8" w14:textId="3160D470">
      <w:pPr>
        <w:pStyle w:val="ListParagraph"/>
        <w:numPr>
          <w:ilvl w:val="0"/>
          <w:numId w:val="3"/>
        </w:numPr>
        <w:ind w:left="357" w:hanging="357"/>
      </w:pPr>
      <w:r>
        <w:t xml:space="preserve">este de părere că regimurile eficiente privind insolvența și drepturile </w:t>
      </w:r>
      <w:r>
        <w:rPr>
          <w:b/>
        </w:rPr>
        <w:t xml:space="preserve">creditorilor/debitorilor sunt unul dintre instrumentele complementare </w:t>
      </w:r>
      <w:r>
        <w:t xml:space="preserve">de care dispun decidenții politici </w:t>
      </w:r>
      <w:r>
        <w:rPr>
          <w:b/>
        </w:rPr>
        <w:t xml:space="preserve">pentru a stopa creșterea creditelor neperformante </w:t>
      </w:r>
      <w:r>
        <w:t>prin creșterea probabilității de rambursare a creditului și prin ajustarea mai rapidă a nivelurilor creditelor neperformante.</w:t>
      </w:r>
    </w:p>
    <w:p w:rsidRPr="00D61100" w:rsidR="00D93D43" w:rsidP="00D93D43" w:rsidRDefault="00D93D43" w14:paraId="105CC5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D61100" w:rsidR="00D93D43" w:rsidTr="00F70110" w14:paraId="5761D3A4" w14:textId="77777777">
        <w:tc>
          <w:tcPr>
            <w:tcW w:w="1701" w:type="dxa"/>
          </w:tcPr>
          <w:p w:rsidRPr="00D61100" w:rsidR="00D93D43" w:rsidP="00726054" w:rsidRDefault="00D93D43" w14:paraId="52144BCD" w14:textId="77777777">
            <w:pPr>
              <w:pStyle w:val="ListParagraph"/>
              <w:ind w:left="0"/>
              <w:rPr>
                <w:i/>
              </w:rPr>
            </w:pPr>
            <w:r>
              <w:rPr>
                <w:b/>
                <w:i/>
              </w:rPr>
              <w:t>Date de contact</w:t>
            </w:r>
          </w:p>
        </w:tc>
        <w:tc>
          <w:tcPr>
            <w:tcW w:w="5387" w:type="dxa"/>
          </w:tcPr>
          <w:p w:rsidRPr="00D61100" w:rsidR="00D93D43" w:rsidP="00726054" w:rsidRDefault="00D61100" w14:paraId="6FACE889" w14:textId="7361F682">
            <w:pPr>
              <w:pStyle w:val="ListParagraph"/>
              <w:ind w:left="0"/>
              <w:rPr>
                <w:i/>
              </w:rPr>
            </w:pPr>
            <w:r>
              <w:rPr>
                <w:i/>
              </w:rPr>
              <w:t>Dalila Bernard</w:t>
            </w:r>
          </w:p>
        </w:tc>
      </w:tr>
      <w:tr w:rsidRPr="00D61100" w:rsidR="00D93D43" w:rsidTr="00F70110" w14:paraId="2D672D67" w14:textId="77777777">
        <w:tc>
          <w:tcPr>
            <w:tcW w:w="1701" w:type="dxa"/>
          </w:tcPr>
          <w:p w:rsidRPr="00D61100" w:rsidR="00D93D43" w:rsidP="00726054" w:rsidRDefault="00D93D43" w14:paraId="5F012ECA" w14:textId="77777777">
            <w:pPr>
              <w:pStyle w:val="ListParagraph"/>
              <w:ind w:left="601"/>
              <w:rPr>
                <w:i/>
              </w:rPr>
            </w:pPr>
            <w:r>
              <w:rPr>
                <w:i/>
              </w:rPr>
              <w:t>Tel.:</w:t>
            </w:r>
          </w:p>
        </w:tc>
        <w:tc>
          <w:tcPr>
            <w:tcW w:w="5387" w:type="dxa"/>
          </w:tcPr>
          <w:p w:rsidRPr="00D61100" w:rsidR="00D93D43" w:rsidP="00726054" w:rsidRDefault="00D93D43" w14:paraId="4B6CF105" w14:textId="11106733">
            <w:pPr>
              <w:pStyle w:val="ListParagraph"/>
              <w:ind w:left="0"/>
              <w:rPr>
                <w:i/>
              </w:rPr>
            </w:pPr>
            <w:r>
              <w:rPr>
                <w:i/>
              </w:rPr>
              <w:t>00 32 2 546 84 38</w:t>
            </w:r>
          </w:p>
        </w:tc>
      </w:tr>
      <w:tr w:rsidRPr="001D770D" w:rsidR="00D93D43" w:rsidTr="00F70110" w14:paraId="34B06F22" w14:textId="77777777">
        <w:tc>
          <w:tcPr>
            <w:tcW w:w="1701" w:type="dxa"/>
          </w:tcPr>
          <w:p w:rsidRPr="00D61100" w:rsidR="00D93D43" w:rsidP="00726054" w:rsidRDefault="00D93D43" w14:paraId="6A458110" w14:textId="77777777">
            <w:pPr>
              <w:pStyle w:val="ListParagraph"/>
              <w:ind w:left="601"/>
              <w:rPr>
                <w:i/>
              </w:rPr>
            </w:pPr>
            <w:r>
              <w:rPr>
                <w:i/>
              </w:rPr>
              <w:t>e-mail:</w:t>
            </w:r>
          </w:p>
        </w:tc>
        <w:tc>
          <w:tcPr>
            <w:tcW w:w="5387" w:type="dxa"/>
          </w:tcPr>
          <w:p w:rsidRPr="002859C4" w:rsidR="00D93D43" w:rsidP="00726054" w:rsidRDefault="00C12F9B" w14:paraId="077528F2" w14:textId="141B6193">
            <w:pPr>
              <w:pStyle w:val="ListParagraph"/>
              <w:ind w:left="0"/>
              <w:rPr>
                <w:i/>
                <w:iCs/>
                <w:color w:val="0000FF"/>
                <w:u w:val="single"/>
              </w:rPr>
            </w:pPr>
            <w:hyperlink w:history="1" r:id="rId30">
              <w:r w:rsidR="00472A1F">
                <w:rPr>
                  <w:rStyle w:val="Hyperlink"/>
                  <w:i/>
                </w:rPr>
                <w:t>Dalila.Bernard@eesc.europa.eu</w:t>
              </w:r>
            </w:hyperlink>
          </w:p>
        </w:tc>
      </w:tr>
      <w:bookmarkEnd w:id="21"/>
    </w:tbl>
    <w:p w:rsidR="00D61100" w:rsidRDefault="00D61100" w14:paraId="4E3BBDCF" w14:textId="2A58C163">
      <w:pPr>
        <w:spacing w:after="160" w:line="259" w:lineRule="auto"/>
        <w:jc w:val="left"/>
        <w:rPr>
          <w:sz w:val="28"/>
        </w:rPr>
      </w:pPr>
    </w:p>
    <w:p w:rsidR="00D61100" w:rsidRDefault="00D61100" w14:paraId="29FFCA56" w14:textId="77777777">
      <w:pPr>
        <w:spacing w:after="160" w:line="259" w:lineRule="auto"/>
        <w:jc w:val="left"/>
        <w:rPr>
          <w:sz w:val="28"/>
        </w:rPr>
      </w:pPr>
      <w:r>
        <w:br w:type="page"/>
      </w:r>
    </w:p>
    <w:p w:rsidRPr="00AA5C1D" w:rsidR="00D61100" w:rsidP="00D61100" w:rsidRDefault="00D61100" w14:paraId="75586775" w14:textId="43D2ED9A">
      <w:pPr>
        <w:pStyle w:val="ListParagraph"/>
        <w:numPr>
          <w:ilvl w:val="0"/>
          <w:numId w:val="2"/>
        </w:numPr>
        <w:ind w:left="567" w:hanging="567"/>
        <w:rPr>
          <w:b/>
          <w:bCs/>
          <w:i/>
          <w:iCs/>
          <w:sz w:val="28"/>
          <w:szCs w:val="28"/>
        </w:rPr>
      </w:pPr>
      <w:bookmarkStart w:name="_Hlk130311970" w:id="22"/>
      <w:r>
        <w:rPr>
          <w:b/>
          <w:i/>
          <w:sz w:val="28"/>
        </w:rPr>
        <w:lastRenderedPageBreak/>
        <w:t>Revizuirea directivei și a regulamentului privind desenele sau modelele industriale</w:t>
      </w:r>
    </w:p>
    <w:p w:rsidRPr="009B70E7" w:rsidR="00D61100" w:rsidP="00D61100" w:rsidRDefault="00D61100" w14:paraId="5B85E0E6"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D61100" w:rsidTr="00726054" w14:paraId="1519E60F" w14:textId="77777777">
        <w:tc>
          <w:tcPr>
            <w:tcW w:w="1701" w:type="dxa"/>
          </w:tcPr>
          <w:p w:rsidR="00D61100" w:rsidP="00726054" w:rsidRDefault="00D61100" w14:paraId="76F7073D" w14:textId="1DAB2D8C">
            <w:pPr>
              <w:pStyle w:val="ListParagraph"/>
              <w:ind w:left="0"/>
              <w:rPr>
                <w:b/>
              </w:rPr>
            </w:pPr>
            <w:r>
              <w:rPr>
                <w:b/>
              </w:rPr>
              <w:t>Raportor</w:t>
            </w:r>
          </w:p>
          <w:p w:rsidRPr="009B70E7" w:rsidR="00D61100" w:rsidP="00726054" w:rsidRDefault="00D61100" w14:paraId="54EEB46E" w14:textId="77777777">
            <w:pPr>
              <w:pStyle w:val="ListParagraph"/>
              <w:ind w:left="0"/>
              <w:rPr>
                <w:b/>
              </w:rPr>
            </w:pPr>
          </w:p>
        </w:tc>
        <w:tc>
          <w:tcPr>
            <w:tcW w:w="6096" w:type="dxa"/>
          </w:tcPr>
          <w:p w:rsidR="00D61100" w:rsidP="00726054" w:rsidRDefault="00D61100" w14:paraId="648CC33D" w14:textId="4F02F3B1">
            <w:pPr>
              <w:pStyle w:val="ListParagraph"/>
              <w:ind w:left="-108"/>
            </w:pPr>
            <w:proofErr w:type="spellStart"/>
            <w:r>
              <w:t>Ferre</w:t>
            </w:r>
            <w:proofErr w:type="spellEnd"/>
            <w:r>
              <w:t xml:space="preserve"> WYCKMANS (Grupul „Lucrători” – BE)</w:t>
            </w:r>
          </w:p>
          <w:p w:rsidRPr="007E7A4F" w:rsidR="00D61100" w:rsidP="00726054" w:rsidRDefault="00D61100" w14:paraId="072AEEDA" w14:textId="77777777">
            <w:pPr>
              <w:pStyle w:val="ListParagraph"/>
              <w:ind w:left="-108"/>
              <w:rPr>
                <w:lang w:val="fr-BE"/>
              </w:rPr>
            </w:pPr>
          </w:p>
        </w:tc>
      </w:tr>
      <w:tr w:rsidRPr="009B70E7" w:rsidR="00D61100" w:rsidTr="00726054" w14:paraId="4C3F50BA" w14:textId="77777777">
        <w:tc>
          <w:tcPr>
            <w:tcW w:w="1701" w:type="dxa"/>
          </w:tcPr>
          <w:p w:rsidRPr="009B70E7" w:rsidR="00D61100" w:rsidP="00726054" w:rsidRDefault="00D61100" w14:paraId="1D9B7E28" w14:textId="77777777">
            <w:pPr>
              <w:pStyle w:val="ListParagraph"/>
              <w:ind w:left="0"/>
              <w:rPr>
                <w:b/>
              </w:rPr>
            </w:pPr>
            <w:r>
              <w:rPr>
                <w:b/>
              </w:rPr>
              <w:t xml:space="preserve">Referințe </w:t>
            </w:r>
          </w:p>
        </w:tc>
        <w:tc>
          <w:tcPr>
            <w:tcW w:w="6096" w:type="dxa"/>
          </w:tcPr>
          <w:p w:rsidRPr="009B70E7" w:rsidR="00D61100" w:rsidP="00726054" w:rsidRDefault="00D61100" w14:paraId="71437A8D" w14:textId="64613A17">
            <w:pPr>
              <w:tabs>
                <w:tab w:val="center" w:pos="284"/>
              </w:tabs>
              <w:ind w:left="266" w:hanging="374"/>
            </w:pPr>
            <w:r>
              <w:t>COM(2022) 666-667 final</w:t>
            </w:r>
          </w:p>
          <w:p w:rsidRPr="009B70E7" w:rsidR="00D61100" w:rsidP="00726054" w:rsidRDefault="00D61100" w14:paraId="44C17200" w14:textId="24DB4AB1">
            <w:pPr>
              <w:pStyle w:val="ListParagraph"/>
              <w:ind w:left="-108"/>
            </w:pPr>
            <w:r>
              <w:t>EESC-2023-00101-00-00-AC</w:t>
            </w:r>
          </w:p>
        </w:tc>
      </w:tr>
    </w:tbl>
    <w:p w:rsidRPr="009B70E7" w:rsidR="00D61100" w:rsidP="00D61100" w:rsidRDefault="00D61100" w14:paraId="3408CA89" w14:textId="77777777">
      <w:pPr>
        <w:pStyle w:val="ListParagraph"/>
        <w:ind w:left="0"/>
        <w:rPr>
          <w:b/>
        </w:rPr>
      </w:pPr>
    </w:p>
    <w:p w:rsidRPr="00A00F37" w:rsidR="00D61100" w:rsidP="00D61100" w:rsidRDefault="00D61100" w14:paraId="504EB0E0" w14:textId="77777777">
      <w:pPr>
        <w:pStyle w:val="ListParagraph"/>
        <w:spacing w:line="240" w:lineRule="auto"/>
        <w:ind w:left="0"/>
        <w:rPr>
          <w:b/>
        </w:rPr>
      </w:pPr>
      <w:r>
        <w:rPr>
          <w:b/>
        </w:rPr>
        <w:t>Punctele principale:</w:t>
      </w:r>
    </w:p>
    <w:p w:rsidRPr="0018231C" w:rsidR="00D61100" w:rsidP="00D61100" w:rsidRDefault="00D61100" w14:paraId="75E469AC" w14:textId="77777777">
      <w:pPr>
        <w:pStyle w:val="ListParagraph"/>
        <w:ind w:left="0"/>
        <w:rPr>
          <w:lang w:val="fr-FR"/>
        </w:rPr>
      </w:pPr>
    </w:p>
    <w:p w:rsidR="00D61100" w:rsidP="00D61100" w:rsidRDefault="00D61100" w14:paraId="56B6E5B1" w14:textId="77777777">
      <w:pPr>
        <w:pStyle w:val="ListParagraph"/>
        <w:spacing w:line="240" w:lineRule="auto"/>
        <w:ind w:left="0"/>
      </w:pPr>
      <w:r>
        <w:t>CESE:</w:t>
      </w:r>
    </w:p>
    <w:p w:rsidRPr="0018231C" w:rsidR="00D61100" w:rsidP="00D61100" w:rsidRDefault="00D61100" w14:paraId="41969B08" w14:textId="77777777">
      <w:pPr>
        <w:pStyle w:val="ListParagraph"/>
        <w:ind w:left="0"/>
        <w:rPr>
          <w:lang w:val="fr-FR"/>
        </w:rPr>
      </w:pPr>
    </w:p>
    <w:p w:rsidR="008E2CDD" w:rsidP="008E2CDD" w:rsidRDefault="008E2CDD" w14:paraId="1E32CF88" w14:textId="77777777">
      <w:pPr>
        <w:numPr>
          <w:ilvl w:val="0"/>
          <w:numId w:val="3"/>
        </w:numPr>
        <w:overflowPunct w:val="0"/>
        <w:autoSpaceDE w:val="0"/>
        <w:autoSpaceDN w:val="0"/>
        <w:adjustRightInd w:val="0"/>
        <w:ind w:left="357" w:hanging="357"/>
        <w:textAlignment w:val="baseline"/>
      </w:pPr>
      <w:r>
        <w:rPr>
          <w:b/>
        </w:rPr>
        <w:t>aprobă noua definiție a desenului sau a modelului industrial</w:t>
      </w:r>
      <w:r>
        <w:t xml:space="preserve"> prevăzută în propunerea de directivă;</w:t>
      </w:r>
    </w:p>
    <w:p w:rsidR="008E2CDD" w:rsidP="008E2CDD" w:rsidRDefault="008E2CDD" w14:paraId="01E81CBB" w14:textId="436A1C14">
      <w:pPr>
        <w:numPr>
          <w:ilvl w:val="0"/>
          <w:numId w:val="3"/>
        </w:numPr>
        <w:overflowPunct w:val="0"/>
        <w:autoSpaceDE w:val="0"/>
        <w:autoSpaceDN w:val="0"/>
        <w:adjustRightInd w:val="0"/>
        <w:ind w:left="357" w:hanging="357"/>
        <w:textAlignment w:val="baseline"/>
      </w:pPr>
      <w:r>
        <w:t xml:space="preserve">sprijină </w:t>
      </w:r>
      <w:r>
        <w:rPr>
          <w:b/>
        </w:rPr>
        <w:t xml:space="preserve">limitarea protecției </w:t>
      </w:r>
      <w:r>
        <w:t xml:space="preserve">la caracteristicile aspectului, astfel cum sunt reprezentate în mod vizibil în cererea de înregistrare, deoarece aceasta sporește </w:t>
      </w:r>
      <w:r>
        <w:rPr>
          <w:b/>
        </w:rPr>
        <w:t>securitatea juridică a protecției</w:t>
      </w:r>
      <w:r>
        <w:t>;</w:t>
      </w:r>
    </w:p>
    <w:p w:rsidR="008E2CDD" w:rsidP="008E2CDD" w:rsidRDefault="008E2CDD" w14:paraId="581AE148" w14:textId="6987D9B3">
      <w:pPr>
        <w:numPr>
          <w:ilvl w:val="0"/>
          <w:numId w:val="3"/>
        </w:numPr>
        <w:overflowPunct w:val="0"/>
        <w:autoSpaceDE w:val="0"/>
        <w:autoSpaceDN w:val="0"/>
        <w:adjustRightInd w:val="0"/>
        <w:ind w:left="357" w:hanging="357"/>
        <w:textAlignment w:val="baseline"/>
      </w:pPr>
      <w:r>
        <w:t xml:space="preserve">salută faptul că propunerea de regulament preia soluția stabilită de Curtea de Justiție a Uniunii Europene în hotărârea sa „Acacia”, în care a clarificat interpretarea noțiunii de </w:t>
      </w:r>
      <w:r>
        <w:rPr>
          <w:b/>
        </w:rPr>
        <w:t>„clauză privind repararea”</w:t>
      </w:r>
      <w:r w:rsidRPr="00096286">
        <w:rPr>
          <w:rStyle w:val="FootnoteReference"/>
        </w:rPr>
        <w:footnoteReference w:id="1"/>
      </w:r>
      <w:r>
        <w:t xml:space="preserve">, în special deoarece această soluție îmbunătățește </w:t>
      </w:r>
      <w:r>
        <w:rPr>
          <w:b/>
        </w:rPr>
        <w:t>protecția consumatorilor</w:t>
      </w:r>
      <w:r>
        <w:t>;</w:t>
      </w:r>
    </w:p>
    <w:p w:rsidR="008E2CDD" w:rsidP="008E2CDD" w:rsidRDefault="008E2CDD" w14:paraId="03CC17A5" w14:textId="0D2B3286">
      <w:pPr>
        <w:numPr>
          <w:ilvl w:val="0"/>
          <w:numId w:val="3"/>
        </w:numPr>
        <w:overflowPunct w:val="0"/>
        <w:autoSpaceDE w:val="0"/>
        <w:autoSpaceDN w:val="0"/>
        <w:adjustRightInd w:val="0"/>
        <w:ind w:left="357" w:hanging="357"/>
        <w:textAlignment w:val="baseline"/>
      </w:pPr>
      <w:r>
        <w:rPr>
          <w:b/>
        </w:rPr>
        <w:t>nu consideră că fuzionarea taxei de publicare cu taxa de înregistrare va reduce valoarea totală</w:t>
      </w:r>
      <w:r>
        <w:t xml:space="preserve"> a taxelor datorate, deoarece costul reînnoirilor, astfel cum a fost propus, se majorează drastic;</w:t>
      </w:r>
    </w:p>
    <w:p w:rsidR="008E2CDD" w:rsidP="008E2CDD" w:rsidRDefault="008E2CDD" w14:paraId="293213CC" w14:textId="632B9876">
      <w:pPr>
        <w:numPr>
          <w:ilvl w:val="0"/>
          <w:numId w:val="3"/>
        </w:numPr>
        <w:overflowPunct w:val="0"/>
        <w:autoSpaceDE w:val="0"/>
        <w:autoSpaceDN w:val="0"/>
        <w:adjustRightInd w:val="0"/>
        <w:ind w:left="357" w:hanging="357"/>
        <w:textAlignment w:val="baseline"/>
      </w:pPr>
      <w:r>
        <w:t xml:space="preserve">solicită să se prevadă </w:t>
      </w:r>
      <w:r>
        <w:rPr>
          <w:b/>
        </w:rPr>
        <w:t>sume mai mici pentru IMM-uri și proiectanții independenți</w:t>
      </w:r>
      <w:r>
        <w:t>, după caz, proporțional cu cifra de afaceri a acestora;</w:t>
      </w:r>
    </w:p>
    <w:p w:rsidR="008E2CDD" w:rsidP="008E2CDD" w:rsidRDefault="008E2CDD" w14:paraId="5DE63904" w14:textId="35DF3AB2">
      <w:pPr>
        <w:numPr>
          <w:ilvl w:val="0"/>
          <w:numId w:val="3"/>
        </w:numPr>
        <w:overflowPunct w:val="0"/>
        <w:autoSpaceDE w:val="0"/>
        <w:autoSpaceDN w:val="0"/>
        <w:adjustRightInd w:val="0"/>
        <w:ind w:left="357" w:hanging="357"/>
        <w:textAlignment w:val="baseline"/>
      </w:pPr>
      <w:r>
        <w:t xml:space="preserve">consideră că </w:t>
      </w:r>
      <w:r>
        <w:rPr>
          <w:b/>
        </w:rPr>
        <w:t>simplificarea adusă de eliminarea regulii privind „unitatea de clasă” este necesară, dar insuficientă</w:t>
      </w:r>
      <w:r>
        <w:t xml:space="preserve">, deoarece trebuie în continuare să se îmbunătățească ergonomia sistemelor de înregistrare a desenelor sau a modelelor industriale prezentate pe site-urile oficiilor naționale pentru proprietate industrială și al Oficiului Uniunii Europene pentru Proprietate Intelectuală (EUIPO). Pentru a face față acestei provocări, oficiile s-ar putea adresa </w:t>
      </w:r>
      <w:r>
        <w:rPr>
          <w:b/>
        </w:rPr>
        <w:t>agenților de brevete</w:t>
      </w:r>
      <w:r>
        <w:t>;</w:t>
      </w:r>
    </w:p>
    <w:p w:rsidRPr="00A3344B" w:rsidR="008E2CDD" w:rsidP="008E2CDD" w:rsidRDefault="008E2CDD" w14:paraId="63BC3103" w14:textId="33F27B81">
      <w:pPr>
        <w:numPr>
          <w:ilvl w:val="0"/>
          <w:numId w:val="3"/>
        </w:numPr>
        <w:overflowPunct w:val="0"/>
        <w:autoSpaceDE w:val="0"/>
        <w:autoSpaceDN w:val="0"/>
        <w:adjustRightInd w:val="0"/>
        <w:ind w:left="357" w:hanging="357"/>
        <w:textAlignment w:val="baseline"/>
      </w:pPr>
      <w:r>
        <w:t xml:space="preserve">consideră că </w:t>
      </w:r>
      <w:r>
        <w:rPr>
          <w:b/>
        </w:rPr>
        <w:t>nu este oportun să se utilizeze articolul 290 din Tratatul privind funcționarea Uniunii Europene (TFUE)</w:t>
      </w:r>
      <w:r>
        <w:t xml:space="preserve"> pentru a stabili norme privind litigiile și căile de atac împotriva deciziilor EUIPO.</w:t>
      </w:r>
    </w:p>
    <w:p w:rsidRPr="009A3E0E" w:rsidR="00D61100" w:rsidP="00D61100" w:rsidRDefault="00D61100" w14:paraId="199CE962"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D61100" w:rsidTr="00F70110" w14:paraId="6338276E" w14:textId="77777777">
        <w:tc>
          <w:tcPr>
            <w:tcW w:w="1701" w:type="dxa"/>
          </w:tcPr>
          <w:p w:rsidRPr="00164813" w:rsidR="00D61100" w:rsidP="00726054" w:rsidRDefault="00D61100" w14:paraId="33B20202" w14:textId="77777777">
            <w:pPr>
              <w:contextualSpacing/>
              <w:rPr>
                <w:i/>
              </w:rPr>
            </w:pPr>
            <w:r>
              <w:rPr>
                <w:b/>
                <w:i/>
              </w:rPr>
              <w:t>Date de contact</w:t>
            </w:r>
          </w:p>
        </w:tc>
        <w:tc>
          <w:tcPr>
            <w:tcW w:w="5387" w:type="dxa"/>
          </w:tcPr>
          <w:p w:rsidRPr="00164813" w:rsidR="00D61100" w:rsidP="00726054" w:rsidRDefault="00D61100" w14:paraId="4F03E36A" w14:textId="08729E09">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D61100" w:rsidTr="00F70110" w14:paraId="2058F440" w14:textId="77777777">
        <w:tc>
          <w:tcPr>
            <w:tcW w:w="1701" w:type="dxa"/>
          </w:tcPr>
          <w:p w:rsidRPr="00164813" w:rsidR="00D61100" w:rsidP="00726054" w:rsidRDefault="00D61100" w14:paraId="7C4DA390" w14:textId="77777777">
            <w:pPr>
              <w:ind w:left="601"/>
              <w:contextualSpacing/>
              <w:rPr>
                <w:i/>
              </w:rPr>
            </w:pPr>
            <w:r>
              <w:rPr>
                <w:i/>
              </w:rPr>
              <w:t>Tel.:</w:t>
            </w:r>
          </w:p>
        </w:tc>
        <w:tc>
          <w:tcPr>
            <w:tcW w:w="5387" w:type="dxa"/>
          </w:tcPr>
          <w:p w:rsidRPr="00164813" w:rsidR="00D61100" w:rsidP="00726054" w:rsidRDefault="00D61100" w14:paraId="4988CE23" w14:textId="5C2D35A3">
            <w:pPr>
              <w:contextualSpacing/>
              <w:rPr>
                <w:i/>
              </w:rPr>
            </w:pPr>
            <w:r>
              <w:rPr>
                <w:i/>
              </w:rPr>
              <w:t>00 32 2 546 81 88</w:t>
            </w:r>
          </w:p>
        </w:tc>
      </w:tr>
      <w:tr w:rsidRPr="00164813" w:rsidR="00D61100" w:rsidTr="00F70110" w14:paraId="33FAA3C9" w14:textId="77777777">
        <w:tc>
          <w:tcPr>
            <w:tcW w:w="1701" w:type="dxa"/>
          </w:tcPr>
          <w:p w:rsidRPr="00164813" w:rsidR="00D61100" w:rsidP="00726054" w:rsidRDefault="00D61100" w14:paraId="0F9F056F" w14:textId="77777777">
            <w:pPr>
              <w:ind w:left="601"/>
              <w:contextualSpacing/>
              <w:rPr>
                <w:i/>
              </w:rPr>
            </w:pPr>
            <w:r>
              <w:rPr>
                <w:i/>
              </w:rPr>
              <w:t>e-mail:</w:t>
            </w:r>
          </w:p>
        </w:tc>
        <w:tc>
          <w:tcPr>
            <w:tcW w:w="5387" w:type="dxa"/>
          </w:tcPr>
          <w:p w:rsidRPr="00D93D43" w:rsidR="00D61100" w:rsidP="00726054" w:rsidRDefault="008E2CDD" w14:paraId="62A0200E" w14:textId="4D40AEC8">
            <w:pPr>
              <w:contextualSpacing/>
              <w:rPr>
                <w:i/>
                <w:iCs/>
                <w:color w:val="0000FF"/>
                <w:u w:val="single"/>
              </w:rPr>
            </w:pPr>
            <w:r>
              <w:rPr>
                <w:i/>
                <w:color w:val="0000FF"/>
                <w:u w:val="single"/>
              </w:rPr>
              <w:t>Radoslava.Stefankova@eesc.europa.eu</w:t>
            </w:r>
          </w:p>
        </w:tc>
      </w:tr>
      <w:bookmarkEnd w:id="22"/>
    </w:tbl>
    <w:p w:rsidR="008E2CDD" w:rsidRDefault="008E2CDD" w14:paraId="0107FBEF" w14:textId="48DB445C">
      <w:pPr>
        <w:spacing w:after="160" w:line="259" w:lineRule="auto"/>
        <w:jc w:val="left"/>
        <w:rPr>
          <w:sz w:val="28"/>
        </w:rPr>
      </w:pPr>
    </w:p>
    <w:p w:rsidR="008E2CDD" w:rsidRDefault="008E2CDD" w14:paraId="1EDA5564" w14:textId="77777777">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23"/>
      <w:bookmarkStart w:name="_Toc75527084" w:id="24"/>
      <w:bookmarkStart w:name="_Hlk130282883" w:id="25"/>
      <w:bookmarkStart w:name="_Toc131155351" w:id="26"/>
      <w:r>
        <w:rPr>
          <w:b/>
        </w:rPr>
        <w:lastRenderedPageBreak/>
        <w:t>SECȚIUNEA PENTRU AGRICULTURĂ, DEZVOLTARE RURALĂ ȘI PROTECȚIA MEDIULUI</w:t>
      </w:r>
      <w:bookmarkEnd w:id="23"/>
      <w:bookmarkEnd w:id="24"/>
      <w:bookmarkEnd w:id="26"/>
    </w:p>
    <w:bookmarkEnd w:id="25"/>
    <w:p w:rsidRPr="009B70E7" w:rsidR="009173E7" w:rsidP="1EBA916B" w:rsidRDefault="009173E7" w14:paraId="37AC66EE" w14:textId="77777777">
      <w:pPr>
        <w:keepNext/>
      </w:pPr>
    </w:p>
    <w:p w:rsidRPr="00343E1E" w:rsidR="00AC7690" w:rsidP="0018231C" w:rsidRDefault="00343E1E" w14:paraId="6BF57A05" w14:textId="425F4EE4">
      <w:pPr>
        <w:pStyle w:val="ListParagraph"/>
        <w:keepNext/>
        <w:numPr>
          <w:ilvl w:val="0"/>
          <w:numId w:val="2"/>
        </w:numPr>
        <w:ind w:left="567" w:hanging="567"/>
        <w:rPr>
          <w:b/>
          <w:i/>
          <w:sz w:val="28"/>
          <w:szCs w:val="28"/>
        </w:rPr>
      </w:pPr>
      <w:r>
        <w:rPr>
          <w:b/>
          <w:i/>
          <w:sz w:val="28"/>
        </w:rPr>
        <w:t>Deșeurile de echipamente electrice și electronice (DEEE)</w:t>
      </w:r>
    </w:p>
    <w:p w:rsidRPr="00343E1E" w:rsidR="00343E1E" w:rsidP="00343E1E" w:rsidRDefault="00343E1E" w14:paraId="5D626322" w14:textId="77777777">
      <w:pPr>
        <w:keepNext/>
        <w:rPr>
          <w:b/>
          <w:i/>
          <w:sz w:val="28"/>
          <w:szCs w:val="28"/>
        </w:rPr>
      </w:pPr>
    </w:p>
    <w:p w:rsidRPr="00343E1E" w:rsidR="00343E1E" w:rsidP="00343E1E" w:rsidRDefault="00343E1E" w14:paraId="10713B23" w14:textId="66C22DAE">
      <w:pPr>
        <w:pStyle w:val="ListParagraph"/>
        <w:ind w:left="0"/>
        <w:rPr>
          <w:b/>
          <w:i/>
          <w:sz w:val="28"/>
          <w:szCs w:val="28"/>
        </w:rPr>
      </w:pPr>
      <w:r>
        <w:rPr>
          <w:b/>
        </w:rPr>
        <w:t>Aviz de categoria C</w:t>
      </w:r>
    </w:p>
    <w:p w:rsidRPr="009B70E7" w:rsidR="004D7AC0" w:rsidP="0018231C" w:rsidRDefault="004D7AC0" w14:paraId="43570F8C" w14:textId="555F0E4A">
      <w:pPr>
        <w:pStyle w:val="ListParagraph"/>
        <w:keepNext/>
        <w:ind w:left="0"/>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032038" w:rsidR="0005110E" w:rsidTr="00FC2BE8" w14:paraId="2F855FDD" w14:textId="77777777">
        <w:tc>
          <w:tcPr>
            <w:tcW w:w="1701" w:type="dxa"/>
          </w:tcPr>
          <w:p w:rsidRPr="00032038" w:rsidR="0005110E" w:rsidP="00726054" w:rsidRDefault="0005110E" w14:paraId="6DB55280" w14:textId="41CA7BCA">
            <w:pPr>
              <w:contextualSpacing/>
              <w:rPr>
                <w:b/>
              </w:rPr>
            </w:pPr>
            <w:r>
              <w:rPr>
                <w:b/>
              </w:rPr>
              <w:t xml:space="preserve">Referințe </w:t>
            </w:r>
          </w:p>
        </w:tc>
        <w:tc>
          <w:tcPr>
            <w:tcW w:w="6237" w:type="dxa"/>
          </w:tcPr>
          <w:p w:rsidRPr="00032038" w:rsidR="0005110E" w:rsidP="00726054" w:rsidRDefault="001140AE" w14:paraId="602AF089" w14:textId="2D10DCEA">
            <w:pPr>
              <w:tabs>
                <w:tab w:val="center" w:pos="284"/>
              </w:tabs>
              <w:ind w:left="266" w:right="-534" w:hanging="374"/>
            </w:pPr>
            <w:r>
              <w:t>COM(2023) 63 final</w:t>
            </w:r>
          </w:p>
          <w:p w:rsidRPr="00032038" w:rsidR="0005110E" w:rsidP="00726054" w:rsidRDefault="0005110E" w14:paraId="6A5A914E" w14:textId="258FA593">
            <w:pPr>
              <w:ind w:left="-108"/>
              <w:contextualSpacing/>
            </w:pPr>
            <w:r>
              <w:t>EESC-2023-00995-00-00-AC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Punctele principale:</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CESE:</w:t>
      </w:r>
    </w:p>
    <w:p w:rsidR="00E54548" w:rsidP="0018231C" w:rsidRDefault="00E54548" w14:paraId="681D86A8" w14:textId="77777777">
      <w:pPr>
        <w:pStyle w:val="ListParagraph"/>
        <w:keepNext/>
        <w:ind w:left="0"/>
      </w:pPr>
    </w:p>
    <w:p w:rsidRPr="00D979E8" w:rsidR="00D979E8" w:rsidP="00AB192A" w:rsidRDefault="00607A25" w14:paraId="600005EF" w14:textId="16360BAA">
      <w:pPr>
        <w:ind w:left="357"/>
        <w:contextualSpacing/>
      </w:pPr>
      <w:r>
        <w:t>Sprijină fără rezerve noua propunere de directivă a Parlamentului European și a Consiliului de modificare a Directivei 2012/19/UE privind deșeurile de echipamente electrice și electronice și nu dorește să adopte o poziție cu privire la propunere. În plus, poziția se bazează pe o poziție exprimată anterior cu privire la această chestiune în avizul privind economia circulară, adoptat la 12</w:t>
      </w:r>
      <w:r w:rsidR="00F70110">
        <w:t> </w:t>
      </w:r>
      <w:r>
        <w:t>noiembrie</w:t>
      </w:r>
      <w:r w:rsidR="00F70110">
        <w:t> </w:t>
      </w:r>
      <w:r>
        <w:t>2014</w:t>
      </w:r>
      <w:r w:rsidR="00726054">
        <w:rPr>
          <w:rStyle w:val="FootnoteReference"/>
          <w:bCs/>
          <w:iCs/>
        </w:rPr>
        <w:footnoteReference w:id="2"/>
      </w:r>
      <w: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9B70E7" w:rsidR="001140AE" w:rsidTr="00F70110" w14:paraId="0DE8B899" w14:textId="77777777">
        <w:tc>
          <w:tcPr>
            <w:tcW w:w="1843" w:type="dxa"/>
          </w:tcPr>
          <w:p w:rsidRPr="009B70E7" w:rsidR="001140AE" w:rsidP="00726054" w:rsidRDefault="001140AE" w14:paraId="0CF7DD61" w14:textId="77777777">
            <w:pPr>
              <w:pStyle w:val="ListParagraph"/>
              <w:ind w:left="0"/>
              <w:rPr>
                <w:i/>
              </w:rPr>
            </w:pPr>
            <w:r>
              <w:rPr>
                <w:b/>
                <w:i/>
              </w:rPr>
              <w:t>Date de contact</w:t>
            </w:r>
          </w:p>
        </w:tc>
        <w:tc>
          <w:tcPr>
            <w:tcW w:w="5245" w:type="dxa"/>
          </w:tcPr>
          <w:p w:rsidRPr="009B70E7" w:rsidR="001140AE" w:rsidP="00726054" w:rsidRDefault="00343E1E" w14:paraId="1BF4803F" w14:textId="0071BE9F">
            <w:pPr>
              <w:pStyle w:val="ListParagraph"/>
              <w:ind w:left="0"/>
              <w:rPr>
                <w:i/>
              </w:rPr>
            </w:pPr>
            <w:r>
              <w:rPr>
                <w:i/>
              </w:rPr>
              <w:t>Caroline VERHELST</w:t>
            </w:r>
          </w:p>
        </w:tc>
      </w:tr>
      <w:tr w:rsidRPr="009B70E7" w:rsidR="001140AE" w:rsidTr="00F70110" w14:paraId="2B44B02A" w14:textId="77777777">
        <w:tc>
          <w:tcPr>
            <w:tcW w:w="1843" w:type="dxa"/>
          </w:tcPr>
          <w:p w:rsidRPr="009B70E7" w:rsidR="001140AE" w:rsidP="00726054" w:rsidRDefault="001140AE" w14:paraId="33FE728A" w14:textId="77777777">
            <w:pPr>
              <w:pStyle w:val="ListParagraph"/>
              <w:ind w:left="601"/>
              <w:rPr>
                <w:i/>
              </w:rPr>
            </w:pPr>
            <w:r>
              <w:rPr>
                <w:i/>
              </w:rPr>
              <w:t>Tel.:</w:t>
            </w:r>
          </w:p>
        </w:tc>
        <w:tc>
          <w:tcPr>
            <w:tcW w:w="5245" w:type="dxa"/>
          </w:tcPr>
          <w:p w:rsidRPr="009B70E7" w:rsidR="001140AE" w:rsidP="00726054" w:rsidRDefault="001140AE" w14:paraId="437CF15F" w14:textId="7DA18C63">
            <w:pPr>
              <w:pStyle w:val="ListParagraph"/>
              <w:ind w:left="0"/>
              <w:rPr>
                <w:i/>
              </w:rPr>
            </w:pPr>
            <w:r>
              <w:rPr>
                <w:i/>
              </w:rPr>
              <w:t>00 32 2 546 94 97</w:t>
            </w:r>
          </w:p>
        </w:tc>
      </w:tr>
      <w:tr w:rsidRPr="005D55F5" w:rsidR="001140AE" w:rsidTr="00F70110" w14:paraId="06C6BD47" w14:textId="77777777">
        <w:tc>
          <w:tcPr>
            <w:tcW w:w="1843" w:type="dxa"/>
          </w:tcPr>
          <w:p w:rsidRPr="009B70E7" w:rsidR="001140AE" w:rsidP="00726054" w:rsidRDefault="001140AE" w14:paraId="05270F42" w14:textId="77777777">
            <w:pPr>
              <w:pStyle w:val="ListParagraph"/>
              <w:ind w:left="601"/>
              <w:rPr>
                <w:i/>
              </w:rPr>
            </w:pPr>
            <w:r>
              <w:rPr>
                <w:i/>
              </w:rPr>
              <w:t>e-mail:</w:t>
            </w:r>
          </w:p>
        </w:tc>
        <w:tc>
          <w:tcPr>
            <w:tcW w:w="5245" w:type="dxa"/>
          </w:tcPr>
          <w:p w:rsidRPr="00607A25" w:rsidR="001140AE" w:rsidRDefault="00C12F9B" w14:paraId="5D4A4F08" w14:textId="23159372">
            <w:pPr>
              <w:pStyle w:val="ListParagraph"/>
              <w:ind w:left="0"/>
              <w:rPr>
                <w:i/>
                <w:iCs/>
              </w:rPr>
            </w:pPr>
            <w:hyperlink w:history="1" r:id="rId31">
              <w:r w:rsidR="00472A1F">
                <w:rPr>
                  <w:rStyle w:val="Hyperlink"/>
                  <w:i/>
                </w:rPr>
                <w:t>Caroline.Verhelst@eesc.europa.eu</w:t>
              </w:r>
            </w:hyperlink>
          </w:p>
        </w:tc>
      </w:tr>
    </w:tbl>
    <w:p w:rsidR="00726054" w:rsidRDefault="00726054" w14:paraId="39A4AA15" w14:textId="14C0E20A">
      <w:pPr>
        <w:spacing w:after="160" w:line="259" w:lineRule="auto"/>
        <w:jc w:val="left"/>
        <w:rPr>
          <w:sz w:val="28"/>
          <w:szCs w:val="28"/>
        </w:rPr>
      </w:pPr>
    </w:p>
    <w:p w:rsidR="00726054" w:rsidRDefault="00726054" w14:paraId="46AC4CE2" w14:textId="77777777">
      <w:pPr>
        <w:spacing w:after="160" w:line="259" w:lineRule="auto"/>
        <w:jc w:val="left"/>
        <w:rPr>
          <w:sz w:val="28"/>
          <w:szCs w:val="28"/>
        </w:rPr>
      </w:pPr>
      <w:r>
        <w:br w:type="page"/>
      </w:r>
    </w:p>
    <w:p w:rsidRPr="009B70E7" w:rsidR="00607A25" w:rsidP="00607A25" w:rsidRDefault="00607A25" w14:paraId="61F052EF" w14:textId="0F4580BE">
      <w:pPr>
        <w:pStyle w:val="ListParagraph"/>
        <w:keepNext/>
        <w:numPr>
          <w:ilvl w:val="0"/>
          <w:numId w:val="2"/>
        </w:numPr>
        <w:ind w:left="567" w:hanging="567"/>
        <w:rPr>
          <w:b/>
          <w:i/>
          <w:sz w:val="28"/>
          <w:szCs w:val="28"/>
        </w:rPr>
      </w:pPr>
      <w:bookmarkStart w:name="_Hlk130283063" w:id="27"/>
      <w:r>
        <w:rPr>
          <w:b/>
          <w:i/>
          <w:sz w:val="28"/>
        </w:rPr>
        <w:lastRenderedPageBreak/>
        <w:t>Revizuirea planului de acțiune al UE în materie de combatere a traficului cu specii sălbatice de faună și floră</w:t>
      </w:r>
    </w:p>
    <w:p w:rsidRPr="009B70E7" w:rsidR="00607A25" w:rsidP="00607A25" w:rsidRDefault="00607A25" w14:paraId="5BAA7CC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D61100" w:rsidR="00607A25" w:rsidTr="00607A25" w14:paraId="3188CF57" w14:textId="77777777">
        <w:trPr>
          <w:cantSplit/>
          <w:trHeight w:val="284" w:hRule="exact"/>
        </w:trPr>
        <w:tc>
          <w:tcPr>
            <w:tcW w:w="1701" w:type="dxa"/>
          </w:tcPr>
          <w:p w:rsidRPr="00D61100" w:rsidR="00607A25" w:rsidP="00726054" w:rsidRDefault="00607A25" w14:paraId="3680E177" w14:textId="77777777">
            <w:pPr>
              <w:pStyle w:val="ListParagraph"/>
              <w:spacing w:line="240" w:lineRule="auto"/>
              <w:ind w:left="-142" w:firstLine="142"/>
              <w:rPr>
                <w:b/>
              </w:rPr>
            </w:pPr>
            <w:r>
              <w:rPr>
                <w:b/>
              </w:rPr>
              <w:t>Raportoare</w:t>
            </w:r>
          </w:p>
          <w:p w:rsidRPr="00D61100" w:rsidR="00607A25" w:rsidP="00726054" w:rsidRDefault="00607A25" w14:paraId="0956548C" w14:textId="77777777">
            <w:pPr>
              <w:pStyle w:val="ListParagraph"/>
              <w:keepNext/>
              <w:ind w:left="0"/>
              <w:rPr>
                <w:b/>
              </w:rPr>
            </w:pPr>
          </w:p>
        </w:tc>
        <w:tc>
          <w:tcPr>
            <w:tcW w:w="6521" w:type="dxa"/>
          </w:tcPr>
          <w:p w:rsidRPr="00D61100" w:rsidR="00607A25" w:rsidP="00726054" w:rsidRDefault="00607A25" w14:paraId="4FF628D2" w14:textId="47974206">
            <w:pPr>
              <w:pStyle w:val="ListParagraph"/>
              <w:ind w:left="-52"/>
            </w:pPr>
            <w:proofErr w:type="spellStart"/>
            <w:r>
              <w:t>Özlem</w:t>
            </w:r>
            <w:proofErr w:type="spellEnd"/>
            <w:r>
              <w:t xml:space="preserve"> YILDIRIM (Grupul „Lucrători” - FR)</w:t>
            </w:r>
          </w:p>
        </w:tc>
      </w:tr>
      <w:tr w:rsidRPr="00D61100" w:rsidR="00607A25" w:rsidTr="00607A25" w14:paraId="3289290C" w14:textId="77777777">
        <w:trPr>
          <w:cantSplit/>
          <w:trHeight w:val="567" w:hRule="exact"/>
        </w:trPr>
        <w:tc>
          <w:tcPr>
            <w:tcW w:w="1701" w:type="dxa"/>
          </w:tcPr>
          <w:p w:rsidRPr="00D61100" w:rsidR="00607A25" w:rsidP="00726054" w:rsidRDefault="00607A25" w14:paraId="68870848" w14:textId="77777777">
            <w:pPr>
              <w:pStyle w:val="ListParagraph"/>
              <w:ind w:left="0"/>
              <w:rPr>
                <w:b/>
              </w:rPr>
            </w:pPr>
            <w:r>
              <w:rPr>
                <w:b/>
              </w:rPr>
              <w:t>Coraportor</w:t>
            </w:r>
          </w:p>
        </w:tc>
        <w:tc>
          <w:tcPr>
            <w:tcW w:w="6521" w:type="dxa"/>
          </w:tcPr>
          <w:p w:rsidRPr="00D61100" w:rsidR="00607A25" w:rsidP="00607A25" w:rsidRDefault="00607A25" w14:paraId="1F559D88" w14:textId="7F0DC42E">
            <w:pPr>
              <w:pStyle w:val="ListParagraph"/>
              <w:ind w:left="-52" w:right="-336"/>
            </w:pPr>
            <w:proofErr w:type="spellStart"/>
            <w:r>
              <w:t>Cillian</w:t>
            </w:r>
            <w:proofErr w:type="spellEnd"/>
            <w:r>
              <w:t xml:space="preserve"> LOHAN (Grupul „Organizații ale societății civile” – IE)</w:t>
            </w:r>
          </w:p>
        </w:tc>
      </w:tr>
      <w:tr w:rsidRPr="00D61100" w:rsidR="00607A25" w:rsidTr="00607A25" w14:paraId="4628FC30" w14:textId="77777777">
        <w:tc>
          <w:tcPr>
            <w:tcW w:w="1701" w:type="dxa"/>
          </w:tcPr>
          <w:p w:rsidRPr="00D61100" w:rsidR="00607A25" w:rsidP="00726054" w:rsidRDefault="00607A25" w14:paraId="52F88581" w14:textId="77777777">
            <w:pPr>
              <w:pStyle w:val="ListParagraph"/>
              <w:ind w:left="0"/>
              <w:rPr>
                <w:b/>
              </w:rPr>
            </w:pPr>
            <w:r>
              <w:rPr>
                <w:b/>
              </w:rPr>
              <w:t xml:space="preserve">Referințe </w:t>
            </w:r>
          </w:p>
        </w:tc>
        <w:tc>
          <w:tcPr>
            <w:tcW w:w="6521" w:type="dxa"/>
          </w:tcPr>
          <w:p w:rsidRPr="00D61100" w:rsidR="00607A25" w:rsidP="00726054" w:rsidRDefault="00607A25" w14:paraId="23267F08" w14:textId="54D2340C">
            <w:pPr>
              <w:pStyle w:val="ListParagraph"/>
              <w:ind w:left="-52"/>
            </w:pPr>
            <w:r>
              <w:t>COM(2022) 581 final</w:t>
            </w:r>
          </w:p>
          <w:p w:rsidRPr="00D61100" w:rsidR="00607A25" w:rsidP="00726054" w:rsidRDefault="00607A25" w14:paraId="16E40F3B" w14:textId="3536CD22">
            <w:pPr>
              <w:pStyle w:val="ListParagraph"/>
              <w:ind w:left="-52"/>
            </w:pPr>
            <w:r>
              <w:t>EESC-2022-05701-00-00-AC</w:t>
            </w:r>
          </w:p>
        </w:tc>
      </w:tr>
    </w:tbl>
    <w:p w:rsidRPr="00D61100" w:rsidR="00607A25" w:rsidP="00607A25" w:rsidRDefault="00607A25" w14:paraId="2D5F884B" w14:textId="77777777">
      <w:pPr>
        <w:pStyle w:val="ListParagraph"/>
        <w:spacing w:line="240" w:lineRule="auto"/>
        <w:ind w:left="-142" w:firstLine="284"/>
        <w:rPr>
          <w:b/>
        </w:rPr>
      </w:pPr>
    </w:p>
    <w:p w:rsidRPr="00D61100" w:rsidR="00607A25" w:rsidP="00607A25" w:rsidRDefault="00607A25" w14:paraId="44FC6A54" w14:textId="77777777">
      <w:pPr>
        <w:pStyle w:val="ListParagraph"/>
        <w:spacing w:line="240" w:lineRule="auto"/>
        <w:ind w:left="0"/>
        <w:rPr>
          <w:b/>
        </w:rPr>
      </w:pPr>
      <w:r>
        <w:rPr>
          <w:b/>
        </w:rPr>
        <w:t>Punctele principale:</w:t>
      </w:r>
    </w:p>
    <w:p w:rsidRPr="00D61100" w:rsidR="00607A25" w:rsidP="00607A25" w:rsidRDefault="00607A25" w14:paraId="2288047D" w14:textId="77777777">
      <w:pPr>
        <w:pStyle w:val="ListParagraph"/>
        <w:ind w:left="0"/>
      </w:pPr>
    </w:p>
    <w:p w:rsidRPr="00D61100" w:rsidR="00607A25" w:rsidP="00607A25" w:rsidRDefault="00607A25" w14:paraId="5720FF6F" w14:textId="77777777">
      <w:pPr>
        <w:pStyle w:val="ListParagraph"/>
        <w:spacing w:line="240" w:lineRule="auto"/>
        <w:ind w:left="0"/>
        <w:rPr>
          <w:bCs/>
        </w:rPr>
      </w:pPr>
      <w:r>
        <w:t>CESE:</w:t>
      </w:r>
    </w:p>
    <w:p w:rsidRPr="00D61100" w:rsidR="00607A25" w:rsidP="00607A25" w:rsidRDefault="00607A25" w14:paraId="27F41EDE" w14:textId="77777777">
      <w:pPr>
        <w:pStyle w:val="ListParagraph"/>
        <w:ind w:left="0"/>
      </w:pPr>
    </w:p>
    <w:p w:rsidR="00607A25" w:rsidP="00607A25" w:rsidRDefault="00607A25" w14:paraId="5B50E072" w14:textId="188B539C">
      <w:pPr>
        <w:pStyle w:val="ListParagraph"/>
        <w:numPr>
          <w:ilvl w:val="0"/>
          <w:numId w:val="3"/>
        </w:numPr>
        <w:ind w:left="357" w:hanging="357"/>
      </w:pPr>
      <w:r>
        <w:t xml:space="preserve">salută angajamentul Comisiei de a aloca resurse financiare și umane în cadrul fondurilor UE pentru a reduce traficul cu specii sălbatice de faună și floră prin integrarea comerțului cu specii sălbatice de faună și floră. Cu toate acestea, </w:t>
      </w:r>
      <w:r>
        <w:rPr>
          <w:b/>
        </w:rPr>
        <w:t>procentul fondurilor alocate pentru reducerea traficului cu specii sălbatice de faună și floră</w:t>
      </w:r>
      <w:r>
        <w:t xml:space="preserve">, inclusiv formarea personalului pentru combaterea traficului cu specii sălbatice de faună și floră în statele membre, </w:t>
      </w:r>
      <w:r>
        <w:rPr>
          <w:b/>
        </w:rPr>
        <w:t>ar trebui să fie convenit, raportat, monitorizat și evaluat ca parte a punerii în aplicare a planului de acțiune la nivel național</w:t>
      </w:r>
      <w:r>
        <w:t>;</w:t>
      </w:r>
    </w:p>
    <w:p w:rsidR="00607A25" w:rsidP="00607A25" w:rsidRDefault="00607A25" w14:paraId="287E129A" w14:textId="261AA67D">
      <w:pPr>
        <w:pStyle w:val="ListParagraph"/>
        <w:numPr>
          <w:ilvl w:val="0"/>
          <w:numId w:val="3"/>
        </w:numPr>
        <w:ind w:left="357" w:hanging="357"/>
      </w:pPr>
      <w:r>
        <w:t xml:space="preserve">subliniază importanța unor mecanisme de sancționare eficace și disuasive pentru traficul cu specii sălbatice de faună și floră. </w:t>
      </w:r>
      <w:r>
        <w:rPr>
          <w:b/>
        </w:rPr>
        <w:t>Nivelul actual al sancțiunilor propuse</w:t>
      </w:r>
      <w:r>
        <w:t xml:space="preserve"> de Consiliu în contextul Directivei privind infracțiunile împotriva mediului </w:t>
      </w:r>
      <w:r>
        <w:rPr>
          <w:b/>
        </w:rPr>
        <w:t>este prea scăzut și ar trebui majorat</w:t>
      </w:r>
      <w:r>
        <w:t xml:space="preserve"> pentru a garanta succesul unui plan de acțiune al UE în materie de combatere a traficului cu specii sălbatice de faună și floră;</w:t>
      </w:r>
    </w:p>
    <w:p w:rsidRPr="00D61100" w:rsidR="007425D2" w:rsidP="00607A25" w:rsidRDefault="007425D2" w14:paraId="6771CAAC" w14:textId="6004C159">
      <w:pPr>
        <w:pStyle w:val="ListParagraph"/>
        <w:numPr>
          <w:ilvl w:val="0"/>
          <w:numId w:val="3"/>
        </w:numPr>
        <w:ind w:left="357" w:hanging="357"/>
      </w:pPr>
      <w:r>
        <w:rPr>
          <w:b/>
        </w:rPr>
        <w:t>solicită structuri omogene</w:t>
      </w:r>
      <w:r>
        <w:t xml:space="preserve"> pentru toate statele membre, care ar trebui să ia forma unor </w:t>
      </w:r>
      <w:r>
        <w:rPr>
          <w:b/>
        </w:rPr>
        <w:t>comitete inter-agenții și a unui personal sau a unor unități specializate, care să fi beneficiat de formarea necesară pentru a combate traficul cu specii sălbatice de faună și floră</w:t>
      </w:r>
      <w:r>
        <w:t>, precum și canale de comunicare și cooperare specifice cu partenerii sociali și cu societatea civilă.</w:t>
      </w:r>
    </w:p>
    <w:p w:rsidRPr="00D61100" w:rsidR="00607A25" w:rsidP="00607A25" w:rsidRDefault="00607A25" w14:paraId="079C680E"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7A25" w:rsidTr="00F70110" w14:paraId="67590D80" w14:textId="77777777">
        <w:tc>
          <w:tcPr>
            <w:tcW w:w="1701" w:type="dxa"/>
          </w:tcPr>
          <w:p w:rsidRPr="009B70E7" w:rsidR="00607A25" w:rsidP="00726054" w:rsidRDefault="00607A25" w14:paraId="390EC3C3" w14:textId="77777777">
            <w:pPr>
              <w:pStyle w:val="ListParagraph"/>
              <w:ind w:left="0"/>
              <w:rPr>
                <w:i/>
              </w:rPr>
            </w:pPr>
            <w:r>
              <w:rPr>
                <w:b/>
                <w:i/>
              </w:rPr>
              <w:t>Date de contact</w:t>
            </w:r>
          </w:p>
        </w:tc>
        <w:tc>
          <w:tcPr>
            <w:tcW w:w="5387" w:type="dxa"/>
          </w:tcPr>
          <w:p w:rsidRPr="009B70E7" w:rsidR="00607A25" w:rsidP="00726054" w:rsidRDefault="00607A25" w14:paraId="0678E796" w14:textId="40D76153">
            <w:pPr>
              <w:pStyle w:val="ListParagraph"/>
              <w:ind w:left="0"/>
              <w:rPr>
                <w:i/>
              </w:rPr>
            </w:pPr>
            <w:r>
              <w:rPr>
                <w:i/>
              </w:rPr>
              <w:t>Caroline VERHELST</w:t>
            </w:r>
          </w:p>
        </w:tc>
      </w:tr>
      <w:tr w:rsidRPr="009B70E7" w:rsidR="00607A25" w:rsidTr="00F70110" w14:paraId="3238896C" w14:textId="77777777">
        <w:tc>
          <w:tcPr>
            <w:tcW w:w="1701" w:type="dxa"/>
          </w:tcPr>
          <w:p w:rsidRPr="009B70E7" w:rsidR="00607A25" w:rsidP="00726054" w:rsidRDefault="00607A25" w14:paraId="5E67E78D" w14:textId="77777777">
            <w:pPr>
              <w:pStyle w:val="ListParagraph"/>
              <w:ind w:left="601"/>
              <w:rPr>
                <w:i/>
              </w:rPr>
            </w:pPr>
            <w:r>
              <w:rPr>
                <w:i/>
              </w:rPr>
              <w:t>Tel.:</w:t>
            </w:r>
          </w:p>
        </w:tc>
        <w:tc>
          <w:tcPr>
            <w:tcW w:w="5387" w:type="dxa"/>
          </w:tcPr>
          <w:p w:rsidRPr="009B70E7" w:rsidR="00607A25" w:rsidP="00726054" w:rsidRDefault="00607A25" w14:paraId="532AF652" w14:textId="77777777">
            <w:pPr>
              <w:pStyle w:val="ListParagraph"/>
              <w:ind w:left="0"/>
              <w:rPr>
                <w:i/>
              </w:rPr>
            </w:pPr>
            <w:r>
              <w:rPr>
                <w:i/>
              </w:rPr>
              <w:t>00 32 2 546 94 97</w:t>
            </w:r>
          </w:p>
        </w:tc>
      </w:tr>
      <w:tr w:rsidRPr="00607A25" w:rsidR="00607A25" w:rsidTr="00F70110" w14:paraId="314120D5" w14:textId="77777777">
        <w:tc>
          <w:tcPr>
            <w:tcW w:w="1701" w:type="dxa"/>
          </w:tcPr>
          <w:p w:rsidRPr="009B70E7" w:rsidR="00607A25" w:rsidP="00726054" w:rsidRDefault="00607A25" w14:paraId="3DFCC1B6" w14:textId="77777777">
            <w:pPr>
              <w:pStyle w:val="ListParagraph"/>
              <w:ind w:left="601"/>
              <w:rPr>
                <w:i/>
              </w:rPr>
            </w:pPr>
            <w:r>
              <w:rPr>
                <w:i/>
              </w:rPr>
              <w:t>e-mail:</w:t>
            </w:r>
          </w:p>
        </w:tc>
        <w:tc>
          <w:tcPr>
            <w:tcW w:w="5387" w:type="dxa"/>
          </w:tcPr>
          <w:p w:rsidRPr="00607A25" w:rsidR="00607A25" w:rsidP="00726054" w:rsidRDefault="00C12F9B" w14:paraId="24A035EA" w14:textId="77777777">
            <w:pPr>
              <w:pStyle w:val="ListParagraph"/>
              <w:ind w:left="0"/>
              <w:rPr>
                <w:i/>
                <w:iCs/>
              </w:rPr>
            </w:pPr>
            <w:hyperlink w:history="1" r:id="rId32">
              <w:r w:rsidR="00472A1F">
                <w:rPr>
                  <w:rStyle w:val="Hyperlink"/>
                  <w:i/>
                </w:rPr>
                <w:t>Caroline.Verhelst@eesc.europa.eu</w:t>
              </w:r>
            </w:hyperlink>
          </w:p>
        </w:tc>
      </w:tr>
      <w:bookmarkEnd w:id="27"/>
    </w:tbl>
    <w:p w:rsidR="009A3E0E" w:rsidP="000247C5" w:rsidRDefault="009A3E0E" w14:paraId="7ED77355" w14:textId="2C65368A">
      <w:pPr>
        <w:spacing w:after="160" w:line="259" w:lineRule="auto"/>
        <w:jc w:val="left"/>
      </w:pPr>
    </w:p>
    <w:p w:rsidR="00726054" w:rsidRDefault="00726054" w14:paraId="41EA065A" w14:textId="1CE3B325">
      <w:pPr>
        <w:spacing w:after="160" w:line="259" w:lineRule="auto"/>
        <w:jc w:val="left"/>
      </w:pPr>
      <w:r>
        <w:br w:type="page"/>
      </w:r>
    </w:p>
    <w:p w:rsidRPr="0044618A" w:rsidR="00726054" w:rsidP="00F944EB" w:rsidRDefault="00726054" w14:paraId="665C4CF5" w14:textId="77777777">
      <w:pPr>
        <w:spacing w:line="264" w:lineRule="auto"/>
        <w:jc w:val="left"/>
        <w:rPr>
          <w:sz w:val="6"/>
        </w:rPr>
      </w:pPr>
    </w:p>
    <w:p w:rsidRPr="00AA5C1D" w:rsidR="00175EC3" w:rsidP="00F944EB" w:rsidRDefault="00175EC3" w14:paraId="39C0CA49" w14:textId="3ACA0BDF">
      <w:pPr>
        <w:pStyle w:val="ListParagraph"/>
        <w:numPr>
          <w:ilvl w:val="0"/>
          <w:numId w:val="2"/>
        </w:numPr>
        <w:spacing w:line="264" w:lineRule="auto"/>
        <w:ind w:left="567" w:hanging="567"/>
        <w:rPr>
          <w:b/>
          <w:bCs/>
          <w:i/>
          <w:iCs/>
          <w:sz w:val="28"/>
          <w:szCs w:val="28"/>
        </w:rPr>
      </w:pPr>
      <w:bookmarkStart w:name="_Hlk130312364" w:id="28"/>
      <w:r>
        <w:rPr>
          <w:b/>
          <w:i/>
          <w:sz w:val="28"/>
        </w:rPr>
        <w:t>Certificarea eliminării dioxidului de carbon</w:t>
      </w:r>
    </w:p>
    <w:p w:rsidRPr="00F944EB" w:rsidR="00175EC3" w:rsidP="00F944EB" w:rsidRDefault="00175EC3" w14:paraId="341D1A01" w14:textId="77777777">
      <w:pPr>
        <w:pStyle w:val="ListParagraph"/>
        <w:spacing w:line="264" w:lineRule="auto"/>
        <w:ind w:left="0"/>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7E7A4F" w:rsidR="00175EC3" w:rsidTr="00F944EB" w14:paraId="07A73764" w14:textId="77777777">
        <w:tc>
          <w:tcPr>
            <w:tcW w:w="1701" w:type="dxa"/>
          </w:tcPr>
          <w:p w:rsidR="00175EC3" w:rsidP="00726054" w:rsidRDefault="00175EC3" w14:paraId="25BCF5E6" w14:textId="6F763563">
            <w:pPr>
              <w:pStyle w:val="ListParagraph"/>
              <w:ind w:left="0"/>
              <w:rPr>
                <w:b/>
              </w:rPr>
            </w:pPr>
            <w:r>
              <w:rPr>
                <w:b/>
              </w:rPr>
              <w:t>Raportor</w:t>
            </w:r>
          </w:p>
          <w:p w:rsidRPr="00F944EB" w:rsidR="00175EC3" w:rsidP="00726054" w:rsidRDefault="00175EC3" w14:paraId="5D3237B8" w14:textId="77777777">
            <w:pPr>
              <w:pStyle w:val="ListParagraph"/>
              <w:ind w:left="0"/>
              <w:rPr>
                <w:b/>
                <w:sz w:val="16"/>
                <w:szCs w:val="16"/>
              </w:rPr>
            </w:pPr>
          </w:p>
        </w:tc>
        <w:tc>
          <w:tcPr>
            <w:tcW w:w="6804" w:type="dxa"/>
          </w:tcPr>
          <w:p w:rsidR="00175EC3" w:rsidP="00726054" w:rsidRDefault="00175EC3" w14:paraId="6A906C67" w14:textId="20B3F5E7">
            <w:pPr>
              <w:pStyle w:val="ListParagraph"/>
              <w:ind w:left="-108"/>
            </w:pPr>
            <w:proofErr w:type="spellStart"/>
            <w:r>
              <w:t>Stoyan</w:t>
            </w:r>
            <w:proofErr w:type="spellEnd"/>
            <w:r>
              <w:t xml:space="preserve"> TCHOUKANOV (Grupul „Organizații ale societății civile” – BG)</w:t>
            </w:r>
          </w:p>
          <w:p w:rsidRPr="00F944EB" w:rsidR="00175EC3" w:rsidP="00726054" w:rsidRDefault="00175EC3" w14:paraId="419B8E19" w14:textId="77777777">
            <w:pPr>
              <w:pStyle w:val="ListParagraph"/>
              <w:ind w:left="-108"/>
              <w:rPr>
                <w:sz w:val="16"/>
                <w:szCs w:val="16"/>
                <w:lang w:val="fr-BE"/>
              </w:rPr>
            </w:pPr>
          </w:p>
        </w:tc>
      </w:tr>
      <w:tr w:rsidRPr="009B70E7" w:rsidR="00175EC3" w:rsidTr="00F944EB" w14:paraId="0431A212" w14:textId="77777777">
        <w:tc>
          <w:tcPr>
            <w:tcW w:w="1701" w:type="dxa"/>
          </w:tcPr>
          <w:p w:rsidRPr="009B70E7" w:rsidR="00175EC3" w:rsidP="00726054" w:rsidRDefault="00175EC3" w14:paraId="3504B6CB" w14:textId="77777777">
            <w:pPr>
              <w:pStyle w:val="ListParagraph"/>
              <w:ind w:left="0"/>
              <w:rPr>
                <w:b/>
              </w:rPr>
            </w:pPr>
            <w:r>
              <w:rPr>
                <w:b/>
              </w:rPr>
              <w:t xml:space="preserve">Referințe </w:t>
            </w:r>
          </w:p>
        </w:tc>
        <w:tc>
          <w:tcPr>
            <w:tcW w:w="6804" w:type="dxa"/>
          </w:tcPr>
          <w:p w:rsidRPr="009B70E7" w:rsidR="00175EC3" w:rsidP="00726054" w:rsidRDefault="00175EC3" w14:paraId="10E55DD2" w14:textId="36E2F8DB">
            <w:pPr>
              <w:tabs>
                <w:tab w:val="center" w:pos="284"/>
              </w:tabs>
              <w:ind w:left="266" w:hanging="374"/>
            </w:pPr>
            <w:r>
              <w:t>COM(2022) 672 final</w:t>
            </w:r>
          </w:p>
          <w:p w:rsidRPr="009B70E7" w:rsidR="00175EC3" w:rsidP="00726054" w:rsidRDefault="00175EC3" w14:paraId="4A4CED1F" w14:textId="60BB1668">
            <w:pPr>
              <w:pStyle w:val="ListParagraph"/>
              <w:ind w:left="-108"/>
            </w:pPr>
            <w:r>
              <w:t>EESC-2022-06159-00-00-AC</w:t>
            </w:r>
          </w:p>
        </w:tc>
      </w:tr>
    </w:tbl>
    <w:p w:rsidRPr="00F944EB" w:rsidR="00175EC3" w:rsidP="00175EC3" w:rsidRDefault="00175EC3" w14:paraId="7F233DEA" w14:textId="77777777">
      <w:pPr>
        <w:pStyle w:val="ListParagraph"/>
        <w:ind w:left="0"/>
        <w:rPr>
          <w:b/>
          <w:sz w:val="16"/>
          <w:szCs w:val="16"/>
        </w:rPr>
      </w:pPr>
    </w:p>
    <w:p w:rsidRPr="00A00F37" w:rsidR="00175EC3" w:rsidP="00175EC3" w:rsidRDefault="00175EC3" w14:paraId="060B2EC0" w14:textId="77777777">
      <w:pPr>
        <w:pStyle w:val="ListParagraph"/>
        <w:spacing w:line="240" w:lineRule="auto"/>
        <w:ind w:left="0"/>
        <w:rPr>
          <w:b/>
        </w:rPr>
      </w:pPr>
      <w:r>
        <w:rPr>
          <w:b/>
        </w:rPr>
        <w:t>Punctele principale:</w:t>
      </w:r>
    </w:p>
    <w:p w:rsidRPr="00F944EB" w:rsidR="00175EC3" w:rsidP="00175EC3" w:rsidRDefault="00175EC3" w14:paraId="760D2F39" w14:textId="77777777">
      <w:pPr>
        <w:pStyle w:val="ListParagraph"/>
        <w:ind w:left="0"/>
        <w:rPr>
          <w:sz w:val="16"/>
          <w:szCs w:val="16"/>
          <w:lang w:val="fr-FR"/>
        </w:rPr>
      </w:pPr>
    </w:p>
    <w:p w:rsidR="00175EC3" w:rsidP="00175EC3" w:rsidRDefault="00175EC3" w14:paraId="72D995BD" w14:textId="77777777">
      <w:pPr>
        <w:pStyle w:val="ListParagraph"/>
        <w:spacing w:line="240" w:lineRule="auto"/>
        <w:ind w:left="0"/>
      </w:pPr>
      <w:r>
        <w:t>CESE:</w:t>
      </w:r>
    </w:p>
    <w:p w:rsidRPr="00F944EB" w:rsidR="00175EC3" w:rsidP="00175EC3" w:rsidRDefault="00175EC3" w14:paraId="20527391" w14:textId="77777777">
      <w:pPr>
        <w:pStyle w:val="ListParagraph"/>
        <w:ind w:left="0"/>
        <w:rPr>
          <w:sz w:val="16"/>
          <w:szCs w:val="16"/>
          <w:lang w:val="fr-FR"/>
        </w:rPr>
      </w:pPr>
    </w:p>
    <w:p w:rsidR="00175EC3" w:rsidP="00175EC3" w:rsidRDefault="00175EC3" w14:paraId="2ACE7252" w14:textId="14CA16D4">
      <w:pPr>
        <w:numPr>
          <w:ilvl w:val="0"/>
          <w:numId w:val="3"/>
        </w:numPr>
        <w:overflowPunct w:val="0"/>
        <w:autoSpaceDE w:val="0"/>
        <w:autoSpaceDN w:val="0"/>
        <w:adjustRightInd w:val="0"/>
        <w:ind w:left="357" w:hanging="357"/>
        <w:textAlignment w:val="baseline"/>
      </w:pPr>
      <w:r>
        <w:t>salută propunerea Comisiei privind un cadru de certificare al UE pentru eliminarea dioxidului de carbon, recunoscând necesitatea de a intensifica eliminarea dioxidului de carbon și de a promova practici regenerative, punând totodată în continuare accentul în primul rând pe reducerea emisiilor de gaze cu efect de seră, esențială pentru a limita încălzirea globală;</w:t>
      </w:r>
    </w:p>
    <w:p w:rsidRPr="00175EC3" w:rsidR="00175EC3" w:rsidP="00175EC3" w:rsidRDefault="00175EC3" w14:paraId="6167DDE0" w14:textId="03B5A94D">
      <w:pPr>
        <w:numPr>
          <w:ilvl w:val="0"/>
          <w:numId w:val="3"/>
        </w:numPr>
        <w:overflowPunct w:val="0"/>
        <w:autoSpaceDE w:val="0"/>
        <w:autoSpaceDN w:val="0"/>
        <w:adjustRightInd w:val="0"/>
        <w:ind w:left="357" w:hanging="357"/>
        <w:textAlignment w:val="baseline"/>
      </w:pPr>
      <w:r>
        <w:t>recunoaște că, în prezent, în întreaga Uniune există diferite sisteme de validare și de recompensare în materie de eliminare a dioxidului de carbon și că un cadru comun de certificare poate oferi claritate și fiabilitate măsurării și verificării beneficiilor pentru climă ale eliminării dioxidului de carbon sunt măsurate, validate și verificate., în timp ce calendarul preconizat pentru punerea în aplicare integrală necesită în continuare mai multă claritate, având în vedere setul de organisme și unități de certificare care vor trebui create;</w:t>
      </w:r>
    </w:p>
    <w:p w:rsidR="00175EC3" w:rsidP="00175EC3" w:rsidRDefault="00175EC3" w14:paraId="0C87E3D8" w14:textId="2BA5B8D6">
      <w:pPr>
        <w:numPr>
          <w:ilvl w:val="0"/>
          <w:numId w:val="3"/>
        </w:numPr>
        <w:overflowPunct w:val="0"/>
        <w:autoSpaceDE w:val="0"/>
        <w:autoSpaceDN w:val="0"/>
        <w:adjustRightInd w:val="0"/>
        <w:ind w:left="357" w:hanging="357"/>
        <w:textAlignment w:val="baseline"/>
      </w:pPr>
      <w:r>
        <w:t>solicită ca durata preconizată de stocare a carbonului și riscurile de inversare să se reflecte în mod clar în utilizarea diferitelor certificate de eliminare a carbonului pentru a preveni dezinformarea ecologică;</w:t>
      </w:r>
    </w:p>
    <w:p w:rsidR="00175EC3" w:rsidP="00175EC3" w:rsidRDefault="00175EC3" w14:paraId="0A3EC2F3" w14:textId="0A7186A2">
      <w:pPr>
        <w:numPr>
          <w:ilvl w:val="0"/>
          <w:numId w:val="3"/>
        </w:numPr>
        <w:overflowPunct w:val="0"/>
        <w:autoSpaceDE w:val="0"/>
        <w:autoSpaceDN w:val="0"/>
        <w:adjustRightInd w:val="0"/>
        <w:ind w:left="357" w:hanging="357"/>
        <w:textAlignment w:val="baseline"/>
      </w:pPr>
      <w:r>
        <w:t>solicită garanții suplimentare privind valoarea și utilizarea certificatelor și invită Comisia să ofere orientări care să definească afirmațiile adecvate care pot fi formulate, pe baza diferitelor situații de eliminare certificată a carbonului;</w:t>
      </w:r>
    </w:p>
    <w:p w:rsidRPr="00175EC3" w:rsidR="00175EC3" w:rsidP="00175EC3" w:rsidRDefault="00175EC3" w14:paraId="0605AC0A" w14:textId="7294A619">
      <w:pPr>
        <w:numPr>
          <w:ilvl w:val="0"/>
          <w:numId w:val="3"/>
        </w:numPr>
        <w:overflowPunct w:val="0"/>
        <w:autoSpaceDE w:val="0"/>
        <w:autoSpaceDN w:val="0"/>
        <w:adjustRightInd w:val="0"/>
        <w:ind w:left="357" w:hanging="357"/>
        <w:textAlignment w:val="baseline"/>
      </w:pPr>
      <w:r>
        <w:t>invită Comisia să se asigure că metodologiile se bazează pe dovezi științifice și subliniază că sistemul de certificare este mult prea complex și împovărător pentru a promova adoptarea pe scară largă a acestor practici, în special de către întreprinderile mici;</w:t>
      </w:r>
    </w:p>
    <w:p w:rsidR="00175EC3" w:rsidP="00175EC3" w:rsidRDefault="00175EC3" w14:paraId="1EE06987" w14:textId="6CD19662">
      <w:pPr>
        <w:numPr>
          <w:ilvl w:val="0"/>
          <w:numId w:val="3"/>
        </w:numPr>
        <w:overflowPunct w:val="0"/>
        <w:autoSpaceDE w:val="0"/>
        <w:autoSpaceDN w:val="0"/>
        <w:adjustRightInd w:val="0"/>
        <w:ind w:left="357" w:hanging="357"/>
        <w:textAlignment w:val="baseline"/>
      </w:pPr>
      <w:r>
        <w:t>subliniază că este esențial să se mențină costurile eliminării dioxidului de carbon la un nivel cât mai scăzut posibil, pentru a asigura o accesibilitate largă a cadrului de certificare;</w:t>
      </w:r>
    </w:p>
    <w:p w:rsidR="00175EC3" w:rsidP="00175EC3" w:rsidRDefault="00175EC3" w14:paraId="037399B1" w14:textId="798C9521">
      <w:pPr>
        <w:numPr>
          <w:ilvl w:val="0"/>
          <w:numId w:val="3"/>
        </w:numPr>
        <w:overflowPunct w:val="0"/>
        <w:autoSpaceDE w:val="0"/>
        <w:autoSpaceDN w:val="0"/>
        <w:adjustRightInd w:val="0"/>
        <w:ind w:left="357" w:hanging="357"/>
        <w:textAlignment w:val="baseline"/>
      </w:pPr>
      <w:r>
        <w:t>subliniază că riscurile și efectele secundare potențiale pentru actorii majori (fermieri, industria forestieră și industria construcțiilor și a lemnului) trebuie evaluate și abordate cu atenție înainte de a integra cadrul de certificare în alte politici;</w:t>
      </w:r>
    </w:p>
    <w:p w:rsidR="00175EC3" w:rsidP="00175EC3" w:rsidRDefault="00175EC3" w14:paraId="5C72CFF5" w14:textId="7CEA4782">
      <w:pPr>
        <w:numPr>
          <w:ilvl w:val="0"/>
          <w:numId w:val="3"/>
        </w:numPr>
        <w:overflowPunct w:val="0"/>
        <w:autoSpaceDE w:val="0"/>
        <w:autoSpaceDN w:val="0"/>
        <w:adjustRightInd w:val="0"/>
        <w:ind w:left="357" w:hanging="357"/>
        <w:textAlignment w:val="baseline"/>
      </w:pPr>
      <w:r>
        <w:t>consideră că actuala politică agricolă comună (PAC) nu ar trebui utilizată pentru a finanța agricultura carbonului sau eliminarea dioxidului de carbon</w:t>
      </w:r>
      <w:r>
        <w:rPr>
          <w:rStyle w:val="FootnoteReference"/>
        </w:rPr>
        <w:footnoteReference w:id="3"/>
      </w:r>
      <w:r>
        <w:t xml:space="preserve"> și că ar trebui puse la dispoziție surse de finanțare suplimentare;</w:t>
      </w:r>
    </w:p>
    <w:p w:rsidRPr="00A3344B" w:rsidR="00175EC3" w:rsidP="00175EC3" w:rsidRDefault="00175EC3" w14:paraId="14CAEE00" w14:textId="197C9BD4">
      <w:pPr>
        <w:numPr>
          <w:ilvl w:val="0"/>
          <w:numId w:val="3"/>
        </w:numPr>
        <w:overflowPunct w:val="0"/>
        <w:autoSpaceDE w:val="0"/>
        <w:autoSpaceDN w:val="0"/>
        <w:adjustRightInd w:val="0"/>
        <w:ind w:left="357" w:hanging="357"/>
        <w:textAlignment w:val="baseline"/>
      </w:pPr>
      <w:r>
        <w:t>consideră că nivelul ridicat de ambiguitate în ceea ce privește finanțarea va acționa ca un puternic factor de descurajare a participării potențialilor beneficiari, subliniind, prin urmare, că este necesar un anumit nivel de certitudine în ceea ce privește finanțarea, de exemplu prin elaborarea unei foi de parcurs în vederea instituirii unui instrument financiar comun.</w:t>
      </w:r>
    </w:p>
    <w:p w:rsidRPr="00F944EB" w:rsidR="00175EC3" w:rsidP="00F944EB" w:rsidRDefault="00175EC3" w14:paraId="48193038" w14:textId="77777777">
      <w:pPr>
        <w:spacing w:line="259" w:lineRule="auto"/>
        <w:jc w:val="left"/>
        <w:rPr>
          <w:sz w:val="16"/>
          <w:szCs w:val="16"/>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175EC3" w:rsidTr="00F944EB" w14:paraId="77748D3B" w14:textId="77777777">
        <w:tc>
          <w:tcPr>
            <w:tcW w:w="1701" w:type="dxa"/>
          </w:tcPr>
          <w:p w:rsidRPr="00164813" w:rsidR="00175EC3" w:rsidP="00726054" w:rsidRDefault="00175EC3" w14:paraId="095BB35B" w14:textId="77777777">
            <w:pPr>
              <w:contextualSpacing/>
              <w:rPr>
                <w:i/>
              </w:rPr>
            </w:pPr>
            <w:r>
              <w:rPr>
                <w:b/>
                <w:i/>
              </w:rPr>
              <w:t>Date de contact</w:t>
            </w:r>
          </w:p>
        </w:tc>
        <w:tc>
          <w:tcPr>
            <w:tcW w:w="5387" w:type="dxa"/>
          </w:tcPr>
          <w:p w:rsidRPr="00164813" w:rsidR="00175EC3" w:rsidP="00726054" w:rsidRDefault="00175EC3" w14:paraId="1DFC69D3" w14:textId="2DAD5293">
            <w:pPr>
              <w:contextualSpacing/>
              <w:rPr>
                <w:i/>
              </w:rPr>
            </w:pPr>
            <w:proofErr w:type="spellStart"/>
            <w:r>
              <w:rPr>
                <w:i/>
              </w:rPr>
              <w:t>Ulrike</w:t>
            </w:r>
            <w:proofErr w:type="spellEnd"/>
            <w:r>
              <w:rPr>
                <w:i/>
              </w:rPr>
              <w:t xml:space="preserve"> </w:t>
            </w:r>
            <w:proofErr w:type="spellStart"/>
            <w:r>
              <w:rPr>
                <w:i/>
              </w:rPr>
              <w:t>Meissner</w:t>
            </w:r>
            <w:proofErr w:type="spellEnd"/>
            <w:r>
              <w:rPr>
                <w:i/>
              </w:rPr>
              <w:t xml:space="preserve"> – </w:t>
            </w:r>
            <w:proofErr w:type="spellStart"/>
            <w:r>
              <w:rPr>
                <w:i/>
              </w:rPr>
              <w:t>Martine</w:t>
            </w:r>
            <w:proofErr w:type="spellEnd"/>
            <w:r>
              <w:rPr>
                <w:i/>
              </w:rPr>
              <w:t xml:space="preserve"> </w:t>
            </w:r>
            <w:proofErr w:type="spellStart"/>
            <w:r>
              <w:rPr>
                <w:i/>
              </w:rPr>
              <w:t>Delanoy</w:t>
            </w:r>
            <w:proofErr w:type="spellEnd"/>
          </w:p>
        </w:tc>
      </w:tr>
      <w:tr w:rsidRPr="00164813" w:rsidR="00175EC3" w:rsidTr="00F944EB" w14:paraId="31ABA2EF" w14:textId="77777777">
        <w:tc>
          <w:tcPr>
            <w:tcW w:w="1701" w:type="dxa"/>
          </w:tcPr>
          <w:p w:rsidRPr="00164813" w:rsidR="00175EC3" w:rsidP="00726054" w:rsidRDefault="00175EC3" w14:paraId="4D5AF882" w14:textId="77777777">
            <w:pPr>
              <w:ind w:left="601"/>
              <w:contextualSpacing/>
              <w:rPr>
                <w:i/>
              </w:rPr>
            </w:pPr>
            <w:r>
              <w:rPr>
                <w:i/>
              </w:rPr>
              <w:t>Tel.:</w:t>
            </w:r>
          </w:p>
        </w:tc>
        <w:tc>
          <w:tcPr>
            <w:tcW w:w="5387" w:type="dxa"/>
          </w:tcPr>
          <w:p w:rsidRPr="00164813" w:rsidR="00175EC3" w:rsidP="00726054" w:rsidRDefault="00175EC3" w14:paraId="35FC789B" w14:textId="2E57E56C">
            <w:pPr>
              <w:contextualSpacing/>
              <w:rPr>
                <w:i/>
              </w:rPr>
            </w:pPr>
            <w:r>
              <w:rPr>
                <w:i/>
              </w:rPr>
              <w:t>00 32 2 546 94 66 – 00 32 2 546 98 02</w:t>
            </w:r>
          </w:p>
        </w:tc>
      </w:tr>
      <w:tr w:rsidRPr="00164813" w:rsidR="00175EC3" w:rsidTr="00F944EB" w14:paraId="02ACBF68" w14:textId="77777777">
        <w:tc>
          <w:tcPr>
            <w:tcW w:w="1701" w:type="dxa"/>
          </w:tcPr>
          <w:p w:rsidRPr="00164813" w:rsidR="00175EC3" w:rsidP="00726054" w:rsidRDefault="00175EC3" w14:paraId="20966F63" w14:textId="77777777">
            <w:pPr>
              <w:ind w:left="601"/>
              <w:contextualSpacing/>
              <w:rPr>
                <w:i/>
              </w:rPr>
            </w:pPr>
            <w:r>
              <w:rPr>
                <w:i/>
              </w:rPr>
              <w:t>E-mail</w:t>
            </w:r>
          </w:p>
        </w:tc>
        <w:tc>
          <w:tcPr>
            <w:tcW w:w="5387" w:type="dxa"/>
          </w:tcPr>
          <w:p w:rsidRPr="00D93D43" w:rsidR="00175EC3" w:rsidP="00726054" w:rsidRDefault="00175EC3" w14:paraId="463BE428" w14:textId="2ECD529D">
            <w:pPr>
              <w:contextualSpacing/>
              <w:rPr>
                <w:i/>
                <w:iCs/>
                <w:color w:val="0000FF"/>
                <w:u w:val="single"/>
              </w:rPr>
            </w:pPr>
            <w:r>
              <w:rPr>
                <w:i/>
                <w:color w:val="0000FF"/>
                <w:u w:val="single"/>
              </w:rPr>
              <w:t>Ulrike.Meissner@eesc.europa.eu</w:t>
            </w:r>
          </w:p>
        </w:tc>
      </w:tr>
      <w:bookmarkEnd w:id="28"/>
    </w:tbl>
    <w:p w:rsidRPr="00F944EB" w:rsidR="0044618A" w:rsidRDefault="0044618A" w14:paraId="46CC7297" w14:textId="77777777">
      <w:pPr>
        <w:spacing w:after="160" w:line="259" w:lineRule="auto"/>
        <w:jc w:val="left"/>
        <w:rPr>
          <w:sz w:val="14"/>
          <w:szCs w:val="14"/>
        </w:rPr>
      </w:pPr>
      <w:r>
        <w:br w:type="page"/>
      </w:r>
    </w:p>
    <w:p w:rsidRPr="00AA5C1D" w:rsidR="00175EC3" w:rsidP="00175EC3" w:rsidRDefault="00175EC3" w14:paraId="4B430A1C" w14:textId="3D61A257">
      <w:pPr>
        <w:pStyle w:val="ListParagraph"/>
        <w:numPr>
          <w:ilvl w:val="0"/>
          <w:numId w:val="2"/>
        </w:numPr>
        <w:ind w:left="567" w:hanging="567"/>
        <w:rPr>
          <w:b/>
          <w:bCs/>
          <w:i/>
          <w:iCs/>
          <w:sz w:val="28"/>
          <w:szCs w:val="28"/>
        </w:rPr>
      </w:pPr>
      <w:r>
        <w:rPr>
          <w:b/>
          <w:i/>
          <w:sz w:val="28"/>
        </w:rPr>
        <w:lastRenderedPageBreak/>
        <w:t>Strategia UE privind îngrășămintele</w:t>
      </w:r>
    </w:p>
    <w:p w:rsidRPr="009B70E7" w:rsidR="00175EC3" w:rsidP="00175EC3" w:rsidRDefault="00175EC3" w14:paraId="65E7B06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75EC3" w:rsidTr="00726054" w14:paraId="6E749EC9" w14:textId="77777777">
        <w:tc>
          <w:tcPr>
            <w:tcW w:w="1701" w:type="dxa"/>
          </w:tcPr>
          <w:p w:rsidR="00175EC3" w:rsidP="00726054" w:rsidRDefault="00175EC3" w14:paraId="046776A1" w14:textId="77777777">
            <w:pPr>
              <w:pStyle w:val="ListParagraph"/>
              <w:ind w:left="0"/>
              <w:rPr>
                <w:b/>
              </w:rPr>
            </w:pPr>
            <w:r>
              <w:rPr>
                <w:b/>
              </w:rPr>
              <w:t>Raportor</w:t>
            </w:r>
          </w:p>
          <w:p w:rsidRPr="009B70E7" w:rsidR="00175EC3" w:rsidP="00726054" w:rsidRDefault="00175EC3" w14:paraId="103EA0BC" w14:textId="77777777">
            <w:pPr>
              <w:pStyle w:val="ListParagraph"/>
              <w:ind w:left="0"/>
              <w:rPr>
                <w:b/>
              </w:rPr>
            </w:pPr>
          </w:p>
        </w:tc>
        <w:tc>
          <w:tcPr>
            <w:tcW w:w="6096" w:type="dxa"/>
          </w:tcPr>
          <w:p w:rsidR="00175EC3" w:rsidP="00726054" w:rsidRDefault="00175EC3" w14:paraId="4DA90026" w14:textId="14DF5862">
            <w:pPr>
              <w:pStyle w:val="ListParagraph"/>
              <w:ind w:left="-108"/>
            </w:pPr>
            <w:r>
              <w:t>Arnold PUECH D'ALISSAC (Grupul „Angajatori” – FR)</w:t>
            </w:r>
          </w:p>
          <w:p w:rsidRPr="007E7A4F" w:rsidR="00175EC3" w:rsidP="00726054" w:rsidRDefault="00175EC3" w14:paraId="67777FF4" w14:textId="77777777">
            <w:pPr>
              <w:pStyle w:val="ListParagraph"/>
              <w:ind w:left="-108"/>
              <w:rPr>
                <w:lang w:val="fr-BE"/>
              </w:rPr>
            </w:pPr>
          </w:p>
        </w:tc>
      </w:tr>
      <w:tr w:rsidRPr="009B70E7" w:rsidR="00175EC3" w:rsidTr="00726054" w14:paraId="10B10D3F" w14:textId="77777777">
        <w:tc>
          <w:tcPr>
            <w:tcW w:w="1701" w:type="dxa"/>
          </w:tcPr>
          <w:p w:rsidRPr="009B70E7" w:rsidR="00175EC3" w:rsidP="00726054" w:rsidRDefault="00175EC3" w14:paraId="0AFC7B7C" w14:textId="77777777">
            <w:pPr>
              <w:pStyle w:val="ListParagraph"/>
              <w:ind w:left="0"/>
              <w:rPr>
                <w:b/>
              </w:rPr>
            </w:pPr>
            <w:r>
              <w:rPr>
                <w:b/>
              </w:rPr>
              <w:t xml:space="preserve">Referințe </w:t>
            </w:r>
          </w:p>
        </w:tc>
        <w:tc>
          <w:tcPr>
            <w:tcW w:w="6096" w:type="dxa"/>
          </w:tcPr>
          <w:p w:rsidRPr="009B70E7" w:rsidR="00175EC3" w:rsidP="00726054" w:rsidRDefault="00175EC3" w14:paraId="1319FE45" w14:textId="6E5565A3">
            <w:pPr>
              <w:tabs>
                <w:tab w:val="center" w:pos="284"/>
              </w:tabs>
              <w:ind w:left="266" w:hanging="374"/>
            </w:pPr>
            <w:r>
              <w:t>COM(2022) 590 final</w:t>
            </w:r>
          </w:p>
          <w:p w:rsidRPr="009B70E7" w:rsidR="00175EC3" w:rsidP="00726054" w:rsidRDefault="00175EC3" w14:paraId="673C55B6" w14:textId="496199F4">
            <w:pPr>
              <w:pStyle w:val="ListParagraph"/>
              <w:ind w:left="-108"/>
            </w:pPr>
            <w:r>
              <w:t>EESC-2022-05716-00-00-AC</w:t>
            </w:r>
          </w:p>
        </w:tc>
      </w:tr>
    </w:tbl>
    <w:p w:rsidRPr="009B70E7" w:rsidR="00175EC3" w:rsidP="00175EC3" w:rsidRDefault="00175EC3" w14:paraId="7355F377" w14:textId="77777777">
      <w:pPr>
        <w:pStyle w:val="ListParagraph"/>
        <w:ind w:left="0"/>
        <w:rPr>
          <w:b/>
        </w:rPr>
      </w:pPr>
    </w:p>
    <w:p w:rsidRPr="00A00F37" w:rsidR="00175EC3" w:rsidP="00175EC3" w:rsidRDefault="00175EC3" w14:paraId="436A044E" w14:textId="77777777">
      <w:pPr>
        <w:pStyle w:val="ListParagraph"/>
        <w:spacing w:line="240" w:lineRule="auto"/>
        <w:ind w:left="0"/>
        <w:rPr>
          <w:b/>
        </w:rPr>
      </w:pPr>
      <w:r>
        <w:rPr>
          <w:b/>
        </w:rPr>
        <w:t>Punctele principale:</w:t>
      </w:r>
    </w:p>
    <w:p w:rsidRPr="0018231C" w:rsidR="00175EC3" w:rsidP="00175EC3" w:rsidRDefault="00175EC3" w14:paraId="553409B7" w14:textId="77777777">
      <w:pPr>
        <w:pStyle w:val="ListParagraph"/>
        <w:ind w:left="0"/>
        <w:rPr>
          <w:lang w:val="fr-FR"/>
        </w:rPr>
      </w:pPr>
    </w:p>
    <w:p w:rsidR="00175EC3" w:rsidP="00175EC3" w:rsidRDefault="00175EC3" w14:paraId="4865821A" w14:textId="77777777">
      <w:pPr>
        <w:pStyle w:val="ListParagraph"/>
        <w:spacing w:line="240" w:lineRule="auto"/>
        <w:ind w:left="0"/>
      </w:pPr>
      <w:r>
        <w:t>CESE:</w:t>
      </w:r>
    </w:p>
    <w:p w:rsidRPr="0018231C" w:rsidR="00175EC3" w:rsidP="00175EC3" w:rsidRDefault="00175EC3" w14:paraId="793D0A5D" w14:textId="77777777">
      <w:pPr>
        <w:pStyle w:val="ListParagraph"/>
        <w:ind w:left="0"/>
        <w:rPr>
          <w:lang w:val="fr-FR"/>
        </w:rPr>
      </w:pPr>
    </w:p>
    <w:p w:rsidR="00175EC3" w:rsidP="00175EC3" w:rsidRDefault="00175EC3" w14:paraId="622F49E6" w14:textId="77777777">
      <w:pPr>
        <w:numPr>
          <w:ilvl w:val="0"/>
          <w:numId w:val="3"/>
        </w:numPr>
        <w:overflowPunct w:val="0"/>
        <w:autoSpaceDE w:val="0"/>
        <w:autoSpaceDN w:val="0"/>
        <w:adjustRightInd w:val="0"/>
        <w:ind w:left="357" w:hanging="357"/>
        <w:textAlignment w:val="baseline"/>
      </w:pPr>
      <w:r>
        <w:t>salută comunicarea Comisiei intitulată „Asigurarea disponibilității și accesibilității prețurilor îngrășămintelor”, întrucât criza globală a îngrășămintelor, care a început la începutul anului 2021 și s-a agravat în urma războiului din Ucraina, este deosebit de acută în Europa, unde fermierii se confruntă atât cu prețuri record, cât și cu deficite de aprovizionare. Situația actuală reprezintă o amenințare la adresa agriculturii europene și a securității alimentare la nivel mondial;</w:t>
      </w:r>
    </w:p>
    <w:p w:rsidR="00175EC3" w:rsidP="00175EC3" w:rsidRDefault="00175EC3" w14:paraId="2D87F0B5" w14:textId="77777777">
      <w:pPr>
        <w:numPr>
          <w:ilvl w:val="0"/>
          <w:numId w:val="3"/>
        </w:numPr>
        <w:overflowPunct w:val="0"/>
        <w:autoSpaceDE w:val="0"/>
        <w:autoSpaceDN w:val="0"/>
        <w:adjustRightInd w:val="0"/>
        <w:ind w:left="357" w:hanging="357"/>
        <w:textAlignment w:val="baseline"/>
      </w:pPr>
      <w:r>
        <w:t>subliniază că sunt necesare acțiuni interne de urgență pentru a limita impactul crizei îngrășămintelor. Pe lângă posibilitatea de a-i sprijini în mod direct pe producătorii și fermierii de azot cei mai afectați prin intermediul ajutoarelor de stat (care se confruntă cu constrângeri bugetare, prezintă riscuri de denaturare a concurenței și ar trebui să facă obiectul unor condiții), CESE consideră că sunt necesare măsuri corective pentru a îmbunătăți funcționarea pieței îngrășămintelor din UE, deoarece este probabil ca acestea să aibă un impact mai mare asupra fermierilor și să fie mai eficiente din punctul de vedere al costurilor pentru contribuabili;</w:t>
      </w:r>
    </w:p>
    <w:p w:rsidR="00175EC3" w:rsidP="00175EC3" w:rsidRDefault="00175EC3" w14:paraId="036FB6E1" w14:textId="4DA24399">
      <w:pPr>
        <w:numPr>
          <w:ilvl w:val="0"/>
          <w:numId w:val="3"/>
        </w:numPr>
        <w:overflowPunct w:val="0"/>
        <w:autoSpaceDE w:val="0"/>
        <w:autoSpaceDN w:val="0"/>
        <w:adjustRightInd w:val="0"/>
        <w:ind w:left="357" w:hanging="357"/>
        <w:textAlignment w:val="baseline"/>
      </w:pPr>
      <w:r>
        <w:t xml:space="preserve">recomandă luarea de măsuri care să includă suspendarea tarifelor de import ale UE pentru toate îngrășămintele, facilitarea logisticii îngrășămintelor și flexibilitate în materie de reglementare pentru a aborda atât oferta, cât și prețurile îngrășămintelor prin facilitarea importurilor și a concurenței interne; </w:t>
      </w:r>
    </w:p>
    <w:p w:rsidR="00175EC3" w:rsidP="00175EC3" w:rsidRDefault="00175EC3" w14:paraId="501B0D9F" w14:textId="77777777">
      <w:pPr>
        <w:numPr>
          <w:ilvl w:val="0"/>
          <w:numId w:val="3"/>
        </w:numPr>
        <w:overflowPunct w:val="0"/>
        <w:autoSpaceDE w:val="0"/>
        <w:autoSpaceDN w:val="0"/>
        <w:adjustRightInd w:val="0"/>
        <w:ind w:left="357" w:hanging="357"/>
        <w:textAlignment w:val="baseline"/>
      </w:pPr>
      <w:r>
        <w:t xml:space="preserve">consideră că sunt necesare măsuri pe termen mediu pentru a limita dependența UE de îngrășămintele minerale importate și a reduce amprenta de mediu a fertilizării culturilor. Acestea ar trebui să vizeze limitarea utilizării îngrășămintelor printr-o eficiență sporită a </w:t>
      </w:r>
      <w:proofErr w:type="spellStart"/>
      <w:r>
        <w:t>nutrienților</w:t>
      </w:r>
      <w:proofErr w:type="spellEnd"/>
      <w:r>
        <w:t xml:space="preserve"> din plante, înlocuind parțial îngrășămintele sintetice cu gunoiul de grajd reciclat și alte deșeuri și îmbunătățind autonomia Europei în ceea ce privește producția de îngrășăminte;</w:t>
      </w:r>
    </w:p>
    <w:p w:rsidR="006549AE" w:rsidP="006549AE" w:rsidRDefault="00175EC3" w14:paraId="0872E5BC" w14:textId="77777777">
      <w:pPr>
        <w:numPr>
          <w:ilvl w:val="0"/>
          <w:numId w:val="3"/>
        </w:numPr>
        <w:overflowPunct w:val="0"/>
        <w:autoSpaceDE w:val="0"/>
        <w:autoSpaceDN w:val="0"/>
        <w:adjustRightInd w:val="0"/>
        <w:ind w:left="357" w:hanging="357"/>
        <w:textAlignment w:val="baseline"/>
      </w:pPr>
      <w:r>
        <w:t>solicită, de asemenea, să se ia în considerare aspectele sociale legate de agricultori (care sunt puternic afectați de prețurile îngrășămintelor), consumatorii de alimente (care se confruntă cu inflația prețurilor la alimente) și lucrătorii din industrie atunci când adoptă noi măsuri;</w:t>
      </w:r>
    </w:p>
    <w:p w:rsidRPr="00A3344B" w:rsidR="00175EC3" w:rsidP="006549AE" w:rsidRDefault="00175EC3" w14:paraId="08ABDB90" w14:textId="235B810F">
      <w:pPr>
        <w:numPr>
          <w:ilvl w:val="0"/>
          <w:numId w:val="3"/>
        </w:numPr>
        <w:overflowPunct w:val="0"/>
        <w:autoSpaceDE w:val="0"/>
        <w:autoSpaceDN w:val="0"/>
        <w:adjustRightInd w:val="0"/>
        <w:ind w:left="357" w:hanging="357"/>
        <w:textAlignment w:val="baseline"/>
      </w:pPr>
      <w:r>
        <w:t>îndeamnă UE să intensifice acțiunile de combatere a insecurității alimentare mondiale, inclusiv promovarea transparenței, disponibilității și utilizării eficiente a îngrășămintelor. Comerțul mondial cu îngrășăminte ar trebui facilitat prin menținerea piețelor deschise, prin evitarea restricțiilor și interdicțiilor la export, prin creșterea producției de îngrășăminte și prin extinderea rutelor logistice.</w:t>
      </w:r>
    </w:p>
    <w:p w:rsidRPr="009A3E0E" w:rsidR="00175EC3" w:rsidP="00175EC3" w:rsidRDefault="00175EC3" w14:paraId="4412E5C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64813" w:rsidR="00175EC3" w:rsidTr="00F944EB" w14:paraId="7675E619" w14:textId="77777777">
        <w:tc>
          <w:tcPr>
            <w:tcW w:w="1701" w:type="dxa"/>
          </w:tcPr>
          <w:p w:rsidRPr="00164813" w:rsidR="00175EC3" w:rsidP="00726054" w:rsidRDefault="00175EC3" w14:paraId="2405BB31" w14:textId="77777777">
            <w:pPr>
              <w:contextualSpacing/>
              <w:rPr>
                <w:i/>
              </w:rPr>
            </w:pPr>
            <w:r>
              <w:rPr>
                <w:b/>
                <w:i/>
              </w:rPr>
              <w:t>Date de contact</w:t>
            </w:r>
          </w:p>
        </w:tc>
        <w:tc>
          <w:tcPr>
            <w:tcW w:w="5387" w:type="dxa"/>
          </w:tcPr>
          <w:p w:rsidRPr="00164813" w:rsidR="00175EC3" w:rsidP="00726054" w:rsidRDefault="00175EC3" w14:paraId="0AEB0D9D" w14:textId="4EF30010">
            <w:pPr>
              <w:contextualSpacing/>
              <w:rPr>
                <w:i/>
              </w:rPr>
            </w:pPr>
            <w:proofErr w:type="spellStart"/>
            <w:r>
              <w:rPr>
                <w:i/>
              </w:rPr>
              <w:t>Martine</w:t>
            </w:r>
            <w:proofErr w:type="spellEnd"/>
            <w:r>
              <w:rPr>
                <w:i/>
              </w:rPr>
              <w:t xml:space="preserve"> </w:t>
            </w:r>
            <w:proofErr w:type="spellStart"/>
            <w:r>
              <w:rPr>
                <w:i/>
              </w:rPr>
              <w:t>Delanoy</w:t>
            </w:r>
            <w:proofErr w:type="spellEnd"/>
          </w:p>
        </w:tc>
      </w:tr>
      <w:tr w:rsidRPr="00164813" w:rsidR="00175EC3" w:rsidTr="00F944EB" w14:paraId="575920BC" w14:textId="77777777">
        <w:tc>
          <w:tcPr>
            <w:tcW w:w="1701" w:type="dxa"/>
          </w:tcPr>
          <w:p w:rsidRPr="00164813" w:rsidR="00175EC3" w:rsidP="00726054" w:rsidRDefault="00175EC3" w14:paraId="2409316A" w14:textId="77777777">
            <w:pPr>
              <w:ind w:left="601"/>
              <w:contextualSpacing/>
              <w:rPr>
                <w:i/>
              </w:rPr>
            </w:pPr>
            <w:r>
              <w:rPr>
                <w:i/>
              </w:rPr>
              <w:t>Tel.:</w:t>
            </w:r>
          </w:p>
        </w:tc>
        <w:tc>
          <w:tcPr>
            <w:tcW w:w="5387" w:type="dxa"/>
          </w:tcPr>
          <w:p w:rsidRPr="00164813" w:rsidR="00175EC3" w:rsidP="00726054" w:rsidRDefault="00175EC3" w14:paraId="0FB96B61" w14:textId="7066D542">
            <w:pPr>
              <w:contextualSpacing/>
              <w:rPr>
                <w:i/>
              </w:rPr>
            </w:pPr>
            <w:r>
              <w:rPr>
                <w:i/>
              </w:rPr>
              <w:t>00 32 2 546 98 02</w:t>
            </w:r>
          </w:p>
        </w:tc>
      </w:tr>
      <w:tr w:rsidRPr="00164813" w:rsidR="00175EC3" w:rsidTr="00F944EB" w14:paraId="715FBBC2" w14:textId="77777777">
        <w:tc>
          <w:tcPr>
            <w:tcW w:w="1701" w:type="dxa"/>
          </w:tcPr>
          <w:p w:rsidRPr="00164813" w:rsidR="00175EC3" w:rsidP="00726054" w:rsidRDefault="00175EC3" w14:paraId="1149A47E" w14:textId="77777777">
            <w:pPr>
              <w:ind w:left="601"/>
              <w:contextualSpacing/>
              <w:rPr>
                <w:i/>
              </w:rPr>
            </w:pPr>
            <w:r>
              <w:rPr>
                <w:i/>
              </w:rPr>
              <w:t>e-mail:</w:t>
            </w:r>
          </w:p>
        </w:tc>
        <w:tc>
          <w:tcPr>
            <w:tcW w:w="5387" w:type="dxa"/>
          </w:tcPr>
          <w:p w:rsidRPr="00D93D43" w:rsidR="00175EC3" w:rsidP="00726054" w:rsidRDefault="00175EC3" w14:paraId="5138213B" w14:textId="212B9436">
            <w:pPr>
              <w:contextualSpacing/>
              <w:rPr>
                <w:i/>
                <w:iCs/>
                <w:color w:val="0000FF"/>
                <w:u w:val="single"/>
              </w:rPr>
            </w:pPr>
            <w:r>
              <w:rPr>
                <w:i/>
                <w:color w:val="0000FF"/>
                <w:u w:val="single"/>
              </w:rPr>
              <w:t>Martine.Delanoy@eesc.europa.eu</w:t>
            </w:r>
          </w:p>
        </w:tc>
      </w:tr>
    </w:tbl>
    <w:p w:rsidR="00175EC3" w:rsidRDefault="00175EC3" w14:paraId="5BADF78A" w14:textId="55943AD5">
      <w:pPr>
        <w:spacing w:after="160" w:line="259" w:lineRule="auto"/>
        <w:jc w:val="left"/>
      </w:pPr>
    </w:p>
    <w:p w:rsidR="00175EC3" w:rsidRDefault="00175EC3" w14:paraId="32A1F0EB" w14:textId="77777777">
      <w:pPr>
        <w:spacing w:after="160" w:line="259" w:lineRule="auto"/>
        <w:jc w:val="left"/>
      </w:pPr>
      <w:r>
        <w:br w:type="page"/>
      </w:r>
    </w:p>
    <w:p w:rsidR="007425D2" w:rsidP="007425D2" w:rsidRDefault="007425D2" w14:paraId="6943AB74" w14:textId="2EC29BC4">
      <w:pPr>
        <w:pStyle w:val="Heading1"/>
        <w:rPr>
          <w:b/>
          <w:bCs/>
        </w:rPr>
      </w:pPr>
      <w:bookmarkStart w:name="_Toc131155352" w:id="29"/>
      <w:r>
        <w:rPr>
          <w:b/>
        </w:rPr>
        <w:lastRenderedPageBreak/>
        <w:t>SECȚIUNEA PENTRU RELAȚII EXTERNE</w:t>
      </w:r>
      <w:bookmarkEnd w:id="29"/>
    </w:p>
    <w:p w:rsidRPr="007425D2" w:rsidR="007425D2" w:rsidP="007425D2" w:rsidRDefault="007425D2" w14:paraId="7ADE6798" w14:textId="77777777"/>
    <w:p w:rsidRPr="007425D2" w:rsidR="007425D2" w:rsidP="007425D2" w:rsidRDefault="007425D2" w14:paraId="7AFF4245" w14:textId="0E3AEEA7">
      <w:pPr>
        <w:keepNext/>
        <w:numPr>
          <w:ilvl w:val="0"/>
          <w:numId w:val="2"/>
        </w:numPr>
        <w:ind w:left="567" w:hanging="567"/>
        <w:contextualSpacing/>
        <w:rPr>
          <w:b/>
          <w:i/>
          <w:sz w:val="28"/>
          <w:szCs w:val="28"/>
        </w:rPr>
      </w:pPr>
      <w:bookmarkStart w:name="_Hlk130283861" w:id="30"/>
      <w:r>
        <w:rPr>
          <w:b/>
          <w:i/>
          <w:sz w:val="28"/>
        </w:rPr>
        <w:t>Planul de acțiune pentru tineret în cadrul acțiunii externe a UE</w:t>
      </w:r>
    </w:p>
    <w:p w:rsidRPr="007425D2" w:rsidR="007425D2" w:rsidP="007425D2" w:rsidRDefault="007425D2" w14:paraId="2D9E4D26"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7425D2" w:rsidTr="00726054" w14:paraId="67D925BC" w14:textId="77777777">
        <w:trPr>
          <w:cantSplit/>
          <w:trHeight w:val="284" w:hRule="exact"/>
        </w:trPr>
        <w:tc>
          <w:tcPr>
            <w:tcW w:w="1701" w:type="dxa"/>
          </w:tcPr>
          <w:p w:rsidRPr="007425D2" w:rsidR="007425D2" w:rsidP="007425D2" w:rsidRDefault="007425D2" w14:paraId="2D027CDA" w14:textId="77777777">
            <w:pPr>
              <w:spacing w:line="240" w:lineRule="auto"/>
              <w:ind w:left="-142" w:firstLine="142"/>
              <w:contextualSpacing/>
              <w:rPr>
                <w:b/>
              </w:rPr>
            </w:pPr>
            <w:r>
              <w:rPr>
                <w:b/>
              </w:rPr>
              <w:t>Raportor</w:t>
            </w:r>
          </w:p>
          <w:p w:rsidRPr="007425D2" w:rsidR="007425D2" w:rsidP="007425D2" w:rsidRDefault="007425D2" w14:paraId="537C8D10" w14:textId="77777777">
            <w:pPr>
              <w:keepNext/>
              <w:contextualSpacing/>
              <w:rPr>
                <w:b/>
              </w:rPr>
            </w:pPr>
          </w:p>
        </w:tc>
        <w:tc>
          <w:tcPr>
            <w:tcW w:w="6521" w:type="dxa"/>
          </w:tcPr>
          <w:p w:rsidRPr="007425D2" w:rsidR="007425D2" w:rsidP="007425D2" w:rsidRDefault="007425D2" w14:paraId="6C3C7ECB" w14:textId="289268CD">
            <w:pPr>
              <w:ind w:left="-52"/>
              <w:contextualSpacing/>
            </w:pPr>
            <w:r>
              <w:t>Michael MCLOUGHLIN (Grupul „Organizații ale societății civile” – IE)</w:t>
            </w:r>
          </w:p>
        </w:tc>
      </w:tr>
      <w:tr w:rsidRPr="007425D2" w:rsidR="007425D2" w:rsidTr="00726054" w14:paraId="0222FC4D" w14:textId="77777777">
        <w:trPr>
          <w:cantSplit/>
          <w:trHeight w:val="567" w:hRule="exact"/>
        </w:trPr>
        <w:tc>
          <w:tcPr>
            <w:tcW w:w="1701" w:type="dxa"/>
          </w:tcPr>
          <w:p w:rsidRPr="007425D2" w:rsidR="007425D2" w:rsidP="007425D2" w:rsidRDefault="007425D2" w14:paraId="10897E08" w14:textId="77777777">
            <w:pPr>
              <w:contextualSpacing/>
              <w:rPr>
                <w:b/>
              </w:rPr>
            </w:pPr>
            <w:r>
              <w:rPr>
                <w:b/>
              </w:rPr>
              <w:t>Coraportoare</w:t>
            </w:r>
          </w:p>
        </w:tc>
        <w:tc>
          <w:tcPr>
            <w:tcW w:w="6521" w:type="dxa"/>
          </w:tcPr>
          <w:p w:rsidRPr="007425D2" w:rsidR="007425D2" w:rsidP="007425D2" w:rsidRDefault="007425D2" w14:paraId="05B4BF7E" w14:textId="55171C6D">
            <w:pPr>
              <w:ind w:left="-52" w:right="-336"/>
              <w:contextualSpacing/>
            </w:pPr>
            <w:proofErr w:type="spellStart"/>
            <w:r>
              <w:t>Tatjana</w:t>
            </w:r>
            <w:proofErr w:type="spellEnd"/>
            <w:r>
              <w:t xml:space="preserve"> BABRAUSKIENĖ (Grupul „Lucrători – LT)</w:t>
            </w:r>
          </w:p>
        </w:tc>
      </w:tr>
      <w:tr w:rsidRPr="007425D2" w:rsidR="007425D2" w:rsidTr="00726054" w14:paraId="0222A12D" w14:textId="77777777">
        <w:tc>
          <w:tcPr>
            <w:tcW w:w="1701" w:type="dxa"/>
          </w:tcPr>
          <w:p w:rsidRPr="007425D2" w:rsidR="007425D2" w:rsidP="007425D2" w:rsidRDefault="007425D2" w14:paraId="1335B9F1" w14:textId="77777777">
            <w:pPr>
              <w:contextualSpacing/>
              <w:rPr>
                <w:b/>
              </w:rPr>
            </w:pPr>
            <w:r>
              <w:rPr>
                <w:b/>
              </w:rPr>
              <w:t xml:space="preserve">Referințe </w:t>
            </w:r>
          </w:p>
        </w:tc>
        <w:tc>
          <w:tcPr>
            <w:tcW w:w="6521" w:type="dxa"/>
          </w:tcPr>
          <w:p w:rsidRPr="007425D2" w:rsidR="007425D2" w:rsidP="007425D2" w:rsidRDefault="007425D2" w14:paraId="0F2B0D3A" w14:textId="5021CB1B">
            <w:pPr>
              <w:ind w:left="-52"/>
              <w:contextualSpacing/>
            </w:pPr>
            <w:r>
              <w:t>aviz din proprie inițiativă</w:t>
            </w:r>
          </w:p>
          <w:p w:rsidRPr="007425D2" w:rsidR="007425D2" w:rsidP="007425D2" w:rsidRDefault="007425D2" w14:paraId="01A716CE" w14:textId="73432203">
            <w:pPr>
              <w:ind w:left="-52"/>
              <w:contextualSpacing/>
            </w:pPr>
            <w:r>
              <w:t>EESC-2022-05742-00-00-AC</w:t>
            </w:r>
          </w:p>
        </w:tc>
      </w:tr>
    </w:tbl>
    <w:p w:rsidRPr="007425D2" w:rsidR="007425D2" w:rsidP="007425D2" w:rsidRDefault="007425D2" w14:paraId="058DE1A4" w14:textId="77777777">
      <w:pPr>
        <w:spacing w:line="240" w:lineRule="auto"/>
        <w:ind w:left="-142" w:firstLine="284"/>
        <w:contextualSpacing/>
        <w:rPr>
          <w:b/>
        </w:rPr>
      </w:pPr>
    </w:p>
    <w:p w:rsidRPr="007425D2" w:rsidR="007425D2" w:rsidP="007425D2" w:rsidRDefault="007425D2" w14:paraId="2F160896" w14:textId="77777777">
      <w:pPr>
        <w:spacing w:line="240" w:lineRule="auto"/>
        <w:contextualSpacing/>
        <w:rPr>
          <w:b/>
        </w:rPr>
      </w:pPr>
      <w:r>
        <w:rPr>
          <w:b/>
        </w:rPr>
        <w:t>Punctele principale:</w:t>
      </w:r>
    </w:p>
    <w:p w:rsidRPr="007425D2" w:rsidR="007425D2" w:rsidP="007425D2" w:rsidRDefault="007425D2" w14:paraId="7B542FF0" w14:textId="77777777">
      <w:pPr>
        <w:contextualSpacing/>
      </w:pPr>
    </w:p>
    <w:p w:rsidRPr="007425D2" w:rsidR="007425D2" w:rsidP="007425D2" w:rsidRDefault="007425D2" w14:paraId="67BFFBED" w14:textId="77777777">
      <w:pPr>
        <w:spacing w:line="240" w:lineRule="auto"/>
        <w:contextualSpacing/>
        <w:rPr>
          <w:bCs/>
        </w:rPr>
      </w:pPr>
      <w:r>
        <w:t>CESE:</w:t>
      </w:r>
    </w:p>
    <w:p w:rsidRPr="00A6689B" w:rsidR="007425D2" w:rsidP="007425D2" w:rsidRDefault="007425D2" w14:paraId="79A56B04" w14:textId="77777777">
      <w:pPr>
        <w:rPr>
          <w:bCs/>
          <w:iCs/>
        </w:rPr>
      </w:pPr>
    </w:p>
    <w:p w:rsidRPr="007425D2" w:rsidR="007425D2" w:rsidP="007425D2" w:rsidRDefault="007425D2" w14:paraId="24D4743C" w14:textId="0B378D4D">
      <w:pPr>
        <w:numPr>
          <w:ilvl w:val="0"/>
          <w:numId w:val="3"/>
        </w:numPr>
        <w:ind w:left="357" w:hanging="357"/>
        <w:contextualSpacing/>
      </w:pPr>
      <w:r>
        <w:t xml:space="preserve">deși salută Planul de acțiune pentru tineret în cadrul acțiunii externe a UE, subliniază că ar putea apărea </w:t>
      </w:r>
      <w:r>
        <w:rPr>
          <w:b/>
        </w:rPr>
        <w:t xml:space="preserve">provocări în ceea ce privește introducerea și punerea sa în aplicare, </w:t>
      </w:r>
      <w:r>
        <w:t xml:space="preserve">care vor </w:t>
      </w:r>
      <w:r>
        <w:rPr>
          <w:b/>
        </w:rPr>
        <w:t>trebui monitorizate și supravegheate</w:t>
      </w:r>
      <w:r>
        <w:t xml:space="preserve">; ar dori ca, în timpul punerii în aplicare, să se acorde </w:t>
      </w:r>
      <w:r>
        <w:rPr>
          <w:b/>
        </w:rPr>
        <w:t>o atenție constantă celor mai marginalizați tineri</w:t>
      </w:r>
      <w:r>
        <w:t xml:space="preserve">, iar toate activitățile care vizează asumarea rolului de lider să fie completate de </w:t>
      </w:r>
      <w:r>
        <w:rPr>
          <w:b/>
        </w:rPr>
        <w:t>axarea</w:t>
      </w:r>
      <w:r>
        <w:t xml:space="preserve"> în egală măsură</w:t>
      </w:r>
      <w:r>
        <w:rPr>
          <w:b/>
        </w:rPr>
        <w:t xml:space="preserve"> pe furnizarea de sprijin pentru tineret la nivel local, în comunitățile locale</w:t>
      </w:r>
      <w:r>
        <w:t>;</w:t>
      </w:r>
    </w:p>
    <w:p w:rsidRPr="007425D2" w:rsidR="007425D2" w:rsidP="007425D2" w:rsidRDefault="007425D2" w14:paraId="057BEC34" w14:textId="264543DE">
      <w:pPr>
        <w:numPr>
          <w:ilvl w:val="0"/>
          <w:numId w:val="3"/>
        </w:numPr>
        <w:ind w:left="357" w:hanging="357"/>
        <w:contextualSpacing/>
      </w:pPr>
      <w:r>
        <w:t>își exprimă dorința de a se implica activ în implementarea Planului de acțiune pentru tineret;</w:t>
      </w:r>
    </w:p>
    <w:p w:rsidRPr="007425D2" w:rsidR="007425D2" w:rsidP="007425D2" w:rsidRDefault="007425D2" w14:paraId="7E214886" w14:textId="500FA0B7">
      <w:pPr>
        <w:numPr>
          <w:ilvl w:val="0"/>
          <w:numId w:val="3"/>
        </w:numPr>
        <w:ind w:left="357" w:hanging="357"/>
        <w:contextualSpacing/>
      </w:pPr>
      <w:r>
        <w:t xml:space="preserve">este de părere că </w:t>
      </w:r>
      <w:r>
        <w:rPr>
          <w:b/>
        </w:rPr>
        <w:t>expertiza și experiența organizațiilor de tineret din UE și din întreaga lume reprezintă o resursă valoroasă pentru punerea în aplicare a planului</w:t>
      </w:r>
      <w:r>
        <w:t>, atât pentru Comisia Europeană, cât și pentru delegațiile UE;</w:t>
      </w:r>
    </w:p>
    <w:p w:rsidRPr="00326F5F" w:rsidR="007425D2" w:rsidP="007425D2" w:rsidRDefault="00326F5F" w14:paraId="0295789B" w14:textId="37D2FAB9">
      <w:pPr>
        <w:numPr>
          <w:ilvl w:val="0"/>
          <w:numId w:val="3"/>
        </w:numPr>
        <w:ind w:left="357" w:hanging="357"/>
        <w:contextualSpacing/>
      </w:pPr>
      <w:r>
        <w:t xml:space="preserve">recomandă ca </w:t>
      </w:r>
      <w:r>
        <w:rPr>
          <w:b/>
        </w:rPr>
        <w:t>țările vizate să fie încurajate și să primească instrumentele necesare pentru a-și crea propriile politici concrete în domeniul tineretului și consilii naționale ale tineretului sau alte organisme echivalente</w:t>
      </w:r>
      <w:r>
        <w:t>;</w:t>
      </w:r>
    </w:p>
    <w:p w:rsidRPr="00326F5F" w:rsidR="00326F5F" w:rsidP="007425D2" w:rsidRDefault="00326F5F" w14:paraId="33E951A4" w14:textId="46928664">
      <w:pPr>
        <w:numPr>
          <w:ilvl w:val="0"/>
          <w:numId w:val="3"/>
        </w:numPr>
        <w:ind w:left="357" w:hanging="357"/>
        <w:contextualSpacing/>
      </w:pPr>
      <w:r>
        <w:t xml:space="preserve">este de părere că </w:t>
      </w:r>
      <w:r>
        <w:rPr>
          <w:b/>
        </w:rPr>
        <w:t>activitățile axate pe educație ar trebui să se centreze pe egalitate</w:t>
      </w:r>
      <w:r>
        <w:t>, în special pe protecția tinerelor fete, și că strategiile ar trebui să asigure implicarea categoriilor la care se ajunge cel mai greu;</w:t>
      </w:r>
    </w:p>
    <w:p w:rsidRPr="007425D2" w:rsidR="00326F5F" w:rsidP="007425D2" w:rsidRDefault="00326F5F" w14:paraId="7E3A9120" w14:textId="2E244D36">
      <w:pPr>
        <w:numPr>
          <w:ilvl w:val="0"/>
          <w:numId w:val="3"/>
        </w:numPr>
        <w:ind w:left="357" w:hanging="357"/>
        <w:contextualSpacing/>
      </w:pPr>
      <w:r>
        <w:t xml:space="preserve">salută și </w:t>
      </w:r>
      <w:r>
        <w:rPr>
          <w:b/>
        </w:rPr>
        <w:t>încurajează legăturile cu activitatea Organizației Națiunilor Unite (ONU) și a agențiilor sale</w:t>
      </w:r>
      <w:r>
        <w:t xml:space="preserve"> în acest domeniu, în special în ceea ce privește Agenda privind tineretul, pacea și securitatea și orice sinergii cu Comitetul ONU pentru drepturile copilului.</w:t>
      </w:r>
    </w:p>
    <w:p w:rsidRPr="007425D2" w:rsidR="007425D2" w:rsidP="007425D2" w:rsidRDefault="007425D2" w14:paraId="5DE8416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7425D2" w:rsidR="007425D2" w:rsidTr="00F944EB" w14:paraId="15B63213" w14:textId="77777777">
        <w:tc>
          <w:tcPr>
            <w:tcW w:w="1701" w:type="dxa"/>
          </w:tcPr>
          <w:p w:rsidRPr="007425D2" w:rsidR="007425D2" w:rsidP="007425D2" w:rsidRDefault="007425D2" w14:paraId="3220F417" w14:textId="77777777">
            <w:pPr>
              <w:contextualSpacing/>
              <w:rPr>
                <w:i/>
              </w:rPr>
            </w:pPr>
            <w:r>
              <w:rPr>
                <w:b/>
                <w:i/>
              </w:rPr>
              <w:t>Date de contact</w:t>
            </w:r>
          </w:p>
        </w:tc>
        <w:tc>
          <w:tcPr>
            <w:tcW w:w="5387" w:type="dxa"/>
          </w:tcPr>
          <w:p w:rsidRPr="007425D2" w:rsidR="007425D2" w:rsidP="007425D2" w:rsidRDefault="00326F5F" w14:paraId="3540E5A1" w14:textId="0378C742">
            <w:pPr>
              <w:contextualSpacing/>
              <w:rPr>
                <w:i/>
              </w:rPr>
            </w:pPr>
            <w:r>
              <w:rPr>
                <w:i/>
              </w:rPr>
              <w:t xml:space="preserve">David </w:t>
            </w:r>
            <w:proofErr w:type="spellStart"/>
            <w:r>
              <w:rPr>
                <w:i/>
              </w:rPr>
              <w:t>Hoić</w:t>
            </w:r>
            <w:proofErr w:type="spellEnd"/>
          </w:p>
        </w:tc>
      </w:tr>
      <w:tr w:rsidRPr="007425D2" w:rsidR="007425D2" w:rsidTr="00F944EB" w14:paraId="63A5E67D" w14:textId="77777777">
        <w:tc>
          <w:tcPr>
            <w:tcW w:w="1701" w:type="dxa"/>
          </w:tcPr>
          <w:p w:rsidRPr="007425D2" w:rsidR="007425D2" w:rsidP="007425D2" w:rsidRDefault="007425D2" w14:paraId="09ABBB8D" w14:textId="77777777">
            <w:pPr>
              <w:ind w:left="601"/>
              <w:contextualSpacing/>
              <w:rPr>
                <w:i/>
              </w:rPr>
            </w:pPr>
            <w:r>
              <w:rPr>
                <w:i/>
              </w:rPr>
              <w:t>Tel.:</w:t>
            </w:r>
          </w:p>
        </w:tc>
        <w:tc>
          <w:tcPr>
            <w:tcW w:w="5387" w:type="dxa"/>
          </w:tcPr>
          <w:p w:rsidRPr="007425D2" w:rsidR="007425D2" w:rsidP="007425D2" w:rsidRDefault="007425D2" w14:paraId="1C46CFFD" w14:textId="0E15E09D">
            <w:pPr>
              <w:contextualSpacing/>
              <w:rPr>
                <w:i/>
              </w:rPr>
            </w:pPr>
            <w:r>
              <w:rPr>
                <w:i/>
              </w:rPr>
              <w:t>00 32 2 546 90 69</w:t>
            </w:r>
          </w:p>
        </w:tc>
      </w:tr>
      <w:tr w:rsidRPr="007425D2" w:rsidR="007425D2" w:rsidTr="00F944EB" w14:paraId="05C1115B" w14:textId="77777777">
        <w:tc>
          <w:tcPr>
            <w:tcW w:w="1701" w:type="dxa"/>
          </w:tcPr>
          <w:p w:rsidRPr="007425D2" w:rsidR="007425D2" w:rsidP="007425D2" w:rsidRDefault="007425D2" w14:paraId="6E88317C" w14:textId="77777777">
            <w:pPr>
              <w:ind w:left="601"/>
              <w:contextualSpacing/>
              <w:rPr>
                <w:i/>
              </w:rPr>
            </w:pPr>
            <w:r>
              <w:rPr>
                <w:i/>
              </w:rPr>
              <w:t>e-mail:</w:t>
            </w:r>
          </w:p>
        </w:tc>
        <w:tc>
          <w:tcPr>
            <w:tcW w:w="5387" w:type="dxa"/>
          </w:tcPr>
          <w:p w:rsidRPr="007425D2" w:rsidR="007425D2" w:rsidP="007425D2" w:rsidRDefault="00C12F9B" w14:paraId="79DF4759" w14:textId="57EEF6BB">
            <w:pPr>
              <w:contextualSpacing/>
              <w:rPr>
                <w:i/>
                <w:iCs/>
              </w:rPr>
            </w:pPr>
            <w:hyperlink w:history="1" r:id="rId33">
              <w:r w:rsidR="00472A1F">
                <w:rPr>
                  <w:rStyle w:val="Hyperlink"/>
                  <w:i/>
                </w:rPr>
                <w:t>David.Hoic@eesc.europa.eu</w:t>
              </w:r>
            </w:hyperlink>
          </w:p>
        </w:tc>
      </w:tr>
      <w:bookmarkEnd w:id="30"/>
    </w:tbl>
    <w:p w:rsidR="00326F5F" w:rsidRDefault="00326F5F" w14:paraId="3EB282D8" w14:textId="31FE646C">
      <w:pPr>
        <w:spacing w:after="160" w:line="259" w:lineRule="auto"/>
        <w:jc w:val="left"/>
      </w:pPr>
    </w:p>
    <w:p w:rsidR="00326F5F" w:rsidRDefault="00326F5F" w14:paraId="075F573C" w14:textId="77777777">
      <w:pPr>
        <w:spacing w:after="160" w:line="259" w:lineRule="auto"/>
        <w:jc w:val="left"/>
      </w:pPr>
      <w:r>
        <w:br w:type="page"/>
      </w:r>
    </w:p>
    <w:p w:rsidR="00895C48" w:rsidP="00326F5F" w:rsidRDefault="00326F5F" w14:paraId="57D56E89" w14:textId="0AD6D707">
      <w:pPr>
        <w:pStyle w:val="Heading1"/>
        <w:rPr>
          <w:b/>
          <w:bCs/>
        </w:rPr>
      </w:pPr>
      <w:bookmarkStart w:name="_Toc131155353" w:id="31"/>
      <w:r>
        <w:rPr>
          <w:b/>
        </w:rPr>
        <w:lastRenderedPageBreak/>
        <w:t>SECȚIUNEA PENTRU TRANSPORTURI, ENERGIE, INFRASTRUCTURĂ, SOCIETATE INFORMAȚIONALĂ</w:t>
      </w:r>
      <w:bookmarkEnd w:id="31"/>
    </w:p>
    <w:p w:rsidRPr="00326F5F" w:rsidR="00326F5F" w:rsidP="00326F5F" w:rsidRDefault="00326F5F" w14:paraId="6F03EAAD" w14:textId="77777777"/>
    <w:p w:rsidRPr="007425D2" w:rsidR="00326F5F" w:rsidP="00326F5F" w:rsidRDefault="00326F5F" w14:paraId="224F4BE5" w14:textId="57CDCA16">
      <w:pPr>
        <w:keepNext/>
        <w:numPr>
          <w:ilvl w:val="0"/>
          <w:numId w:val="2"/>
        </w:numPr>
        <w:ind w:left="567" w:hanging="567"/>
        <w:contextualSpacing/>
        <w:rPr>
          <w:b/>
          <w:i/>
          <w:sz w:val="28"/>
          <w:szCs w:val="28"/>
        </w:rPr>
      </w:pPr>
      <w:r>
        <w:rPr>
          <w:b/>
          <w:i/>
          <w:sz w:val="28"/>
        </w:rPr>
        <w:t>Starea uniunii energetice în 2022</w:t>
      </w:r>
    </w:p>
    <w:p w:rsidRPr="007425D2" w:rsidR="00326F5F" w:rsidP="00326F5F" w:rsidRDefault="00326F5F" w14:paraId="571F4BC2"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326F5F" w:rsidTr="00726054" w14:paraId="73CF3627" w14:textId="77777777">
        <w:trPr>
          <w:cantSplit/>
          <w:trHeight w:val="284" w:hRule="exact"/>
        </w:trPr>
        <w:tc>
          <w:tcPr>
            <w:tcW w:w="1701" w:type="dxa"/>
          </w:tcPr>
          <w:p w:rsidRPr="007425D2" w:rsidR="00326F5F" w:rsidP="00726054" w:rsidRDefault="00326F5F" w14:paraId="66AA3AD3" w14:textId="3B676639">
            <w:pPr>
              <w:spacing w:line="240" w:lineRule="auto"/>
              <w:ind w:left="-142" w:firstLine="142"/>
              <w:contextualSpacing/>
              <w:rPr>
                <w:b/>
              </w:rPr>
            </w:pPr>
            <w:r>
              <w:rPr>
                <w:b/>
              </w:rPr>
              <w:t>Raportori</w:t>
            </w:r>
          </w:p>
          <w:p w:rsidRPr="007425D2" w:rsidR="00326F5F" w:rsidP="00726054" w:rsidRDefault="00326F5F" w14:paraId="2B9F9954" w14:textId="77777777">
            <w:pPr>
              <w:keepNext/>
              <w:contextualSpacing/>
              <w:rPr>
                <w:b/>
              </w:rPr>
            </w:pPr>
          </w:p>
        </w:tc>
        <w:tc>
          <w:tcPr>
            <w:tcW w:w="6521" w:type="dxa"/>
          </w:tcPr>
          <w:p w:rsidRPr="007425D2" w:rsidR="00326F5F" w:rsidP="00726054" w:rsidRDefault="00326F5F" w14:paraId="24C9FBD7" w14:textId="6584559F">
            <w:pPr>
              <w:ind w:left="-52"/>
              <w:contextualSpacing/>
            </w:pPr>
            <w:proofErr w:type="spellStart"/>
            <w:r>
              <w:t>Lutz</w:t>
            </w:r>
            <w:proofErr w:type="spellEnd"/>
            <w:r>
              <w:t xml:space="preserve"> RIBBE (Grupul „Organizații ale societății civile” - DE)</w:t>
            </w:r>
          </w:p>
        </w:tc>
      </w:tr>
      <w:tr w:rsidRPr="007425D2" w:rsidR="00326F5F" w:rsidTr="00726054" w14:paraId="088532F3" w14:textId="77777777">
        <w:trPr>
          <w:cantSplit/>
          <w:trHeight w:val="567" w:hRule="exact"/>
        </w:trPr>
        <w:tc>
          <w:tcPr>
            <w:tcW w:w="1701" w:type="dxa"/>
          </w:tcPr>
          <w:p w:rsidRPr="007425D2" w:rsidR="00326F5F" w:rsidP="00726054" w:rsidRDefault="00326F5F" w14:paraId="6F5D6835" w14:textId="18E59A91">
            <w:pPr>
              <w:contextualSpacing/>
              <w:rPr>
                <w:b/>
              </w:rPr>
            </w:pPr>
          </w:p>
        </w:tc>
        <w:tc>
          <w:tcPr>
            <w:tcW w:w="6521" w:type="dxa"/>
          </w:tcPr>
          <w:p w:rsidR="00326F5F" w:rsidP="00726054" w:rsidRDefault="00326F5F" w14:paraId="26659F57" w14:textId="77777777">
            <w:pPr>
              <w:ind w:left="-52" w:right="-336"/>
              <w:contextualSpacing/>
            </w:pPr>
            <w:proofErr w:type="spellStart"/>
            <w:r>
              <w:t>Angelo</w:t>
            </w:r>
            <w:proofErr w:type="spellEnd"/>
            <w:r>
              <w:t xml:space="preserve"> PAGLIARA (Grupul „Lucrători” – IT)</w:t>
            </w:r>
          </w:p>
          <w:p w:rsidR="00AA6795" w:rsidP="00726054" w:rsidRDefault="00AA6795" w14:paraId="45025F06" w14:textId="3098E60F">
            <w:pPr>
              <w:ind w:left="-52" w:right="-336"/>
              <w:contextualSpacing/>
            </w:pPr>
            <w:r>
              <w:t>Marcin NOWACKI (Grupul „Angajatori” - PL)</w:t>
            </w:r>
          </w:p>
          <w:p w:rsidR="00AA6795" w:rsidP="00726054" w:rsidRDefault="00AA6795" w14:paraId="74BE9CDF" w14:textId="77777777">
            <w:pPr>
              <w:ind w:left="-52" w:right="-336"/>
              <w:contextualSpacing/>
            </w:pPr>
          </w:p>
          <w:p w:rsidR="00AA6795" w:rsidP="00726054" w:rsidRDefault="00AA6795" w14:paraId="4BE1CD97" w14:textId="77777777">
            <w:pPr>
              <w:ind w:left="-52" w:right="-336"/>
              <w:contextualSpacing/>
            </w:pPr>
          </w:p>
          <w:p w:rsidRPr="007425D2" w:rsidR="00AA6795" w:rsidP="00726054" w:rsidRDefault="00AA6795" w14:paraId="6D73A4C6" w14:textId="0704529C">
            <w:pPr>
              <w:ind w:left="-52" w:right="-336"/>
              <w:contextualSpacing/>
            </w:pPr>
          </w:p>
        </w:tc>
      </w:tr>
      <w:tr w:rsidRPr="007425D2" w:rsidR="00AA6795" w:rsidTr="00726054" w14:paraId="26C928B9" w14:textId="77777777">
        <w:tc>
          <w:tcPr>
            <w:tcW w:w="1701" w:type="dxa"/>
          </w:tcPr>
          <w:p w:rsidRPr="007425D2" w:rsidR="00AA6795" w:rsidP="00726054" w:rsidRDefault="00AA6795" w14:paraId="2029A3BC" w14:textId="77777777">
            <w:pPr>
              <w:contextualSpacing/>
              <w:rPr>
                <w:b/>
              </w:rPr>
            </w:pPr>
          </w:p>
        </w:tc>
        <w:tc>
          <w:tcPr>
            <w:tcW w:w="6521" w:type="dxa"/>
          </w:tcPr>
          <w:p w:rsidR="00AA6795" w:rsidP="00726054" w:rsidRDefault="00AA6795" w14:paraId="787B21B6" w14:textId="77777777">
            <w:pPr>
              <w:ind w:left="-52"/>
              <w:contextualSpacing/>
            </w:pPr>
          </w:p>
        </w:tc>
      </w:tr>
      <w:tr w:rsidRPr="007425D2" w:rsidR="00326F5F" w:rsidTr="00726054" w14:paraId="6BE95774" w14:textId="77777777">
        <w:tc>
          <w:tcPr>
            <w:tcW w:w="1701" w:type="dxa"/>
          </w:tcPr>
          <w:p w:rsidRPr="007425D2" w:rsidR="00326F5F" w:rsidP="00726054" w:rsidRDefault="00326F5F" w14:paraId="790040DB" w14:textId="77777777">
            <w:pPr>
              <w:contextualSpacing/>
              <w:rPr>
                <w:b/>
              </w:rPr>
            </w:pPr>
            <w:r>
              <w:rPr>
                <w:b/>
              </w:rPr>
              <w:t xml:space="preserve">Referințe </w:t>
            </w:r>
          </w:p>
        </w:tc>
        <w:tc>
          <w:tcPr>
            <w:tcW w:w="6521" w:type="dxa"/>
          </w:tcPr>
          <w:p w:rsidRPr="007425D2" w:rsidR="00326F5F" w:rsidP="00726054" w:rsidRDefault="00AA6795" w14:paraId="19C514B0" w14:textId="1027D77C">
            <w:pPr>
              <w:ind w:left="-52"/>
              <w:contextualSpacing/>
            </w:pPr>
            <w:r>
              <w:t>COM(2022) 547 final</w:t>
            </w:r>
          </w:p>
          <w:p w:rsidRPr="007425D2" w:rsidR="00326F5F" w:rsidP="00726054" w:rsidRDefault="00326F5F" w14:paraId="38B7529E" w14:textId="24AE0806">
            <w:pPr>
              <w:ind w:left="-52"/>
              <w:contextualSpacing/>
            </w:pPr>
            <w:r>
              <w:t>EESC-2022-05991-00-00-AC</w:t>
            </w:r>
          </w:p>
        </w:tc>
      </w:tr>
    </w:tbl>
    <w:p w:rsidRPr="007425D2" w:rsidR="00326F5F" w:rsidP="00326F5F" w:rsidRDefault="00326F5F" w14:paraId="71CCF818" w14:textId="77777777">
      <w:pPr>
        <w:spacing w:line="240" w:lineRule="auto"/>
        <w:ind w:left="-142" w:firstLine="284"/>
        <w:contextualSpacing/>
        <w:rPr>
          <w:b/>
        </w:rPr>
      </w:pPr>
    </w:p>
    <w:p w:rsidRPr="007425D2" w:rsidR="00326F5F" w:rsidP="00326F5F" w:rsidRDefault="00326F5F" w14:paraId="5F56B3C4" w14:textId="77777777">
      <w:pPr>
        <w:spacing w:line="240" w:lineRule="auto"/>
        <w:contextualSpacing/>
        <w:rPr>
          <w:b/>
        </w:rPr>
      </w:pPr>
      <w:r>
        <w:rPr>
          <w:b/>
        </w:rPr>
        <w:t>Punctele principale:</w:t>
      </w:r>
    </w:p>
    <w:p w:rsidRPr="007425D2" w:rsidR="00326F5F" w:rsidP="00326F5F" w:rsidRDefault="00326F5F" w14:paraId="1C3B5A92" w14:textId="77777777">
      <w:pPr>
        <w:contextualSpacing/>
      </w:pPr>
    </w:p>
    <w:p w:rsidRPr="007425D2" w:rsidR="00326F5F" w:rsidP="00326F5F" w:rsidRDefault="00326F5F" w14:paraId="2C0E49E3" w14:textId="77777777">
      <w:pPr>
        <w:spacing w:line="240" w:lineRule="auto"/>
        <w:contextualSpacing/>
        <w:rPr>
          <w:bCs/>
        </w:rPr>
      </w:pPr>
      <w:r>
        <w:t>CESE:</w:t>
      </w:r>
    </w:p>
    <w:p w:rsidRPr="00A6689B" w:rsidR="00326F5F" w:rsidP="00326F5F" w:rsidRDefault="00326F5F" w14:paraId="3B3561CE" w14:textId="77777777">
      <w:pPr>
        <w:rPr>
          <w:bCs/>
          <w:iCs/>
        </w:rPr>
      </w:pPr>
    </w:p>
    <w:p w:rsidRPr="007425D2" w:rsidR="00326F5F" w:rsidP="00326F5F" w:rsidRDefault="00AA6795" w14:paraId="09F5FB99" w14:textId="755ADD6F">
      <w:pPr>
        <w:numPr>
          <w:ilvl w:val="0"/>
          <w:numId w:val="3"/>
        </w:numPr>
        <w:ind w:left="357" w:hanging="357"/>
        <w:contextualSpacing/>
      </w:pPr>
      <w:r>
        <w:t xml:space="preserve">crede că </w:t>
      </w:r>
      <w:r>
        <w:rPr>
          <w:b/>
        </w:rPr>
        <w:t>rolul central și activ al cetățenilor</w:t>
      </w:r>
      <w:r>
        <w:t xml:space="preserve">, care ar trebui să se afle în centrul politicilor, nu este luat în considerare în mod corespunzător în document sau în anexe; este ferm convins că </w:t>
      </w:r>
      <w:r>
        <w:rPr>
          <w:b/>
        </w:rPr>
        <w:t>cetățenii ar trebui să se afle în centrul uniunii energetice</w:t>
      </w:r>
      <w:r>
        <w:t>, integrându-i pe piață și transformându-i în adevărați „</w:t>
      </w:r>
      <w:proofErr w:type="spellStart"/>
      <w:r>
        <w:rPr>
          <w:b/>
        </w:rPr>
        <w:t>prosumatori</w:t>
      </w:r>
      <w:proofErr w:type="spellEnd"/>
      <w:r>
        <w:t>”;</w:t>
      </w:r>
    </w:p>
    <w:p w:rsidR="00326F5F" w:rsidP="00326F5F" w:rsidRDefault="00AA6795" w14:paraId="76A2F7A4" w14:textId="1C0D01C4">
      <w:pPr>
        <w:numPr>
          <w:ilvl w:val="0"/>
          <w:numId w:val="3"/>
        </w:numPr>
        <w:ind w:left="357" w:hanging="357"/>
        <w:contextualSpacing/>
      </w:pPr>
      <w:r>
        <w:t xml:space="preserve">subliniază </w:t>
      </w:r>
      <w:r>
        <w:rPr>
          <w:b/>
        </w:rPr>
        <w:t>lipsa unei coordonări europene clare în timpul crizei energetice</w:t>
      </w:r>
      <w:r>
        <w:t xml:space="preserve"> și, ca parte a răspunsului, </w:t>
      </w:r>
      <w:r>
        <w:rPr>
          <w:b/>
        </w:rPr>
        <w:t>solicită crearea unui instrument bazat pe modelul SURE</w:t>
      </w:r>
      <w:r>
        <w:t>, pentru a sprijini lucrătorii și întreprinderile aflate în dificultate;</w:t>
      </w:r>
    </w:p>
    <w:p w:rsidRPr="007425D2" w:rsidR="00AA6795" w:rsidP="00326F5F" w:rsidRDefault="00AA6795" w14:paraId="3A09717A" w14:textId="62E21E95">
      <w:pPr>
        <w:numPr>
          <w:ilvl w:val="0"/>
          <w:numId w:val="3"/>
        </w:numPr>
        <w:ind w:left="357" w:hanging="357"/>
        <w:contextualSpacing/>
      </w:pPr>
      <w:r>
        <w:t xml:space="preserve">regretă că două subiecte </w:t>
      </w:r>
      <w:r>
        <w:rPr>
          <w:b/>
        </w:rPr>
        <w:t>nu sunt luate în considerare în mod corespunzător</w:t>
      </w:r>
      <w:r>
        <w:t xml:space="preserve"> în raport: </w:t>
      </w:r>
      <w:r>
        <w:rPr>
          <w:b/>
        </w:rPr>
        <w:t>„autonomia energetică strategică”</w:t>
      </w:r>
      <w:r>
        <w:t xml:space="preserve">, care rămâne în umbră, cu accent exclusiv pe independența față de importurile de energie din Rusia, precum și </w:t>
      </w:r>
      <w:r>
        <w:rPr>
          <w:b/>
        </w:rPr>
        <w:t>importanța unor politici cuprinzătoare în domeniul ocupării forței de muncă</w:t>
      </w:r>
      <w:r>
        <w:t>, al competențelor și al politicilor sociale.</w:t>
      </w:r>
    </w:p>
    <w:p w:rsidRPr="007425D2" w:rsidR="00326F5F" w:rsidP="00326F5F" w:rsidRDefault="00326F5F" w14:paraId="65034C3B"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7425D2" w:rsidR="00326F5F" w:rsidTr="00F944EB" w14:paraId="31C5C881" w14:textId="77777777">
        <w:tc>
          <w:tcPr>
            <w:tcW w:w="1701" w:type="dxa"/>
          </w:tcPr>
          <w:p w:rsidRPr="007425D2" w:rsidR="00326F5F" w:rsidP="00726054" w:rsidRDefault="00326F5F" w14:paraId="4A9064CD" w14:textId="77777777">
            <w:pPr>
              <w:contextualSpacing/>
              <w:rPr>
                <w:i/>
              </w:rPr>
            </w:pPr>
            <w:bookmarkStart w:name="_Hlk130285139" w:id="32"/>
            <w:r>
              <w:rPr>
                <w:b/>
                <w:i/>
              </w:rPr>
              <w:t>Date de contact</w:t>
            </w:r>
          </w:p>
        </w:tc>
        <w:tc>
          <w:tcPr>
            <w:tcW w:w="5387" w:type="dxa"/>
          </w:tcPr>
          <w:p w:rsidRPr="007425D2" w:rsidR="00326F5F" w:rsidP="00726054" w:rsidRDefault="00AA6795" w14:paraId="2077DF7F" w14:textId="0F595681">
            <w:pPr>
              <w:contextualSpacing/>
              <w:rPr>
                <w:i/>
              </w:rPr>
            </w:pPr>
            <w:proofErr w:type="spellStart"/>
            <w:r>
              <w:rPr>
                <w:i/>
              </w:rPr>
              <w:t>Giorgia</w:t>
            </w:r>
            <w:proofErr w:type="spellEnd"/>
            <w:r>
              <w:rPr>
                <w:i/>
              </w:rPr>
              <w:t xml:space="preserve"> </w:t>
            </w:r>
            <w:proofErr w:type="spellStart"/>
            <w:r>
              <w:rPr>
                <w:i/>
              </w:rPr>
              <w:t>Bordignon</w:t>
            </w:r>
            <w:proofErr w:type="spellEnd"/>
          </w:p>
        </w:tc>
      </w:tr>
      <w:tr w:rsidRPr="007425D2" w:rsidR="00326F5F" w:rsidTr="00F944EB" w14:paraId="76B4F76E" w14:textId="77777777">
        <w:tc>
          <w:tcPr>
            <w:tcW w:w="1701" w:type="dxa"/>
          </w:tcPr>
          <w:p w:rsidRPr="007425D2" w:rsidR="00326F5F" w:rsidP="00726054" w:rsidRDefault="00326F5F" w14:paraId="0BA9CDA4" w14:textId="77777777">
            <w:pPr>
              <w:ind w:left="601"/>
              <w:contextualSpacing/>
              <w:rPr>
                <w:i/>
              </w:rPr>
            </w:pPr>
            <w:r>
              <w:rPr>
                <w:i/>
              </w:rPr>
              <w:t>Tel.:</w:t>
            </w:r>
          </w:p>
        </w:tc>
        <w:tc>
          <w:tcPr>
            <w:tcW w:w="5387" w:type="dxa"/>
          </w:tcPr>
          <w:p w:rsidRPr="007425D2" w:rsidR="00326F5F" w:rsidP="00726054" w:rsidRDefault="00326F5F" w14:paraId="0C42B8B7" w14:textId="633C9B70">
            <w:pPr>
              <w:contextualSpacing/>
              <w:rPr>
                <w:i/>
              </w:rPr>
            </w:pPr>
            <w:r>
              <w:rPr>
                <w:i/>
              </w:rPr>
              <w:t>00 32 2 546 85 35</w:t>
            </w:r>
          </w:p>
        </w:tc>
      </w:tr>
      <w:tr w:rsidRPr="007425D2" w:rsidR="00326F5F" w:rsidTr="00F944EB" w14:paraId="4D4929D6" w14:textId="77777777">
        <w:trPr>
          <w:trHeight w:val="74"/>
        </w:trPr>
        <w:tc>
          <w:tcPr>
            <w:tcW w:w="1701" w:type="dxa"/>
          </w:tcPr>
          <w:p w:rsidRPr="007425D2" w:rsidR="00326F5F" w:rsidP="00726054" w:rsidRDefault="00326F5F" w14:paraId="17852495" w14:textId="77777777">
            <w:pPr>
              <w:ind w:left="601"/>
              <w:contextualSpacing/>
              <w:rPr>
                <w:i/>
              </w:rPr>
            </w:pPr>
            <w:r>
              <w:rPr>
                <w:i/>
              </w:rPr>
              <w:t>e-mail:</w:t>
            </w:r>
          </w:p>
        </w:tc>
        <w:tc>
          <w:tcPr>
            <w:tcW w:w="5387" w:type="dxa"/>
          </w:tcPr>
          <w:p w:rsidRPr="007425D2" w:rsidR="00326F5F" w:rsidP="00726054" w:rsidRDefault="00C12F9B" w14:paraId="69D93813" w14:textId="466C52B0">
            <w:pPr>
              <w:contextualSpacing/>
              <w:rPr>
                <w:i/>
                <w:iCs/>
              </w:rPr>
            </w:pPr>
            <w:hyperlink w:history="1" r:id="rId34">
              <w:r w:rsidR="00472A1F">
                <w:rPr>
                  <w:rStyle w:val="Hyperlink"/>
                  <w:i/>
                </w:rPr>
                <w:t>Giorgiaandrea.Bordignon@eesc.europa.eu</w:t>
              </w:r>
            </w:hyperlink>
          </w:p>
        </w:tc>
      </w:tr>
    </w:tbl>
    <w:p w:rsidRPr="00326F5F" w:rsidR="00326F5F" w:rsidP="00326F5F" w:rsidRDefault="00326F5F" w14:paraId="7AF9ED36" w14:textId="77777777"/>
    <w:bookmarkEnd w:id="32"/>
    <w:p w:rsidR="0044618A" w:rsidRDefault="0044618A" w14:paraId="61DFB908" w14:textId="225C79D8">
      <w:pPr>
        <w:spacing w:after="160" w:line="259" w:lineRule="auto"/>
        <w:jc w:val="left"/>
      </w:pPr>
      <w:r>
        <w:br w:type="page"/>
      </w:r>
    </w:p>
    <w:p w:rsidR="00326F5F" w:rsidP="00FC2BE8" w:rsidRDefault="00326F5F" w14:paraId="50BB20DE" w14:textId="77777777">
      <w:pPr>
        <w:overflowPunct w:val="0"/>
        <w:autoSpaceDE w:val="0"/>
        <w:autoSpaceDN w:val="0"/>
        <w:adjustRightInd w:val="0"/>
        <w:jc w:val="center"/>
        <w:textAlignment w:val="baseline"/>
        <w:rPr>
          <w:lang w:val="nl-BE"/>
        </w:rPr>
      </w:pPr>
    </w:p>
    <w:p w:rsidRPr="007425D2" w:rsidR="00AA6795" w:rsidP="00AA6795" w:rsidRDefault="00AA6795" w14:paraId="3E86DD44" w14:textId="4F215FD1">
      <w:pPr>
        <w:keepNext/>
        <w:numPr>
          <w:ilvl w:val="0"/>
          <w:numId w:val="2"/>
        </w:numPr>
        <w:ind w:left="567" w:hanging="567"/>
        <w:contextualSpacing/>
        <w:rPr>
          <w:b/>
          <w:i/>
          <w:sz w:val="28"/>
          <w:szCs w:val="28"/>
        </w:rPr>
      </w:pPr>
      <w:bookmarkStart w:name="_Hlk130284866" w:id="33"/>
      <w:r>
        <w:rPr>
          <w:b/>
          <w:i/>
          <w:sz w:val="28"/>
        </w:rPr>
        <w:t>Construcțiile din lemn pentru reducerea emisiilor de CO</w:t>
      </w:r>
      <w:r>
        <w:rPr>
          <w:b/>
          <w:i/>
          <w:sz w:val="28"/>
          <w:vertAlign w:val="subscript"/>
        </w:rPr>
        <w:t>2</w:t>
      </w:r>
      <w:r>
        <w:rPr>
          <w:b/>
          <w:i/>
          <w:sz w:val="28"/>
        </w:rPr>
        <w:t xml:space="preserve"> în sectorul construcțiilor</w:t>
      </w:r>
    </w:p>
    <w:p w:rsidRPr="007425D2" w:rsidR="00AA6795" w:rsidP="00AA6795" w:rsidRDefault="00AA6795" w14:paraId="56E35171"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AA6795" w:rsidTr="00726054" w14:paraId="0BD0E1DA" w14:textId="77777777">
        <w:trPr>
          <w:cantSplit/>
          <w:trHeight w:val="284" w:hRule="exact"/>
        </w:trPr>
        <w:tc>
          <w:tcPr>
            <w:tcW w:w="1701" w:type="dxa"/>
          </w:tcPr>
          <w:p w:rsidRPr="007425D2" w:rsidR="00AA6795" w:rsidP="00726054" w:rsidRDefault="00AA6795" w14:paraId="69B850C9" w14:textId="77777777">
            <w:pPr>
              <w:spacing w:line="240" w:lineRule="auto"/>
              <w:ind w:left="-142" w:firstLine="142"/>
              <w:contextualSpacing/>
              <w:rPr>
                <w:b/>
              </w:rPr>
            </w:pPr>
            <w:r>
              <w:rPr>
                <w:b/>
              </w:rPr>
              <w:t>Raportor</w:t>
            </w:r>
          </w:p>
          <w:p w:rsidRPr="007425D2" w:rsidR="00AA6795" w:rsidP="00726054" w:rsidRDefault="00AA6795" w14:paraId="5F002F12" w14:textId="77777777">
            <w:pPr>
              <w:keepNext/>
              <w:contextualSpacing/>
              <w:rPr>
                <w:b/>
              </w:rPr>
            </w:pPr>
          </w:p>
        </w:tc>
        <w:tc>
          <w:tcPr>
            <w:tcW w:w="6521" w:type="dxa"/>
          </w:tcPr>
          <w:p w:rsidRPr="007425D2" w:rsidR="00AA6795" w:rsidP="00726054" w:rsidRDefault="00AA6795" w14:paraId="251AAFA4" w14:textId="148135F3">
            <w:pPr>
              <w:ind w:left="-52"/>
              <w:contextualSpacing/>
            </w:pPr>
            <w:r>
              <w:t>Rudolf KOLBE (Grupul „Organizații ale societății civile” – AT)</w:t>
            </w:r>
          </w:p>
        </w:tc>
      </w:tr>
      <w:tr w:rsidRPr="007425D2" w:rsidR="00AA6795" w:rsidTr="00726054" w14:paraId="742702F5" w14:textId="77777777">
        <w:trPr>
          <w:cantSplit/>
          <w:trHeight w:val="567" w:hRule="exact"/>
        </w:trPr>
        <w:tc>
          <w:tcPr>
            <w:tcW w:w="1701" w:type="dxa"/>
          </w:tcPr>
          <w:p w:rsidRPr="007425D2" w:rsidR="00AA6795" w:rsidP="00726054" w:rsidRDefault="00AA6795" w14:paraId="67750F4E" w14:textId="77777777">
            <w:pPr>
              <w:contextualSpacing/>
              <w:rPr>
                <w:b/>
              </w:rPr>
            </w:pPr>
            <w:r>
              <w:rPr>
                <w:b/>
              </w:rPr>
              <w:t>Coraportor</w:t>
            </w:r>
          </w:p>
        </w:tc>
        <w:tc>
          <w:tcPr>
            <w:tcW w:w="6521" w:type="dxa"/>
          </w:tcPr>
          <w:p w:rsidRPr="007425D2" w:rsidR="00AA6795" w:rsidP="00726054" w:rsidRDefault="00AA6795" w14:paraId="10D91C80" w14:textId="4DEBE497">
            <w:pPr>
              <w:ind w:left="-52" w:right="-336"/>
              <w:contextualSpacing/>
            </w:pPr>
            <w:r>
              <w:t>Sam HÄGGLUND (Grupul „Lucrători” – SE)</w:t>
            </w:r>
          </w:p>
        </w:tc>
      </w:tr>
      <w:tr w:rsidRPr="007425D2" w:rsidR="00AA6795" w:rsidTr="00726054" w14:paraId="77010C72" w14:textId="77777777">
        <w:tc>
          <w:tcPr>
            <w:tcW w:w="1701" w:type="dxa"/>
          </w:tcPr>
          <w:p w:rsidRPr="007425D2" w:rsidR="00AA6795" w:rsidP="00726054" w:rsidRDefault="00AA6795" w14:paraId="17A97481" w14:textId="77777777">
            <w:pPr>
              <w:contextualSpacing/>
              <w:rPr>
                <w:b/>
              </w:rPr>
            </w:pPr>
            <w:r>
              <w:rPr>
                <w:b/>
              </w:rPr>
              <w:t xml:space="preserve">Referințe </w:t>
            </w:r>
          </w:p>
        </w:tc>
        <w:tc>
          <w:tcPr>
            <w:tcW w:w="6521" w:type="dxa"/>
          </w:tcPr>
          <w:p w:rsidRPr="007425D2" w:rsidR="00AA6795" w:rsidP="00726054" w:rsidRDefault="00AA6795" w14:paraId="5AE74A4F" w14:textId="3FED984A">
            <w:pPr>
              <w:ind w:left="-52"/>
              <w:contextualSpacing/>
            </w:pPr>
            <w:r>
              <w:t>(aviz exploratoriu la solicitarea Președinției suedeze)</w:t>
            </w:r>
          </w:p>
          <w:p w:rsidRPr="007425D2" w:rsidR="00AA6795" w:rsidP="00726054" w:rsidRDefault="00AA6795" w14:paraId="761AA38B" w14:textId="1EF6A6BA">
            <w:pPr>
              <w:ind w:left="-52"/>
              <w:contextualSpacing/>
            </w:pPr>
            <w:r>
              <w:t>EESC-2022-06006-00-00-AC</w:t>
            </w:r>
          </w:p>
        </w:tc>
      </w:tr>
    </w:tbl>
    <w:p w:rsidRPr="007425D2" w:rsidR="00AA6795" w:rsidP="00AA6795" w:rsidRDefault="00AA6795" w14:paraId="7E47627A" w14:textId="77777777">
      <w:pPr>
        <w:spacing w:line="240" w:lineRule="auto"/>
        <w:ind w:left="-142" w:firstLine="284"/>
        <w:contextualSpacing/>
        <w:rPr>
          <w:b/>
        </w:rPr>
      </w:pPr>
    </w:p>
    <w:p w:rsidRPr="007425D2" w:rsidR="00AA6795" w:rsidP="00AA6795" w:rsidRDefault="00AA6795" w14:paraId="1399E646" w14:textId="77777777">
      <w:pPr>
        <w:spacing w:line="240" w:lineRule="auto"/>
        <w:contextualSpacing/>
        <w:rPr>
          <w:b/>
        </w:rPr>
      </w:pPr>
      <w:r>
        <w:rPr>
          <w:b/>
        </w:rPr>
        <w:t>Punctele principale:</w:t>
      </w:r>
    </w:p>
    <w:p w:rsidRPr="007425D2" w:rsidR="00AA6795" w:rsidP="00AA6795" w:rsidRDefault="00AA6795" w14:paraId="1223B9F7" w14:textId="77777777">
      <w:pPr>
        <w:contextualSpacing/>
      </w:pPr>
    </w:p>
    <w:p w:rsidRPr="007425D2" w:rsidR="00AA6795" w:rsidP="00AA6795" w:rsidRDefault="00AA6795" w14:paraId="7FA1E47C" w14:textId="7CB39B3D">
      <w:pPr>
        <w:spacing w:line="240" w:lineRule="auto"/>
        <w:contextualSpacing/>
        <w:rPr>
          <w:bCs/>
        </w:rPr>
      </w:pPr>
      <w:r>
        <w:t>CESE consideră că:</w:t>
      </w:r>
    </w:p>
    <w:p w:rsidRPr="00A6689B" w:rsidR="00AA6795" w:rsidP="00AA6795" w:rsidRDefault="00AA6795" w14:paraId="00C76C40" w14:textId="77777777">
      <w:pPr>
        <w:rPr>
          <w:bCs/>
          <w:iCs/>
        </w:rPr>
      </w:pPr>
    </w:p>
    <w:p w:rsidRPr="00AA6795" w:rsidR="00AA6795" w:rsidP="00AA6795" w:rsidRDefault="00AA6795" w14:paraId="7D9088D2" w14:textId="5322957E">
      <w:pPr>
        <w:numPr>
          <w:ilvl w:val="0"/>
          <w:numId w:val="3"/>
        </w:numPr>
        <w:ind w:left="357" w:hanging="357"/>
        <w:contextualSpacing/>
      </w:pPr>
      <w:r>
        <w:t>Sporirea utilizării lemnului durabil în construcții, în special în clădiri publice, este esențială pentru a reduce emisiile de carbon și trebuie promovată printr-o gestionare activă și responsabilă a pădurilor în UE.</w:t>
      </w:r>
    </w:p>
    <w:p w:rsidRPr="00AA6795" w:rsidR="00AA6795" w:rsidP="00AA6795" w:rsidRDefault="00AA6795" w14:paraId="70CDEAD9" w14:textId="73B4485C">
      <w:pPr>
        <w:numPr>
          <w:ilvl w:val="0"/>
          <w:numId w:val="3"/>
        </w:numPr>
        <w:ind w:left="357" w:hanging="357"/>
        <w:contextualSpacing/>
      </w:pPr>
      <w:r>
        <w:t>Procedurile de achiziții publice bazate pe calitate, inclusiv cele ce permit soluții inovatoare și cuprind criterii de durabilitate și de ciclu de viață, reprezintă o condiție prealabilă pentru a atinge obiectivele climatice și a promova construcțiile de lemn.</w:t>
      </w:r>
    </w:p>
    <w:p w:rsidRPr="00AA6795" w:rsidR="00AA6795" w:rsidP="00AA6795" w:rsidRDefault="00AA6795" w14:paraId="6648EAE1" w14:textId="18835DB1">
      <w:pPr>
        <w:numPr>
          <w:ilvl w:val="0"/>
          <w:numId w:val="3"/>
        </w:numPr>
        <w:ind w:left="357" w:hanging="357"/>
        <w:contextualSpacing/>
      </w:pPr>
      <w:r>
        <w:t>Este esențial să se stabilească standarde minime pentru emisiile de carbon generate de clădiri pe durata ciclului de viață și pentru cerința corespunzătoare de a raporta emisiile de dioxid de carbon din sectorul construcțiilor.</w:t>
      </w:r>
    </w:p>
    <w:p w:rsidRPr="007425D2" w:rsidR="00AA6795" w:rsidP="00AA6795" w:rsidRDefault="00AA6795" w14:paraId="02AE1E5B" w14:textId="4A4771B0">
      <w:pPr>
        <w:numPr>
          <w:ilvl w:val="0"/>
          <w:numId w:val="3"/>
        </w:numPr>
        <w:ind w:left="357" w:hanging="357"/>
        <w:contextualSpacing/>
      </w:pPr>
      <w:r>
        <w:t>Barierele din calea construirii unor clădiri din lemn ce decurg din cerințe formale, juridice și tehnice ar trebui să fie examinate din perspectiva necesității lor în raport cu calitatea planificării.</w:t>
      </w:r>
    </w:p>
    <w:p w:rsidRPr="007425D2" w:rsidR="00AA6795" w:rsidP="00AA6795" w:rsidRDefault="00AA6795" w14:paraId="060FE39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7425D2" w:rsidR="00AA6795" w:rsidTr="00F944EB" w14:paraId="0EEB5ADC" w14:textId="77777777">
        <w:tc>
          <w:tcPr>
            <w:tcW w:w="1843" w:type="dxa"/>
          </w:tcPr>
          <w:p w:rsidRPr="007425D2" w:rsidR="00AA6795" w:rsidP="00726054" w:rsidRDefault="00AA6795" w14:paraId="2A99CA2E" w14:textId="77777777">
            <w:pPr>
              <w:contextualSpacing/>
              <w:rPr>
                <w:i/>
              </w:rPr>
            </w:pPr>
            <w:r>
              <w:rPr>
                <w:b/>
                <w:i/>
              </w:rPr>
              <w:t>Date de contact</w:t>
            </w:r>
          </w:p>
        </w:tc>
        <w:tc>
          <w:tcPr>
            <w:tcW w:w="5245" w:type="dxa"/>
          </w:tcPr>
          <w:p w:rsidRPr="007425D2" w:rsidR="00AA6795" w:rsidP="00726054" w:rsidRDefault="00AA6795" w14:paraId="68EE0965" w14:textId="7D6A1586">
            <w:pPr>
              <w:contextualSpacing/>
              <w:rPr>
                <w:i/>
              </w:rPr>
            </w:pPr>
            <w:proofErr w:type="spellStart"/>
            <w:r>
              <w:rPr>
                <w:i/>
              </w:rPr>
              <w:t>Ágota</w:t>
            </w:r>
            <w:proofErr w:type="spellEnd"/>
            <w:r>
              <w:rPr>
                <w:i/>
              </w:rPr>
              <w:t xml:space="preserve"> </w:t>
            </w:r>
            <w:proofErr w:type="spellStart"/>
            <w:r>
              <w:rPr>
                <w:i/>
              </w:rPr>
              <w:t>Bazsik</w:t>
            </w:r>
            <w:proofErr w:type="spellEnd"/>
          </w:p>
        </w:tc>
      </w:tr>
      <w:tr w:rsidRPr="007425D2" w:rsidR="00AA6795" w:rsidTr="00F944EB" w14:paraId="29D1A7DE" w14:textId="77777777">
        <w:tc>
          <w:tcPr>
            <w:tcW w:w="1843" w:type="dxa"/>
          </w:tcPr>
          <w:p w:rsidRPr="007425D2" w:rsidR="00AA6795" w:rsidP="00726054" w:rsidRDefault="00AA6795" w14:paraId="7609645D" w14:textId="77777777">
            <w:pPr>
              <w:ind w:left="601"/>
              <w:contextualSpacing/>
              <w:rPr>
                <w:i/>
              </w:rPr>
            </w:pPr>
            <w:r>
              <w:rPr>
                <w:i/>
              </w:rPr>
              <w:t>Tel.:</w:t>
            </w:r>
          </w:p>
        </w:tc>
        <w:tc>
          <w:tcPr>
            <w:tcW w:w="5245" w:type="dxa"/>
          </w:tcPr>
          <w:p w:rsidRPr="007425D2" w:rsidR="00AA6795" w:rsidP="00726054" w:rsidRDefault="00AA6795" w14:paraId="615C37B3" w14:textId="7DD5FE18">
            <w:pPr>
              <w:contextualSpacing/>
              <w:rPr>
                <w:i/>
              </w:rPr>
            </w:pPr>
            <w:r>
              <w:rPr>
                <w:i/>
              </w:rPr>
              <w:t>00 32 2 546 85 35</w:t>
            </w:r>
          </w:p>
        </w:tc>
      </w:tr>
      <w:tr w:rsidRPr="007425D2" w:rsidR="00AA6795" w:rsidTr="00F944EB" w14:paraId="3664F303" w14:textId="77777777">
        <w:tc>
          <w:tcPr>
            <w:tcW w:w="1843" w:type="dxa"/>
          </w:tcPr>
          <w:p w:rsidRPr="007425D2" w:rsidR="00AA6795" w:rsidP="00726054" w:rsidRDefault="00AA6795" w14:paraId="6B21C151" w14:textId="77777777">
            <w:pPr>
              <w:ind w:left="601"/>
              <w:contextualSpacing/>
              <w:rPr>
                <w:i/>
              </w:rPr>
            </w:pPr>
            <w:r>
              <w:rPr>
                <w:i/>
              </w:rPr>
              <w:t>e-mail:</w:t>
            </w:r>
          </w:p>
        </w:tc>
        <w:tc>
          <w:tcPr>
            <w:tcW w:w="5245" w:type="dxa"/>
          </w:tcPr>
          <w:p w:rsidRPr="007425D2" w:rsidR="00AA6795" w:rsidP="00726054" w:rsidRDefault="00C12F9B" w14:paraId="0902402F" w14:textId="273ADDED">
            <w:pPr>
              <w:contextualSpacing/>
              <w:rPr>
                <w:i/>
                <w:iCs/>
              </w:rPr>
            </w:pPr>
            <w:hyperlink w:history="1" r:id="rId35">
              <w:r w:rsidR="00472A1F">
                <w:rPr>
                  <w:rStyle w:val="Hyperlink"/>
                  <w:i/>
                </w:rPr>
                <w:t>Agota.Bazsik@eesc.europa.eu</w:t>
              </w:r>
            </w:hyperlink>
          </w:p>
        </w:tc>
      </w:tr>
      <w:bookmarkEnd w:id="33"/>
    </w:tbl>
    <w:p w:rsidR="00AA6795" w:rsidP="00AA6795" w:rsidRDefault="00AA6795" w14:paraId="6557D6A4" w14:textId="22E48E05">
      <w:pPr>
        <w:overflowPunct w:val="0"/>
        <w:autoSpaceDE w:val="0"/>
        <w:autoSpaceDN w:val="0"/>
        <w:adjustRightInd w:val="0"/>
        <w:jc w:val="left"/>
        <w:textAlignment w:val="baseline"/>
        <w:rPr>
          <w:lang w:val="nl-BE"/>
        </w:rPr>
      </w:pPr>
    </w:p>
    <w:p w:rsidR="0044618A" w:rsidRDefault="0044618A" w14:paraId="35291FFF" w14:textId="00CEC798">
      <w:pPr>
        <w:spacing w:after="160" w:line="259" w:lineRule="auto"/>
        <w:jc w:val="left"/>
      </w:pPr>
      <w:r>
        <w:br w:type="page"/>
      </w:r>
    </w:p>
    <w:p w:rsidRPr="007425D2" w:rsidR="00AA6795" w:rsidP="00AA6795" w:rsidRDefault="00AA6795" w14:paraId="512E08B4" w14:textId="62643DBE">
      <w:pPr>
        <w:keepNext/>
        <w:numPr>
          <w:ilvl w:val="0"/>
          <w:numId w:val="2"/>
        </w:numPr>
        <w:ind w:left="567" w:hanging="567"/>
        <w:contextualSpacing/>
        <w:rPr>
          <w:b/>
          <w:i/>
          <w:sz w:val="28"/>
          <w:szCs w:val="28"/>
        </w:rPr>
      </w:pPr>
      <w:r>
        <w:rPr>
          <w:b/>
          <w:i/>
          <w:sz w:val="28"/>
        </w:rPr>
        <w:lastRenderedPageBreak/>
        <w:t>Digitalizarea sistemului energetic – Planul de acțiune al UE</w:t>
      </w:r>
    </w:p>
    <w:p w:rsidRPr="007425D2" w:rsidR="00AA6795" w:rsidP="00AA6795" w:rsidRDefault="00AA6795" w14:paraId="6E10AFEA"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AA6795" w:rsidTr="00726054" w14:paraId="4999480A" w14:textId="77777777">
        <w:trPr>
          <w:cantSplit/>
          <w:trHeight w:val="284" w:hRule="exact"/>
        </w:trPr>
        <w:tc>
          <w:tcPr>
            <w:tcW w:w="1701" w:type="dxa"/>
          </w:tcPr>
          <w:p w:rsidRPr="007425D2" w:rsidR="00AA6795" w:rsidP="00726054" w:rsidRDefault="00AA6795" w14:paraId="11398BA3" w14:textId="77777777">
            <w:pPr>
              <w:spacing w:line="240" w:lineRule="auto"/>
              <w:ind w:left="-142" w:firstLine="142"/>
              <w:contextualSpacing/>
              <w:rPr>
                <w:b/>
              </w:rPr>
            </w:pPr>
            <w:r>
              <w:rPr>
                <w:b/>
              </w:rPr>
              <w:t>Raportor</w:t>
            </w:r>
          </w:p>
          <w:p w:rsidRPr="007425D2" w:rsidR="00AA6795" w:rsidP="00726054" w:rsidRDefault="00AA6795" w14:paraId="67AEA7C8" w14:textId="77777777">
            <w:pPr>
              <w:keepNext/>
              <w:contextualSpacing/>
              <w:rPr>
                <w:b/>
              </w:rPr>
            </w:pPr>
          </w:p>
        </w:tc>
        <w:tc>
          <w:tcPr>
            <w:tcW w:w="6521" w:type="dxa"/>
          </w:tcPr>
          <w:p w:rsidRPr="007425D2" w:rsidR="00AA6795" w:rsidP="00726054" w:rsidRDefault="00AA6795" w14:paraId="32678D02" w14:textId="242E0371">
            <w:pPr>
              <w:ind w:left="-52"/>
              <w:contextualSpacing/>
            </w:pPr>
            <w:r>
              <w:t>Thomas KATTNIG (Grupul „Lucrători” – AT)</w:t>
            </w:r>
          </w:p>
        </w:tc>
      </w:tr>
      <w:tr w:rsidRPr="007425D2" w:rsidR="00AA6795" w:rsidTr="00726054" w14:paraId="1DBE01C4" w14:textId="77777777">
        <w:trPr>
          <w:cantSplit/>
          <w:trHeight w:val="567" w:hRule="exact"/>
        </w:trPr>
        <w:tc>
          <w:tcPr>
            <w:tcW w:w="1701" w:type="dxa"/>
          </w:tcPr>
          <w:p w:rsidRPr="007425D2" w:rsidR="00AA6795" w:rsidP="00726054" w:rsidRDefault="00AA6795" w14:paraId="186D77F5" w14:textId="77777777">
            <w:pPr>
              <w:contextualSpacing/>
              <w:rPr>
                <w:b/>
              </w:rPr>
            </w:pPr>
            <w:r>
              <w:rPr>
                <w:b/>
              </w:rPr>
              <w:t>Coraportor</w:t>
            </w:r>
          </w:p>
        </w:tc>
        <w:tc>
          <w:tcPr>
            <w:tcW w:w="6521" w:type="dxa"/>
          </w:tcPr>
          <w:p w:rsidRPr="007425D2" w:rsidR="00AA6795" w:rsidP="00726054" w:rsidRDefault="00AA6795" w14:paraId="3A9FC10E" w14:textId="7E177776">
            <w:pPr>
              <w:ind w:left="-52" w:right="-336"/>
              <w:contextualSpacing/>
            </w:pPr>
            <w:r>
              <w:t>Zsolt KÜKEDI (Grupul „Organizații ale societății civile” – HU)</w:t>
            </w:r>
          </w:p>
        </w:tc>
      </w:tr>
      <w:tr w:rsidRPr="007425D2" w:rsidR="00AA6795" w:rsidTr="00726054" w14:paraId="2848A973" w14:textId="77777777">
        <w:tc>
          <w:tcPr>
            <w:tcW w:w="1701" w:type="dxa"/>
          </w:tcPr>
          <w:p w:rsidRPr="007425D2" w:rsidR="00AA6795" w:rsidP="00726054" w:rsidRDefault="00AA6795" w14:paraId="1D568137" w14:textId="77777777">
            <w:pPr>
              <w:contextualSpacing/>
              <w:rPr>
                <w:b/>
              </w:rPr>
            </w:pPr>
            <w:r>
              <w:rPr>
                <w:b/>
              </w:rPr>
              <w:t xml:space="preserve">Referințe </w:t>
            </w:r>
          </w:p>
        </w:tc>
        <w:tc>
          <w:tcPr>
            <w:tcW w:w="6521" w:type="dxa"/>
          </w:tcPr>
          <w:p w:rsidRPr="007425D2" w:rsidR="00AA6795" w:rsidP="00726054" w:rsidRDefault="00AA6795" w14:paraId="1AA7D9A0" w14:textId="593C3C71">
            <w:pPr>
              <w:ind w:left="-52"/>
              <w:contextualSpacing/>
            </w:pPr>
            <w:r>
              <w:t>COM(2022) 552 final</w:t>
            </w:r>
          </w:p>
          <w:p w:rsidRPr="007425D2" w:rsidR="00AA6795" w:rsidP="00726054" w:rsidRDefault="00AA6795" w14:paraId="34547CE8" w14:textId="5AE24DB6">
            <w:pPr>
              <w:ind w:left="-52"/>
              <w:contextualSpacing/>
            </w:pPr>
            <w:r>
              <w:t>EESC-2022-06280-00-00-AC</w:t>
            </w:r>
          </w:p>
        </w:tc>
      </w:tr>
    </w:tbl>
    <w:p w:rsidRPr="007425D2" w:rsidR="00AA6795" w:rsidP="00AA6795" w:rsidRDefault="00AA6795" w14:paraId="06995A1A" w14:textId="77777777">
      <w:pPr>
        <w:spacing w:line="240" w:lineRule="auto"/>
        <w:ind w:left="-142" w:firstLine="284"/>
        <w:contextualSpacing/>
        <w:rPr>
          <w:b/>
        </w:rPr>
      </w:pPr>
    </w:p>
    <w:p w:rsidRPr="007425D2" w:rsidR="00AA6795" w:rsidP="00AA6795" w:rsidRDefault="00AA6795" w14:paraId="44224933" w14:textId="77777777">
      <w:pPr>
        <w:spacing w:line="240" w:lineRule="auto"/>
        <w:contextualSpacing/>
        <w:rPr>
          <w:b/>
        </w:rPr>
      </w:pPr>
      <w:r>
        <w:rPr>
          <w:b/>
        </w:rPr>
        <w:t>Punctele principale:</w:t>
      </w:r>
    </w:p>
    <w:p w:rsidRPr="007425D2" w:rsidR="00AA6795" w:rsidP="00AA6795" w:rsidRDefault="00AA6795" w14:paraId="725EF461" w14:textId="77777777">
      <w:pPr>
        <w:contextualSpacing/>
      </w:pPr>
    </w:p>
    <w:p w:rsidRPr="007425D2" w:rsidR="00AA6795" w:rsidP="00AA6795" w:rsidRDefault="00AA6795" w14:paraId="3FD218B0" w14:textId="77777777">
      <w:pPr>
        <w:spacing w:line="240" w:lineRule="auto"/>
        <w:contextualSpacing/>
        <w:rPr>
          <w:bCs/>
        </w:rPr>
      </w:pPr>
      <w:r>
        <w:t>CESE:</w:t>
      </w:r>
    </w:p>
    <w:p w:rsidRPr="00A6689B" w:rsidR="00AA6795" w:rsidP="00AA6795" w:rsidRDefault="00AA6795" w14:paraId="7A09DDB1" w14:textId="77777777">
      <w:pPr>
        <w:rPr>
          <w:bCs/>
          <w:iCs/>
        </w:rPr>
      </w:pPr>
    </w:p>
    <w:p w:rsidRPr="00AA6795" w:rsidR="00AA6795" w:rsidP="00AA6795" w:rsidRDefault="00AA6795" w14:paraId="678AD39F" w14:textId="0B07347F">
      <w:pPr>
        <w:numPr>
          <w:ilvl w:val="0"/>
          <w:numId w:val="3"/>
        </w:numPr>
        <w:ind w:left="357" w:hanging="357"/>
        <w:contextualSpacing/>
      </w:pPr>
      <w:r>
        <w:t>subliniază legătura dintre tranziția energetică și transformarea digitală și beneficiile digitalizării în termeni de economii de energie, reducerea intensității energetice și o mai bună gestionare a infrastructurii energetice.</w:t>
      </w:r>
    </w:p>
    <w:p w:rsidRPr="00AA6795" w:rsidR="00AA6795" w:rsidP="00AA6795" w:rsidRDefault="00AA6795" w14:paraId="53E57292" w14:textId="0F3DE68A">
      <w:pPr>
        <w:numPr>
          <w:ilvl w:val="0"/>
          <w:numId w:val="3"/>
        </w:numPr>
        <w:ind w:left="357" w:hanging="357"/>
        <w:contextualSpacing/>
      </w:pPr>
      <w:r>
        <w:t>subliniază importanța consolidării rolului consumatorilor activi în digitalizare și a încurajării și abilitării lor de a utiliza cât mai multe soluții inteligente cu putință. Instrumentele trebuie să fie ușor de utilizat, trebuind ca accentul să se pună pe grupurile vulnerabile și persoanele cu handicap. Dacă dimensiunea socială este neglijată în implementare, transformarea riscă să eșueze din cauza rezistenței publice.</w:t>
      </w:r>
    </w:p>
    <w:p w:rsidRPr="007425D2" w:rsidR="00AA6795" w:rsidP="00AA6795" w:rsidRDefault="00AA6795" w14:paraId="7345200D" w14:textId="4BB2973A">
      <w:pPr>
        <w:numPr>
          <w:ilvl w:val="0"/>
          <w:numId w:val="3"/>
        </w:numPr>
        <w:ind w:left="357" w:hanging="357"/>
        <w:contextualSpacing/>
      </w:pPr>
      <w:r>
        <w:t>subliniază riscul posibil ca noile servicii bazate pe date și soluții tehnologice inovatoare să nu fie puse în aplicare suficient de rapid dacă nu există destui lucrători calificați. Măsurile necesare privind piața forței de muncă și politica în domeniul educației necesită resurse financiare suficiente, precum și elaborarea unui plan de acțiune pentru a asigura o abordare coordonată.</w:t>
      </w:r>
    </w:p>
    <w:p w:rsidRPr="007425D2" w:rsidR="00AA6795" w:rsidP="00AA6795" w:rsidRDefault="00AA6795" w14:paraId="3DEB83B7"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7425D2" w:rsidR="00AA6795" w:rsidTr="00F944EB" w14:paraId="5CC01660" w14:textId="77777777">
        <w:tc>
          <w:tcPr>
            <w:tcW w:w="1701" w:type="dxa"/>
          </w:tcPr>
          <w:p w:rsidRPr="007425D2" w:rsidR="00AA6795" w:rsidP="00726054" w:rsidRDefault="00AA6795" w14:paraId="66A3AA7B" w14:textId="77777777">
            <w:pPr>
              <w:contextualSpacing/>
              <w:rPr>
                <w:i/>
              </w:rPr>
            </w:pPr>
            <w:r>
              <w:rPr>
                <w:b/>
                <w:i/>
              </w:rPr>
              <w:t>Date de contact</w:t>
            </w:r>
          </w:p>
        </w:tc>
        <w:tc>
          <w:tcPr>
            <w:tcW w:w="5387" w:type="dxa"/>
          </w:tcPr>
          <w:p w:rsidRPr="007425D2" w:rsidR="00AA6795" w:rsidP="00726054" w:rsidRDefault="00AA6795" w14:paraId="2FD014F0" w14:textId="77777777">
            <w:pPr>
              <w:contextualSpacing/>
              <w:rPr>
                <w:i/>
              </w:rPr>
            </w:pPr>
            <w:proofErr w:type="spellStart"/>
            <w:r>
              <w:rPr>
                <w:i/>
              </w:rPr>
              <w:t>Giorgia</w:t>
            </w:r>
            <w:proofErr w:type="spellEnd"/>
            <w:r>
              <w:rPr>
                <w:i/>
              </w:rPr>
              <w:t xml:space="preserve"> </w:t>
            </w:r>
            <w:proofErr w:type="spellStart"/>
            <w:r>
              <w:rPr>
                <w:i/>
              </w:rPr>
              <w:t>Bordignon</w:t>
            </w:r>
            <w:proofErr w:type="spellEnd"/>
          </w:p>
        </w:tc>
      </w:tr>
      <w:tr w:rsidRPr="007425D2" w:rsidR="00AA6795" w:rsidTr="00F944EB" w14:paraId="1A7DC064" w14:textId="77777777">
        <w:tc>
          <w:tcPr>
            <w:tcW w:w="1701" w:type="dxa"/>
          </w:tcPr>
          <w:p w:rsidRPr="007425D2" w:rsidR="00AA6795" w:rsidP="00726054" w:rsidRDefault="00AA6795" w14:paraId="50273CE3" w14:textId="77777777">
            <w:pPr>
              <w:ind w:left="601"/>
              <w:contextualSpacing/>
              <w:rPr>
                <w:i/>
              </w:rPr>
            </w:pPr>
            <w:r>
              <w:rPr>
                <w:i/>
              </w:rPr>
              <w:t>Tel.:</w:t>
            </w:r>
          </w:p>
        </w:tc>
        <w:tc>
          <w:tcPr>
            <w:tcW w:w="5387" w:type="dxa"/>
          </w:tcPr>
          <w:p w:rsidRPr="007425D2" w:rsidR="00AA6795" w:rsidP="00726054" w:rsidRDefault="00AA6795" w14:paraId="0C57AC68" w14:textId="77777777">
            <w:pPr>
              <w:contextualSpacing/>
              <w:rPr>
                <w:i/>
              </w:rPr>
            </w:pPr>
            <w:r>
              <w:rPr>
                <w:i/>
              </w:rPr>
              <w:t>00 32 2 546 85 35</w:t>
            </w:r>
          </w:p>
        </w:tc>
      </w:tr>
      <w:tr w:rsidRPr="007425D2" w:rsidR="00AA6795" w:rsidTr="00F944EB" w14:paraId="73C348B5" w14:textId="77777777">
        <w:trPr>
          <w:trHeight w:val="74"/>
        </w:trPr>
        <w:tc>
          <w:tcPr>
            <w:tcW w:w="1701" w:type="dxa"/>
          </w:tcPr>
          <w:p w:rsidRPr="007425D2" w:rsidR="00AA6795" w:rsidP="00726054" w:rsidRDefault="00AA6795" w14:paraId="654A6F0D" w14:textId="77777777">
            <w:pPr>
              <w:ind w:left="601"/>
              <w:contextualSpacing/>
              <w:rPr>
                <w:i/>
              </w:rPr>
            </w:pPr>
            <w:r>
              <w:rPr>
                <w:i/>
              </w:rPr>
              <w:t>e-mail:</w:t>
            </w:r>
          </w:p>
        </w:tc>
        <w:tc>
          <w:tcPr>
            <w:tcW w:w="5387" w:type="dxa"/>
          </w:tcPr>
          <w:p w:rsidRPr="007425D2" w:rsidR="00AA6795" w:rsidP="00726054" w:rsidRDefault="00C12F9B" w14:paraId="739344CC" w14:textId="77777777">
            <w:pPr>
              <w:contextualSpacing/>
              <w:rPr>
                <w:i/>
                <w:iCs/>
              </w:rPr>
            </w:pPr>
            <w:hyperlink w:history="1" r:id="rId36">
              <w:r w:rsidR="00472A1F">
                <w:rPr>
                  <w:rStyle w:val="Hyperlink"/>
                  <w:i/>
                </w:rPr>
                <w:t>Giorgiaandrea.Bordignon@eesc.europa.eu</w:t>
              </w:r>
            </w:hyperlink>
          </w:p>
        </w:tc>
      </w:tr>
    </w:tbl>
    <w:p w:rsidRPr="00326F5F" w:rsidR="00AA6795" w:rsidP="00AA6795" w:rsidRDefault="00AA6795" w14:paraId="25C938AC" w14:textId="77777777"/>
    <w:p w:rsidRPr="00CE7111" w:rsidR="00D67CAD" w:rsidP="00FC2BE8" w:rsidRDefault="00F944EB" w14:paraId="5E62A09A" w14:textId="1C63091C">
      <w:pPr>
        <w:overflowPunct w:val="0"/>
        <w:autoSpaceDE w:val="0"/>
        <w:autoSpaceDN w:val="0"/>
        <w:adjustRightInd w:val="0"/>
        <w:jc w:val="center"/>
        <w:textAlignment w:val="baseline"/>
      </w:pPr>
      <w:r>
        <w:t>____</w:t>
      </w:r>
      <w:r w:rsidR="009C1329">
        <w:t>___</w:t>
      </w:r>
    </w:p>
    <w:sectPr w:rsidRPr="00CE7111" w:rsidR="00D67CAD" w:rsidSect="00316474">
      <w:headerReference w:type="even" r:id="rId37"/>
      <w:headerReference w:type="default" r:id="rId38"/>
      <w:footerReference w:type="even" r:id="rId39"/>
      <w:footerReference w:type="default" r:id="rId40"/>
      <w:headerReference w:type="first" r:id="rId41"/>
      <w:footerReference w:type="first" r:id="rId42"/>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AB40" w14:textId="77777777" w:rsidR="00726054" w:rsidRDefault="00726054" w:rsidP="003B0516">
      <w:pPr>
        <w:spacing w:line="240" w:lineRule="auto"/>
      </w:pPr>
      <w:r>
        <w:separator/>
      </w:r>
    </w:p>
  </w:endnote>
  <w:endnote w:type="continuationSeparator" w:id="0">
    <w:p w14:paraId="005A33A7" w14:textId="77777777" w:rsidR="00726054" w:rsidRDefault="00726054"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EE94" w14:textId="77777777" w:rsidR="00316474" w:rsidRPr="00316474" w:rsidRDefault="00316474" w:rsidP="0031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4121FF07"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6223FA">
      <w:t>1</w:t>
    </w:r>
    <w:r>
      <w:fldChar w:fldCharType="end"/>
    </w:r>
    <w:r>
      <w:t>/</w:t>
    </w:r>
    <w:r w:rsidR="00C12F9B">
      <w:fldChar w:fldCharType="begin"/>
    </w:r>
    <w:r w:rsidR="00C12F9B">
      <w:instrText xml:space="preserve"> NUMPAGES </w:instrText>
    </w:r>
    <w:r w:rsidR="00C12F9B">
      <w:fldChar w:fldCharType="separate"/>
    </w:r>
    <w:r w:rsidR="006223FA">
      <w:t>1</w:t>
    </w:r>
    <w:r w:rsidR="00C12F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7E9" w14:textId="77777777" w:rsidR="00316474" w:rsidRPr="00316474" w:rsidRDefault="00316474" w:rsidP="00316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26054" w:rsidRPr="00316474" w:rsidRDefault="00726054" w:rsidP="003164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AAD817A"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8E2A2F">
      <w:t>3</w:t>
    </w:r>
    <w:r>
      <w:fldChar w:fldCharType="end"/>
    </w:r>
    <w:r>
      <w:t>/</w:t>
    </w:r>
    <w:r w:rsidR="00C12F9B">
      <w:fldChar w:fldCharType="begin"/>
    </w:r>
    <w:r w:rsidR="00C12F9B">
      <w:instrText xml:space="preserve"> NUMPAGES </w:instrText>
    </w:r>
    <w:r w:rsidR="00C12F9B">
      <w:fldChar w:fldCharType="separate"/>
    </w:r>
    <w:r w:rsidR="008E2A2F">
      <w:t>24</w:t>
    </w:r>
    <w:r w:rsidR="00C12F9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26054" w:rsidRPr="00316474" w:rsidRDefault="00726054" w:rsidP="0031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409E" w14:textId="77777777" w:rsidR="00726054" w:rsidRDefault="00726054" w:rsidP="003B0516">
      <w:pPr>
        <w:spacing w:line="240" w:lineRule="auto"/>
      </w:pPr>
      <w:r>
        <w:separator/>
      </w:r>
    </w:p>
  </w:footnote>
  <w:footnote w:type="continuationSeparator" w:id="0">
    <w:p w14:paraId="5E731D99" w14:textId="77777777" w:rsidR="00726054" w:rsidRDefault="00726054" w:rsidP="003B0516">
      <w:pPr>
        <w:spacing w:line="240" w:lineRule="auto"/>
      </w:pPr>
      <w:r>
        <w:continuationSeparator/>
      </w:r>
    </w:p>
  </w:footnote>
  <w:footnote w:id="1">
    <w:p w14:paraId="7AD47C4E" w14:textId="77777777" w:rsidR="00726054" w:rsidRPr="00AC7D42" w:rsidRDefault="00726054" w:rsidP="008E2CDD">
      <w:pPr>
        <w:pStyle w:val="FootnoteText"/>
      </w:pPr>
      <w:r>
        <w:rPr>
          <w:rStyle w:val="FootnoteReference"/>
        </w:rPr>
        <w:footnoteRef/>
      </w:r>
      <w:r>
        <w:tab/>
      </w:r>
      <w:hyperlink r:id="rId1" w:history="1">
        <w:r>
          <w:rPr>
            <w:rStyle w:val="Hyperlink"/>
          </w:rPr>
          <w:t>https://eur-lex.eu</w:t>
        </w:r>
        <w:r>
          <w:rPr>
            <w:rStyle w:val="Hyperlink"/>
          </w:rPr>
          <w:t>r</w:t>
        </w:r>
        <w:r>
          <w:rPr>
            <w:rStyle w:val="Hyperlink"/>
          </w:rPr>
          <w:t>opa.eu/legal-content/RO/TXT/HTML/?uri=CELEX:52022PC0526&amp;from=EN</w:t>
        </w:r>
      </w:hyperlink>
    </w:p>
  </w:footnote>
  <w:footnote w:id="2">
    <w:p w14:paraId="329A950C" w14:textId="062BDCC3" w:rsidR="00726054" w:rsidRPr="00726054" w:rsidRDefault="00726054">
      <w:pPr>
        <w:pStyle w:val="FootnoteText"/>
      </w:pPr>
      <w:r>
        <w:rPr>
          <w:rStyle w:val="FootnoteReference"/>
        </w:rPr>
        <w:footnoteRef/>
      </w:r>
      <w:r>
        <w:tab/>
        <w:t xml:space="preserve">Avizul CESE pe tema </w:t>
      </w:r>
      <w:r>
        <w:rPr>
          <w:i/>
        </w:rPr>
        <w:t>„Economia circulară în UE”</w:t>
      </w:r>
      <w:r>
        <w:t xml:space="preserve">, </w:t>
      </w:r>
      <w:hyperlink r:id="rId2" w:history="1">
        <w:r>
          <w:rPr>
            <w:rStyle w:val="Hyperlink"/>
          </w:rPr>
          <w:t>JO C 230 d</w:t>
        </w:r>
        <w:r>
          <w:rPr>
            <w:rStyle w:val="Hyperlink"/>
          </w:rPr>
          <w:t>i</w:t>
        </w:r>
        <w:r>
          <w:rPr>
            <w:rStyle w:val="Hyperlink"/>
          </w:rPr>
          <w:t>n 14.7.2015, p.91</w:t>
        </w:r>
      </w:hyperlink>
    </w:p>
  </w:footnote>
  <w:footnote w:id="3">
    <w:p w14:paraId="21E34883" w14:textId="702C6AD8" w:rsidR="00726054" w:rsidRDefault="00726054" w:rsidP="00175EC3">
      <w:pPr>
        <w:pStyle w:val="FootnoteText"/>
      </w:pPr>
      <w:r>
        <w:rPr>
          <w:rStyle w:val="FootnoteReference"/>
        </w:rPr>
        <w:footnoteRef/>
      </w:r>
      <w:r>
        <w:t xml:space="preserve"> </w:t>
      </w:r>
      <w:r>
        <w:tab/>
        <w:t xml:space="preserve">Avizul CESE privind ciclurile durabile ale carbonului </w:t>
      </w:r>
      <w:r w:rsidR="00F944EB">
        <w:t>–</w:t>
      </w:r>
      <w:r>
        <w:t xml:space="preserve"> </w:t>
      </w:r>
      <w:hyperlink r:id="rId3" w:history="1">
        <w:r>
          <w:rPr>
            <w:rStyle w:val="Hyperlink"/>
          </w:rPr>
          <w:t>JO</w:t>
        </w:r>
        <w:r w:rsidR="00F944EB">
          <w:rPr>
            <w:rStyle w:val="Hyperlink"/>
          </w:rPr>
          <w:t xml:space="preserve"> </w:t>
        </w:r>
        <w:r>
          <w:rPr>
            <w:rStyle w:val="Hyperlink"/>
          </w:rPr>
          <w:t>C 323, 26.8.</w:t>
        </w:r>
        <w:r>
          <w:rPr>
            <w:rStyle w:val="Hyperlink"/>
          </w:rPr>
          <w:t>2</w:t>
        </w:r>
        <w:r>
          <w:rPr>
            <w:rStyle w:val="Hyperlink"/>
          </w:rPr>
          <w:t>022, p. 95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EDD1" w14:textId="77777777" w:rsidR="00316474" w:rsidRPr="00316474" w:rsidRDefault="00316474" w:rsidP="0031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FDC3" w14:textId="13DC7245" w:rsidR="00316474" w:rsidRPr="00316474" w:rsidRDefault="00316474" w:rsidP="00316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EE77" w14:textId="77777777" w:rsidR="00316474" w:rsidRPr="00316474" w:rsidRDefault="00316474" w:rsidP="00316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26054" w:rsidRPr="00316474" w:rsidRDefault="00726054" w:rsidP="00316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55708A78" w:rsidR="00726054" w:rsidRPr="00316474" w:rsidRDefault="00726054" w:rsidP="00316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26054" w:rsidRPr="00316474" w:rsidRDefault="00726054" w:rsidP="0031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DD54DA5"/>
    <w:multiLevelType w:val="hybridMultilevel"/>
    <w:tmpl w:val="FBC688C8"/>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35054DBC"/>
    <w:multiLevelType w:val="hybridMultilevel"/>
    <w:tmpl w:val="D4DA4094"/>
    <w:lvl w:ilvl="0" w:tplc="D214FC50">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0"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2"/>
  </w:num>
  <w:num w:numId="3">
    <w:abstractNumId w:val="25"/>
  </w:num>
  <w:num w:numId="4">
    <w:abstractNumId w:val="3"/>
  </w:num>
  <w:num w:numId="5">
    <w:abstractNumId w:val="19"/>
  </w:num>
  <w:num w:numId="6">
    <w:abstractNumId w:val="11"/>
  </w:num>
  <w:num w:numId="7">
    <w:abstractNumId w:val="5"/>
  </w:num>
  <w:num w:numId="8">
    <w:abstractNumId w:val="9"/>
  </w:num>
  <w:num w:numId="9">
    <w:abstractNumId w:val="8"/>
  </w:num>
  <w:num w:numId="10">
    <w:abstractNumId w:val="26"/>
  </w:num>
  <w:num w:numId="11">
    <w:abstractNumId w:val="14"/>
  </w:num>
  <w:num w:numId="12">
    <w:abstractNumId w:val="21"/>
  </w:num>
  <w:num w:numId="13">
    <w:abstractNumId w:val="0"/>
  </w:num>
  <w:num w:numId="14">
    <w:abstractNumId w:val="0"/>
  </w:num>
  <w:num w:numId="15">
    <w:abstractNumId w:val="20"/>
  </w:num>
  <w:num w:numId="16">
    <w:abstractNumId w:val="15"/>
  </w:num>
  <w:num w:numId="17">
    <w:abstractNumId w:val="0"/>
  </w:num>
  <w:num w:numId="18">
    <w:abstractNumId w:val="0"/>
  </w:num>
  <w:num w:numId="19">
    <w:abstractNumId w:val="23"/>
  </w:num>
  <w:num w:numId="20">
    <w:abstractNumId w:val="7"/>
  </w:num>
  <w:num w:numId="21">
    <w:abstractNumId w:val="18"/>
  </w:num>
  <w:num w:numId="22">
    <w:abstractNumId w:val="12"/>
  </w:num>
  <w:num w:numId="23">
    <w:abstractNumId w:val="13"/>
  </w:num>
  <w:num w:numId="24">
    <w:abstractNumId w:val="27"/>
  </w:num>
  <w:num w:numId="25">
    <w:abstractNumId w:val="17"/>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6"/>
  </w:num>
  <w:num w:numId="30">
    <w:abstractNumId w:val="16"/>
  </w:num>
  <w:num w:numId="31">
    <w:abstractNumId w:val="24"/>
  </w:num>
  <w:num w:numId="32">
    <w:abstractNumId w:val="4"/>
  </w:num>
  <w:num w:numId="33">
    <w:abstractNumId w:val="0"/>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1CB0"/>
    <w:rsid w:val="000142E0"/>
    <w:rsid w:val="00014C93"/>
    <w:rsid w:val="00015E18"/>
    <w:rsid w:val="00017B56"/>
    <w:rsid w:val="000232FA"/>
    <w:rsid w:val="00023DE9"/>
    <w:rsid w:val="0002450A"/>
    <w:rsid w:val="000247C5"/>
    <w:rsid w:val="00024D79"/>
    <w:rsid w:val="000257FE"/>
    <w:rsid w:val="0002700A"/>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5EC3"/>
    <w:rsid w:val="001760E9"/>
    <w:rsid w:val="0018231C"/>
    <w:rsid w:val="00182F92"/>
    <w:rsid w:val="001861B4"/>
    <w:rsid w:val="001865D3"/>
    <w:rsid w:val="00191597"/>
    <w:rsid w:val="001951FD"/>
    <w:rsid w:val="0019715D"/>
    <w:rsid w:val="001A0AD4"/>
    <w:rsid w:val="001A2273"/>
    <w:rsid w:val="001A7476"/>
    <w:rsid w:val="001A7FFE"/>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3E4F"/>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C6"/>
    <w:rsid w:val="00245CD4"/>
    <w:rsid w:val="00247E02"/>
    <w:rsid w:val="00251418"/>
    <w:rsid w:val="00255669"/>
    <w:rsid w:val="00256F0A"/>
    <w:rsid w:val="00261903"/>
    <w:rsid w:val="00261FDB"/>
    <w:rsid w:val="00270828"/>
    <w:rsid w:val="002737D4"/>
    <w:rsid w:val="00274DCF"/>
    <w:rsid w:val="00276CC9"/>
    <w:rsid w:val="002776B9"/>
    <w:rsid w:val="002859C4"/>
    <w:rsid w:val="00291154"/>
    <w:rsid w:val="00292D44"/>
    <w:rsid w:val="00293765"/>
    <w:rsid w:val="00293E9C"/>
    <w:rsid w:val="00295B97"/>
    <w:rsid w:val="002962DA"/>
    <w:rsid w:val="002A2F38"/>
    <w:rsid w:val="002A417C"/>
    <w:rsid w:val="002A417D"/>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382"/>
    <w:rsid w:val="002D4C38"/>
    <w:rsid w:val="002D5A51"/>
    <w:rsid w:val="002E01B5"/>
    <w:rsid w:val="002E44D6"/>
    <w:rsid w:val="002E459D"/>
    <w:rsid w:val="002E5473"/>
    <w:rsid w:val="002E62B0"/>
    <w:rsid w:val="002F32E6"/>
    <w:rsid w:val="002F63EB"/>
    <w:rsid w:val="00302E45"/>
    <w:rsid w:val="00305834"/>
    <w:rsid w:val="00311562"/>
    <w:rsid w:val="003123CB"/>
    <w:rsid w:val="00316474"/>
    <w:rsid w:val="003165A9"/>
    <w:rsid w:val="0032154F"/>
    <w:rsid w:val="0032266E"/>
    <w:rsid w:val="003227CC"/>
    <w:rsid w:val="0032340F"/>
    <w:rsid w:val="00323A05"/>
    <w:rsid w:val="003262D8"/>
    <w:rsid w:val="00326919"/>
    <w:rsid w:val="00326F5F"/>
    <w:rsid w:val="00331ACB"/>
    <w:rsid w:val="00331C12"/>
    <w:rsid w:val="00333F1A"/>
    <w:rsid w:val="00340F46"/>
    <w:rsid w:val="00342F72"/>
    <w:rsid w:val="00343E1E"/>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96CC5"/>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17D6"/>
    <w:rsid w:val="003F2D36"/>
    <w:rsid w:val="003F510A"/>
    <w:rsid w:val="003F6382"/>
    <w:rsid w:val="003F78A9"/>
    <w:rsid w:val="0040019C"/>
    <w:rsid w:val="00400A1F"/>
    <w:rsid w:val="00402A19"/>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4618A"/>
    <w:rsid w:val="004511AE"/>
    <w:rsid w:val="00456E3C"/>
    <w:rsid w:val="00462B31"/>
    <w:rsid w:val="00463300"/>
    <w:rsid w:val="004646AF"/>
    <w:rsid w:val="0046631E"/>
    <w:rsid w:val="00467BE4"/>
    <w:rsid w:val="00470719"/>
    <w:rsid w:val="00472A1F"/>
    <w:rsid w:val="00472A79"/>
    <w:rsid w:val="00472E72"/>
    <w:rsid w:val="004734C7"/>
    <w:rsid w:val="004755C3"/>
    <w:rsid w:val="00477361"/>
    <w:rsid w:val="004904F9"/>
    <w:rsid w:val="00492ED3"/>
    <w:rsid w:val="0049347F"/>
    <w:rsid w:val="004971E8"/>
    <w:rsid w:val="00497E0A"/>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07FBD"/>
    <w:rsid w:val="00510903"/>
    <w:rsid w:val="00512BE2"/>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7F3"/>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32EA"/>
    <w:rsid w:val="005F4FFC"/>
    <w:rsid w:val="005F78D7"/>
    <w:rsid w:val="005F7E48"/>
    <w:rsid w:val="00600A25"/>
    <w:rsid w:val="00601E6B"/>
    <w:rsid w:val="006025C9"/>
    <w:rsid w:val="00607A25"/>
    <w:rsid w:val="00607F17"/>
    <w:rsid w:val="006119BD"/>
    <w:rsid w:val="006125A8"/>
    <w:rsid w:val="00613467"/>
    <w:rsid w:val="0061692F"/>
    <w:rsid w:val="0062138E"/>
    <w:rsid w:val="006223FA"/>
    <w:rsid w:val="00622822"/>
    <w:rsid w:val="00624785"/>
    <w:rsid w:val="00625986"/>
    <w:rsid w:val="00627B8F"/>
    <w:rsid w:val="00627D71"/>
    <w:rsid w:val="00630047"/>
    <w:rsid w:val="00630928"/>
    <w:rsid w:val="00631509"/>
    <w:rsid w:val="00632139"/>
    <w:rsid w:val="006324DA"/>
    <w:rsid w:val="006334BE"/>
    <w:rsid w:val="00634C0F"/>
    <w:rsid w:val="00640656"/>
    <w:rsid w:val="00641262"/>
    <w:rsid w:val="00645723"/>
    <w:rsid w:val="00650DB1"/>
    <w:rsid w:val="006549AE"/>
    <w:rsid w:val="006568C8"/>
    <w:rsid w:val="006604D8"/>
    <w:rsid w:val="00662436"/>
    <w:rsid w:val="0066408C"/>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A65FB"/>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1B7D"/>
    <w:rsid w:val="00726054"/>
    <w:rsid w:val="00727B0D"/>
    <w:rsid w:val="007327CD"/>
    <w:rsid w:val="00732CC4"/>
    <w:rsid w:val="00733A55"/>
    <w:rsid w:val="00735256"/>
    <w:rsid w:val="00737766"/>
    <w:rsid w:val="007425D2"/>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1F20"/>
    <w:rsid w:val="007F2119"/>
    <w:rsid w:val="007F292F"/>
    <w:rsid w:val="007F7DBA"/>
    <w:rsid w:val="00804736"/>
    <w:rsid w:val="0080501D"/>
    <w:rsid w:val="008102E2"/>
    <w:rsid w:val="008103DE"/>
    <w:rsid w:val="00812594"/>
    <w:rsid w:val="00813A00"/>
    <w:rsid w:val="00814E33"/>
    <w:rsid w:val="008159E1"/>
    <w:rsid w:val="00816A45"/>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094"/>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333A"/>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2A2F"/>
    <w:rsid w:val="008E2CDD"/>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506E"/>
    <w:rsid w:val="0097659B"/>
    <w:rsid w:val="00986C7F"/>
    <w:rsid w:val="00987507"/>
    <w:rsid w:val="009954A1"/>
    <w:rsid w:val="009A3E0E"/>
    <w:rsid w:val="009B0E36"/>
    <w:rsid w:val="009B2ADD"/>
    <w:rsid w:val="009B37E5"/>
    <w:rsid w:val="009B6B5D"/>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B92"/>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582"/>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332F"/>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707A"/>
    <w:rsid w:val="00B9776A"/>
    <w:rsid w:val="00B97AA6"/>
    <w:rsid w:val="00BA051D"/>
    <w:rsid w:val="00BA494E"/>
    <w:rsid w:val="00BA51ED"/>
    <w:rsid w:val="00BA579D"/>
    <w:rsid w:val="00BA60C9"/>
    <w:rsid w:val="00BB054C"/>
    <w:rsid w:val="00BB1EE2"/>
    <w:rsid w:val="00BB37C1"/>
    <w:rsid w:val="00BB3A55"/>
    <w:rsid w:val="00BB3AF7"/>
    <w:rsid w:val="00BB739D"/>
    <w:rsid w:val="00BB764E"/>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4607"/>
    <w:rsid w:val="00BF6653"/>
    <w:rsid w:val="00C005B2"/>
    <w:rsid w:val="00C00B1F"/>
    <w:rsid w:val="00C0119D"/>
    <w:rsid w:val="00C10C77"/>
    <w:rsid w:val="00C12F9B"/>
    <w:rsid w:val="00C23683"/>
    <w:rsid w:val="00C259DF"/>
    <w:rsid w:val="00C25DB3"/>
    <w:rsid w:val="00C331A1"/>
    <w:rsid w:val="00C34727"/>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87097"/>
    <w:rsid w:val="00C92102"/>
    <w:rsid w:val="00C95751"/>
    <w:rsid w:val="00C9679B"/>
    <w:rsid w:val="00C96BF2"/>
    <w:rsid w:val="00C97966"/>
    <w:rsid w:val="00CA1127"/>
    <w:rsid w:val="00CA3848"/>
    <w:rsid w:val="00CA573A"/>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1F25"/>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100"/>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A2D88"/>
    <w:rsid w:val="00DA608B"/>
    <w:rsid w:val="00DB2B61"/>
    <w:rsid w:val="00DB34D6"/>
    <w:rsid w:val="00DB55DE"/>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3ABC"/>
    <w:rsid w:val="00DF590D"/>
    <w:rsid w:val="00E00CD3"/>
    <w:rsid w:val="00E02E1A"/>
    <w:rsid w:val="00E060CF"/>
    <w:rsid w:val="00E0620E"/>
    <w:rsid w:val="00E06456"/>
    <w:rsid w:val="00E074E2"/>
    <w:rsid w:val="00E119DF"/>
    <w:rsid w:val="00E11C18"/>
    <w:rsid w:val="00E15330"/>
    <w:rsid w:val="00E20579"/>
    <w:rsid w:val="00E207F0"/>
    <w:rsid w:val="00E20AAE"/>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27206"/>
    <w:rsid w:val="00F3200A"/>
    <w:rsid w:val="00F324AC"/>
    <w:rsid w:val="00F32577"/>
    <w:rsid w:val="00F33DD2"/>
    <w:rsid w:val="00F359DE"/>
    <w:rsid w:val="00F37E4A"/>
    <w:rsid w:val="00F423CE"/>
    <w:rsid w:val="00F443A0"/>
    <w:rsid w:val="00F4549F"/>
    <w:rsid w:val="00F471FB"/>
    <w:rsid w:val="00F47818"/>
    <w:rsid w:val="00F508B3"/>
    <w:rsid w:val="00F512BB"/>
    <w:rsid w:val="00F51327"/>
    <w:rsid w:val="00F545CF"/>
    <w:rsid w:val="00F63F2A"/>
    <w:rsid w:val="00F646EF"/>
    <w:rsid w:val="00F64DB5"/>
    <w:rsid w:val="00F70110"/>
    <w:rsid w:val="00F71666"/>
    <w:rsid w:val="00F72D85"/>
    <w:rsid w:val="00F804C6"/>
    <w:rsid w:val="00F80F3B"/>
    <w:rsid w:val="00F841DB"/>
    <w:rsid w:val="00F856AC"/>
    <w:rsid w:val="00F86531"/>
    <w:rsid w:val="00F86EB5"/>
    <w:rsid w:val="00F86F23"/>
    <w:rsid w:val="00F916E1"/>
    <w:rsid w:val="00F929FB"/>
    <w:rsid w:val="00F941D5"/>
    <w:rsid w:val="00F944EB"/>
    <w:rsid w:val="00F946E1"/>
    <w:rsid w:val="00F94A84"/>
    <w:rsid w:val="00F9553E"/>
    <w:rsid w:val="00F95D18"/>
    <w:rsid w:val="00FA0183"/>
    <w:rsid w:val="00FA0704"/>
    <w:rsid w:val="00FA0D13"/>
    <w:rsid w:val="00FB044B"/>
    <w:rsid w:val="00FB1C7A"/>
    <w:rsid w:val="00FB24BA"/>
    <w:rsid w:val="00FB55E3"/>
    <w:rsid w:val="00FC2BE8"/>
    <w:rsid w:val="00FD3685"/>
    <w:rsid w:val="00FD3A69"/>
    <w:rsid w:val="00FD3EB9"/>
    <w:rsid w:val="00FE044C"/>
    <w:rsid w:val="00FE23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Silvia.Staffa@eesc.europa.eu" TargetMode="External"/><Relationship Id="rId39" Type="http://schemas.openxmlformats.org/officeDocument/2006/relationships/footer" Target="footer4.xml"/><Relationship Id="rId21" Type="http://schemas.openxmlformats.org/officeDocument/2006/relationships/hyperlink" Target="mailto:Alessia.Cova@eesc.europa.eu" TargetMode="External"/><Relationship Id="rId34" Type="http://schemas.openxmlformats.org/officeDocument/2006/relationships/hyperlink" Target="mailto:Giorgiaandrea.Bordignon@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Raquel.Ferreiradasilva@eesc.europa.eu" TargetMode="External"/><Relationship Id="rId41" Type="http://schemas.openxmlformats.org/officeDocument/2006/relationships/header" Target="head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essia.Cova@eesc.europa.eu" TargetMode="External"/><Relationship Id="rId32" Type="http://schemas.openxmlformats.org/officeDocument/2006/relationships/hyperlink" Target="mailto:Caroline.Verhelst@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abrina.Borg@eesc.europa.eu" TargetMode="External"/><Relationship Id="rId28" Type="http://schemas.openxmlformats.org/officeDocument/2006/relationships/hyperlink" Target="mailto:Raul.Murielcarrasco@eesc.europa.eu" TargetMode="External"/><Relationship Id="rId36" Type="http://schemas.openxmlformats.org/officeDocument/2006/relationships/hyperlink" Target="mailto:Giorgiaandrea.Bordignon@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aroline.Verhelst@eesc.europa.eu" TargetMode="External"/><Relationship Id="rId44"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abrina.Borg@eesc.europa.eu" TargetMode="External"/><Relationship Id="rId27" Type="http://schemas.openxmlformats.org/officeDocument/2006/relationships/hyperlink" Target="mailto:Igor.Caldeira@eesc.europa.eu" TargetMode="External"/><Relationship Id="rId30" Type="http://schemas.openxmlformats.org/officeDocument/2006/relationships/hyperlink" Target="mailto:Dalila.Bernard@eesc.europa.eu" TargetMode="External"/><Relationship Id="rId35" Type="http://schemas.openxmlformats.org/officeDocument/2006/relationships/hyperlink" Target="mailto:Agota.Bazsik@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webSettings" Target="webSettings.xml"/><Relationship Id="rId12" Type="http://schemas.openxmlformats.org/officeDocument/2006/relationships/hyperlink" Target="https://www.eesc.europa.eu/ro/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david.hoic@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22:323:SOM:RON:HTML" TargetMode="External"/><Relationship Id="rId2" Type="http://schemas.openxmlformats.org/officeDocument/2006/relationships/hyperlink" Target="https://eur-lex.europa.eu/legal-content/RO/TXT/?uri=uriserv%3AOJ.C_.2015.230.01.0091.01.ENG&amp;toc=OJ%3AC%3A2015%3A230%3ATOC" TargetMode="External"/><Relationship Id="rId1" Type="http://schemas.openxmlformats.org/officeDocument/2006/relationships/hyperlink" Target="https://eur-lex.europa.eu/legal-content/RO/TXT/?uri=CELEX%3A62016CJ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XMKEDVFMMJCW-1587818345-2690</_dlc_DocId>
    <_dlc_DocIdUrl xmlns="56a5413d-c261-4a00-870c-a20d3379ae6d">
      <Url>http://dm2016/eesc/2023/_layouts/15/DocIdRedir.aspx?ID=XMKEDVFMMJCW-1587818345-2690</Url>
      <Description>XMKEDVFMMJCW-1587818345-2690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2023-03-31T12:00:00+00:00</ProductionDate>
    <DocumentNumber xmlns="5e8f28df-38cd-4f6e-b090-faa878e96575">1103</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2023-04-26T12:00:00+00:00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4266</FicheNumber>
    <OriginalSender xmlns="56a5413d-c261-4a00-870c-a20d3379ae6d">
      <UserInfo>
        <DisplayName>Soldan Aureliana Cristiana</DisplayName>
        <AccountId>1654</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578</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E4F80B4-1B92-4C71-B78F-3026952404D8}"/>
</file>

<file path=customXml/itemProps2.xml><?xml version="1.0" encoding="utf-8"?>
<ds:datastoreItem xmlns:ds="http://schemas.openxmlformats.org/officeDocument/2006/customXml" ds:itemID="{C66DD7AF-D584-4305-803E-776CB6E29E69}"/>
</file>

<file path=customXml/itemProps3.xml><?xml version="1.0" encoding="utf-8"?>
<ds:datastoreItem xmlns:ds="http://schemas.openxmlformats.org/officeDocument/2006/customXml" ds:itemID="{C9C91E30-D9FB-4D2B-9C89-D90F68AF85DC}"/>
</file>

<file path=customXml/itemProps4.xml><?xml version="1.0" encoding="utf-8"?>
<ds:datastoreItem xmlns:ds="http://schemas.openxmlformats.org/officeDocument/2006/customXml" ds:itemID="{14C9BDF0-2FC6-44C0-8DF9-8BBA5A5F3506}"/>
</file>

<file path=docProps/app.xml><?xml version="1.0" encoding="utf-8"?>
<Properties xmlns="http://schemas.openxmlformats.org/officeDocument/2006/extended-properties" xmlns:vt="http://schemas.openxmlformats.org/officeDocument/2006/docPropsVTypes">
  <Template>Normal.dotm</Template>
  <TotalTime>0</TotalTime>
  <Pages>24</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adoptate în sesiunea plenară din martie 2023  </dc:title>
  <dc:subject>TCD</dc:subject>
  <dc:creator>Nieddu Emma</dc:creator>
  <cp:keywords>EESC-2023-01103-00-01-TCD-TRA-EN</cp:keywords>
  <dc:description>Rapporteur:  - Original language: EN - Date of document: 31-03-2023 - Date of meeting: 00-26-2023 09:00 - External documents:  - Administrator: MME TAMASAUSKIENE Julija</dc:description>
  <cp:lastModifiedBy>Soldan Aureliana Cristiana</cp:lastModifiedBy>
  <cp:revision>12</cp:revision>
  <cp:lastPrinted>2022-12-02T08:55:00Z</cp:lastPrinted>
  <dcterms:created xsi:type="dcterms:W3CDTF">2023-03-31T09:41:00Z</dcterms:created>
  <dcterms:modified xsi:type="dcterms:W3CDTF">2023-03-31T09:55:00Z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31/03/2023, 29/03/2023, 07/03/2023, 11/01/2023, 10/01/2023, 29/03/2022, 04/03/2022, 15/12/2021, 13/09/2021, 03/09/2021, 28/06/2021</vt:lpwstr>
  </property>
  <property fmtid="{D5CDD505-2E9C-101B-9397-08002B2CF9AE}" pid="4" name="Pref_Time">
    <vt:lpwstr>09:40:51, 11:29:17, 10:27:54, 10:12:15, 11:41:25, 14:21:50, 16:54:06, 17:56:36, 14:13:00, 10:08:10, 08:41:48</vt:lpwstr>
  </property>
  <property fmtid="{D5CDD505-2E9C-101B-9397-08002B2CF9AE}" pid="5" name="Pref_User">
    <vt:lpwstr>jhvi, jhvi, enied, pacup, enied, jhvi, enied, hnic, amett, enied, enied</vt:lpwstr>
  </property>
  <property fmtid="{D5CDD505-2E9C-101B-9397-08002B2CF9AE}" pid="6" name="Pref_FileName">
    <vt:lpwstr>EESC-2023-01103-00-01-TCD-ORI.docx, EESC-2023-01103-00-00-TCD-ORI.docx, EESC-2023-00570-00-00-TCD-ORI.docx, EESC-2022-05401-00-01-TCD-TRA.docx, EESC-2022-05401-00-00-TCD-ORI.docx, EESC-2022-01223-00-00-TCD-ORI.docx, EESC-2022-00391-00-00-TCD-ORI.docx,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80801ff6-a792-4864-97ff-c76c04c59fee</vt:lpwstr>
  </property>
  <property fmtid="{D5CDD505-2E9C-101B-9397-08002B2CF9AE}" pid="9" name="AvailableTranslations">
    <vt:lpwstr>16;#DE|f6b31e5a-26fa-4935-b661-318e46daf27e;#44;#BG|1a1b3951-7821-4e6a-85f5-5673fc08bd2c;#33;#LV|46f7e311-5d9f-4663-b433-18aeccb7ace7;#31;#NL|55c6556c-b4f4-441d-9acf-c498d4f838bd;#30;#IT|0774613c-01ed-4e5d-a25d-11d2388de825;#25;#ES|e7a6b05b-ae16-40c8-add9-68b64b03aeba;#45;#ET|ff6c3f4c-b02c-4c3c-ab07-2c37995a7a0a;#21;#SV|c2ed69e7-a339-43d7-8f22-d93680a92aa0;#24;#PL|1e03da61-4678-4e07-b136-b5024ca9197b;#39;#LT|a7ff5ce7-6123-4f68-865a-a57c31810414;#5;#EN|f2175f21-25d7-44a3-96da-d6a61b075e1b;#46;#HR|2f555653-ed1a-4fe6-8362-9082d95989e5;#37;#CS|72f9705b-0217-4fd3-bea2-cbc7ed80e26e;#38;#EL|6d4f4d51-af9b-4650-94b4-4276bee85c91;#35;#SL|98a412ae-eb01-49e9-ae3d-585a81724cfc;#41;#HU|6b229040-c589-4408-b4c1-4285663d20a8;#40;#RO|feb747a2-64cd-4299-af12-4833ddc30497;#10;#FR|d2afafd3-4c81-4f60-8f52-ee33f2f54ff3;#42;#FI|87606a43-d45f-42d6-b8c9-e1a3457db5b7;#32;#PT|50ccc04a-eadd-42ae-a0cb-acaf45f812ba;#34;#SK|46d9fce0-ef79-4f71-b89b-cd6aa82426b8;#43;#DA|5d49c027-8956-412b-aa16-e85a0f96ad0e</vt:lpwstr>
  </property>
  <property fmtid="{D5CDD505-2E9C-101B-9397-08002B2CF9AE}" pid="10" name="DocumentType_0">
    <vt:lpwstr>TCD|cd9d6eb6-3f4f-424a-b2d1-57c9d450eaaf</vt:lpwstr>
  </property>
  <property fmtid="{D5CDD505-2E9C-101B-9397-08002B2CF9AE}" pid="11" name="MeetingNumber">
    <vt:i4>578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1103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2023-04-26T12:00:00Z</vt:filetime>
  </property>
  <property fmtid="{D5CDD505-2E9C-101B-9397-08002B2CF9AE}" pid="29" name="AvailableTranslations_0">
    <vt:lpwstr>ES|e7a6b05b-ae16-40c8-add9-68b64b03aeba;EN|f2175f21-25d7-44a3-96da-d6a61b075e1b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59;#SPL-CES|32d8cb1f-c9ec-4365-95c7-8385a18618ac;#7;#Final|ea5e6674-7b27-4bac-b091-73adbb394efe;#5;#EN|f2175f21-25d7-44a3-96da-d6a61b075e1b;#3;#TRA|150d2a88-1431-44e6-a8ca-0bb753ab8672;#25;#ES|e7a6b05b-ae16-40c8-add9-68b64b03aeba;#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4266</vt:i4>
  </property>
  <property fmtid="{D5CDD505-2E9C-101B-9397-08002B2CF9AE}" pid="37" name="DocumentLanguage">
    <vt:lpwstr>40;#RO|feb747a2-64cd-4299-af12-4833ddc30497</vt:lpwstr>
  </property>
  <property fmtid="{D5CDD505-2E9C-101B-9397-08002B2CF9AE}" pid="38" name="_docset_NoMedatataSyncRequired">
    <vt:lpwstr>False</vt:lpwstr>
  </property>
</Properties>
</file>