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70E7" w:rsidR="004D7AC0" w:rsidP="00116A1C" w:rsidRDefault="00F31F11" w14:paraId="785AE44C" w14:textId="7396BA46">
      <w:pPr>
        <w:jc w:val="center"/>
      </w:pPr>
      <w:r>
        <w:rPr>
          <w:noProof/>
        </w:rPr>
        <w:drawing>
          <wp:inline distT="0" distB="0" distL="0" distR="0" wp14:anchorId="473831A7" wp14:editId="02117A8A">
            <wp:extent cx="1792605" cy="1239520"/>
            <wp:effectExtent l="0" t="0" r="0" b="0"/>
            <wp:docPr id="2" name="Picture 2" title="EESCLogo_NL"/>
            <wp:cNvGraphicFramePr/>
            <a:graphic xmlns:a="http://schemas.openxmlformats.org/drawingml/2006/main">
              <a:graphicData uri="http://schemas.openxmlformats.org/drawingml/2006/picture">
                <pic:pic xmlns:pic="http://schemas.openxmlformats.org/drawingml/2006/picture">
                  <pic:nvPicPr>
                    <pic:cNvPr id="2" name="Picture 2"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9264" behindDoc="1" locked="0" layoutInCell="0" allowOverlap="1" wp14:editId="78750DD5"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26054" w:rsidP="004D7AC0" w:rsidRDefault="00726054" w14:paraId="2AA40ECF"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26054" w:rsidP="004D7AC0" w:rsidRDefault="00726054" w14:paraId="2AA40ECF"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Pr="009B70E7" w:rsidR="004D7AC0" w:rsidP="00116A1C" w:rsidRDefault="004D7AC0" w14:paraId="51F52D79" w14:textId="77777777"/>
    <w:p w:rsidRPr="009B70E7" w:rsidR="004D7AC0" w:rsidP="00116A1C" w:rsidRDefault="00014C93" w14:paraId="45DE4A28" w14:textId="09CEE8DE">
      <w:pPr>
        <w:jc w:val="right"/>
      </w:pPr>
      <w:r>
        <w:t>Brussel, 14 april 2023</w:t>
      </w:r>
    </w:p>
    <w:p w:rsidRPr="009B70E7" w:rsidR="004D7AC0" w:rsidRDefault="004D7AC0" w14:paraId="7BCFBA24" w14:textId="77777777"/>
    <w:p w:rsidRPr="009B70E7" w:rsidR="004D7AC0" w:rsidRDefault="004D7AC0" w14:paraId="6B250092" w14:textId="77777777"/>
    <w:p w:rsidRPr="009B70E7" w:rsidR="004D7AC0" w:rsidRDefault="004D7AC0" w14:paraId="0593C6DF" w14:textId="77777777"/>
    <w:tbl>
      <w:tblPr>
        <w:tblW w:w="0" w:type="auto"/>
        <w:tblLook w:val="04A0" w:firstRow="1" w:lastRow="0" w:firstColumn="1" w:lastColumn="0" w:noHBand="0" w:noVBand="1"/>
      </w:tblPr>
      <w:tblGrid>
        <w:gridCol w:w="9289"/>
      </w:tblGrid>
      <w:tr w:rsidRPr="009B70E7" w:rsidR="004D7AC0" w:rsidTr="00662436" w14:paraId="6D7B3453" w14:textId="77777777">
        <w:tc>
          <w:tcPr>
            <w:tcW w:w="9289" w:type="dxa"/>
            <w:tcBorders>
              <w:bottom w:val="double" w:color="auto" w:sz="4" w:space="0"/>
            </w:tcBorders>
          </w:tcPr>
          <w:p w:rsidR="001760E9" w:rsidRDefault="00DA2D88" w14:paraId="3B286D4E" w14:textId="400974F8">
            <w:pPr>
              <w:snapToGrid w:val="0"/>
              <w:jc w:val="center"/>
              <w:rPr>
                <w:b/>
                <w:sz w:val="32"/>
              </w:rPr>
            </w:pPr>
            <w:r>
              <w:rPr>
                <w:b/>
                <w:sz w:val="32"/>
              </w:rPr>
              <w:t>577</w:t>
            </w:r>
            <w:r>
              <w:rPr>
                <w:b/>
                <w:sz w:val="32"/>
                <w:vertAlign w:val="superscript"/>
              </w:rPr>
              <w:t>e</w:t>
            </w:r>
            <w:r>
              <w:rPr>
                <w:b/>
                <w:sz w:val="32"/>
              </w:rPr>
              <w:t xml:space="preserve"> ZITTING</w:t>
            </w:r>
          </w:p>
          <w:p w:rsidR="001760E9" w:rsidRDefault="001760E9" w14:paraId="6C87A626" w14:textId="0AE2882C">
            <w:pPr>
              <w:snapToGrid w:val="0"/>
              <w:jc w:val="center"/>
              <w:rPr>
                <w:b/>
                <w:sz w:val="32"/>
              </w:rPr>
            </w:pPr>
          </w:p>
          <w:p w:rsidR="001760E9" w:rsidRDefault="00DF3AB4" w14:paraId="6CF7229C" w14:textId="5718C72F">
            <w:pPr>
              <w:snapToGrid w:val="0"/>
              <w:jc w:val="center"/>
              <w:rPr>
                <w:b/>
                <w:sz w:val="32"/>
              </w:rPr>
            </w:pPr>
            <w:r>
              <w:rPr>
                <w:b/>
                <w:sz w:val="32"/>
              </w:rPr>
              <w:t>22 en 23 maart 2023</w:t>
            </w:r>
          </w:p>
          <w:p w:rsidR="001760E9" w:rsidRDefault="001760E9" w14:paraId="0C44BD01" w14:textId="2F8EBB07">
            <w:pPr>
              <w:snapToGrid w:val="0"/>
              <w:jc w:val="center"/>
              <w:rPr>
                <w:b/>
                <w:sz w:val="32"/>
              </w:rPr>
            </w:pPr>
          </w:p>
          <w:p w:rsidRPr="009B70E7" w:rsidR="004D7AC0" w:rsidRDefault="00CF2F88" w14:paraId="114106CC" w14:textId="6DED1CC7">
            <w:pPr>
              <w:snapToGrid w:val="0"/>
              <w:jc w:val="center"/>
              <w:rPr>
                <w:rFonts w:eastAsia="MS Mincho"/>
                <w:b/>
                <w:sz w:val="32"/>
                <w:szCs w:val="32"/>
              </w:rPr>
            </w:pPr>
            <w:r>
              <w:rPr>
                <w:b/>
                <w:sz w:val="32"/>
              </w:rPr>
              <w:t>SAMENVATTING VAN DE GOEDGEKEURDE ADVIEZEN, RESOLUTIES, INFORMATIEVE RAPPORTEN EN</w:t>
            </w:r>
            <w:r w:rsidR="00133EE7">
              <w:rPr>
                <w:b/>
                <w:sz w:val="32"/>
              </w:rPr>
              <w:t> </w:t>
            </w:r>
            <w:r>
              <w:rPr>
                <w:b/>
                <w:sz w:val="32"/>
              </w:rPr>
              <w:t>EVALUATIEVERSLAGEN</w:t>
            </w:r>
          </w:p>
          <w:p w:rsidRPr="009B70E7" w:rsidR="004D7AC0"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2A9352A2" w14:textId="77777777">
            <w:pPr>
              <w:snapToGrid w:val="0"/>
              <w:jc w:val="center"/>
            </w:pPr>
            <w:r>
              <w:t>Dit document is in de officiële talen te vinden op de website van het EESC:</w:t>
            </w:r>
            <w:r>
              <w:br/>
            </w:r>
            <w:r>
              <w:br/>
            </w:r>
            <w:hyperlink w:history="1" r:id="rId12">
              <w:r>
                <w:rPr>
                  <w:rStyle w:val="Hyperlink"/>
                  <w:highlight w:val="yellow"/>
                </w:rPr>
                <w:t>https://www.eesc.europa.eu/nl/our-work/opinions-information-reports/plenary-session-summaries</w:t>
              </w:r>
            </w:hyperlink>
          </w:p>
          <w:p w:rsidRPr="009B70E7" w:rsidR="004D7AC0" w:rsidRDefault="004D7AC0" w14:paraId="70D5DBB4" w14:textId="77777777">
            <w:pPr>
              <w:snapToGrid w:val="0"/>
              <w:jc w:val="center"/>
            </w:pPr>
          </w:p>
          <w:p w:rsidRPr="009B70E7" w:rsidR="004D7AC0" w:rsidRDefault="004D7AC0" w14:paraId="575A73D6" w14:textId="77777777">
            <w:pPr>
              <w:snapToGrid w:val="0"/>
              <w:jc w:val="center"/>
              <w:rPr>
                <w:rFonts w:eastAsia="SimSun"/>
              </w:rPr>
            </w:pPr>
          </w:p>
          <w:p w:rsidRPr="009B70E7" w:rsidR="004D7AC0" w:rsidRDefault="004D7AC0" w14:paraId="441AC4DD" w14:textId="77777777">
            <w:pPr>
              <w:snapToGrid w:val="0"/>
              <w:jc w:val="center"/>
            </w:pPr>
            <w:r>
              <w:t>De genoemde adviezen kunnen online worden geraadpleegd via de zoekmachine van het EESC:</w:t>
            </w:r>
            <w:r>
              <w:br/>
            </w:r>
            <w:hyperlink w:history="1" r:id="rId13">
              <w:r>
                <w:rPr>
                  <w:rStyle w:val="Hyperlink"/>
                </w:rPr>
                <w:t>https://dmsearch.eesc.europa.eu/search/opinion</w:t>
              </w:r>
            </w:hyperlink>
          </w:p>
          <w:p w:rsidRPr="009B70E7" w:rsidR="004D7AC0" w:rsidRDefault="004D7AC0" w14:paraId="51FF303F" w14:textId="77777777">
            <w:pPr>
              <w:snapToGrid w:val="0"/>
              <w:jc w:val="center"/>
            </w:pPr>
          </w:p>
        </w:tc>
      </w:tr>
    </w:tbl>
    <w:p w:rsidRPr="009B70E7" w:rsidR="004D7AC0" w:rsidRDefault="004D7AC0" w14:paraId="57C291FC" w14:textId="77777777"/>
    <w:p w:rsidRPr="009B70E7" w:rsidR="004D7AC0" w:rsidRDefault="004D7AC0" w14:paraId="5E675360" w14:textId="77777777"/>
    <w:p w:rsidR="007B7C40" w:rsidRDefault="007B7C40" w14:paraId="3CF67A1E" w14:textId="77777777">
      <w:pPr>
        <w:sectPr w:rsidR="007B7C40" w:rsidSect="0031647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5FAD9FDD" w14:textId="77777777">
          <w:pPr>
            <w:pStyle w:val="TOCHeading"/>
          </w:pPr>
          <w:r>
            <w:t>Inhoudsopgave</w:t>
          </w:r>
        </w:p>
        <w:p w:rsidR="00511FAC" w:rsidRDefault="001E6413" w14:paraId="3372E1A5" w14:textId="3F209D3A">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31175941">
            <w:r w:rsidRPr="006F575C" w:rsidR="00511FAC">
              <w:rPr>
                <w:rStyle w:val="Hyperlink"/>
                <w:noProof/>
                <w14:scene3d>
                  <w14:camera w14:prst="orthographicFront"/>
                  <w14:lightRig w14:rig="threePt" w14:dir="t">
                    <w14:rot w14:lat="0" w14:lon="0" w14:rev="0"/>
                  </w14:lightRig>
                </w14:scene3d>
              </w:rPr>
              <w:t>1.</w:t>
            </w:r>
            <w:r w:rsidR="00511FAC">
              <w:rPr>
                <w:rFonts w:asciiTheme="minorHAnsi" w:hAnsiTheme="minorHAnsi" w:eastAsiaTheme="minorEastAsia" w:cstheme="minorBidi"/>
                <w:noProof/>
                <w:lang w:val="en-US"/>
              </w:rPr>
              <w:tab/>
            </w:r>
            <w:r w:rsidRPr="006F575C" w:rsidR="00511FAC">
              <w:rPr>
                <w:rStyle w:val="Hyperlink"/>
                <w:b/>
                <w:noProof/>
              </w:rPr>
              <w:t>RESOLUTIE</w:t>
            </w:r>
            <w:r w:rsidR="00511FAC">
              <w:rPr>
                <w:noProof/>
                <w:webHidden/>
              </w:rPr>
              <w:tab/>
            </w:r>
            <w:r w:rsidR="00511FAC">
              <w:rPr>
                <w:noProof/>
                <w:webHidden/>
              </w:rPr>
              <w:fldChar w:fldCharType="begin"/>
            </w:r>
            <w:r w:rsidR="00511FAC">
              <w:rPr>
                <w:noProof/>
                <w:webHidden/>
              </w:rPr>
              <w:instrText xml:space="preserve"> PAGEREF _Toc131175941 \h </w:instrText>
            </w:r>
            <w:r w:rsidR="00511FAC">
              <w:rPr>
                <w:noProof/>
                <w:webHidden/>
              </w:rPr>
            </w:r>
            <w:r w:rsidR="00511FAC">
              <w:rPr>
                <w:noProof/>
                <w:webHidden/>
              </w:rPr>
              <w:fldChar w:fldCharType="separate"/>
            </w:r>
            <w:r w:rsidR="00511FAC">
              <w:rPr>
                <w:noProof/>
                <w:webHidden/>
              </w:rPr>
              <w:t>3</w:t>
            </w:r>
            <w:r w:rsidR="00511FAC">
              <w:rPr>
                <w:noProof/>
                <w:webHidden/>
              </w:rPr>
              <w:fldChar w:fldCharType="end"/>
            </w:r>
          </w:hyperlink>
        </w:p>
        <w:p w:rsidR="00511FAC" w:rsidRDefault="00511FAC" w14:paraId="594734D5" w14:textId="6EA7E3E1">
          <w:pPr>
            <w:pStyle w:val="TOC1"/>
            <w:rPr>
              <w:rFonts w:asciiTheme="minorHAnsi" w:hAnsiTheme="minorHAnsi" w:eastAsiaTheme="minorEastAsia" w:cstheme="minorBidi"/>
              <w:noProof/>
              <w:lang w:val="en-US"/>
            </w:rPr>
          </w:pPr>
          <w:hyperlink w:history="1" w:anchor="_Toc131175942">
            <w:r w:rsidRPr="006F575C">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6F575C">
              <w:rPr>
                <w:rStyle w:val="Hyperlink"/>
                <w:b/>
                <w:noProof/>
              </w:rPr>
              <w:t>ECONOMISCHE EN MONETAIRE UNIE, ECONOMISCHE EN SOCIALE SAMENHANG</w:t>
            </w:r>
            <w:r>
              <w:rPr>
                <w:noProof/>
                <w:webHidden/>
              </w:rPr>
              <w:tab/>
            </w:r>
            <w:r>
              <w:rPr>
                <w:noProof/>
                <w:webHidden/>
              </w:rPr>
              <w:fldChar w:fldCharType="begin"/>
            </w:r>
            <w:r>
              <w:rPr>
                <w:noProof/>
                <w:webHidden/>
              </w:rPr>
              <w:instrText xml:space="preserve"> PAGEREF _Toc131175942 \h </w:instrText>
            </w:r>
            <w:r>
              <w:rPr>
                <w:noProof/>
                <w:webHidden/>
              </w:rPr>
            </w:r>
            <w:r>
              <w:rPr>
                <w:noProof/>
                <w:webHidden/>
              </w:rPr>
              <w:fldChar w:fldCharType="separate"/>
            </w:r>
            <w:r>
              <w:rPr>
                <w:noProof/>
                <w:webHidden/>
              </w:rPr>
              <w:t>4</w:t>
            </w:r>
            <w:r>
              <w:rPr>
                <w:noProof/>
                <w:webHidden/>
              </w:rPr>
              <w:fldChar w:fldCharType="end"/>
            </w:r>
          </w:hyperlink>
        </w:p>
        <w:p w:rsidR="00511FAC" w:rsidRDefault="00511FAC" w14:paraId="1BC2AA92" w14:textId="500B4621">
          <w:pPr>
            <w:pStyle w:val="TOC1"/>
            <w:rPr>
              <w:rFonts w:asciiTheme="minorHAnsi" w:hAnsiTheme="minorHAnsi" w:eastAsiaTheme="minorEastAsia" w:cstheme="minorBidi"/>
              <w:noProof/>
              <w:lang w:val="en-US"/>
            </w:rPr>
          </w:pPr>
          <w:hyperlink w:history="1" w:anchor="_Toc131175943">
            <w:r w:rsidRPr="006F575C">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6F575C">
              <w:rPr>
                <w:rStyle w:val="Hyperlink"/>
                <w:b/>
                <w:noProof/>
              </w:rPr>
              <w:t>WERKGELEGENHEID, SOCIALE ZAKEN EN BURGERSCHAP</w:t>
            </w:r>
            <w:r>
              <w:rPr>
                <w:noProof/>
                <w:webHidden/>
              </w:rPr>
              <w:tab/>
            </w:r>
            <w:r>
              <w:rPr>
                <w:noProof/>
                <w:webHidden/>
              </w:rPr>
              <w:fldChar w:fldCharType="begin"/>
            </w:r>
            <w:r>
              <w:rPr>
                <w:noProof/>
                <w:webHidden/>
              </w:rPr>
              <w:instrText xml:space="preserve"> PAGEREF _Toc131175943 \h </w:instrText>
            </w:r>
            <w:r>
              <w:rPr>
                <w:noProof/>
                <w:webHidden/>
              </w:rPr>
            </w:r>
            <w:r>
              <w:rPr>
                <w:noProof/>
                <w:webHidden/>
              </w:rPr>
              <w:fldChar w:fldCharType="separate"/>
            </w:r>
            <w:r>
              <w:rPr>
                <w:noProof/>
                <w:webHidden/>
              </w:rPr>
              <w:t>7</w:t>
            </w:r>
            <w:r>
              <w:rPr>
                <w:noProof/>
                <w:webHidden/>
              </w:rPr>
              <w:fldChar w:fldCharType="end"/>
            </w:r>
          </w:hyperlink>
        </w:p>
        <w:p w:rsidR="00511FAC" w:rsidRDefault="00511FAC" w14:paraId="161658B1" w14:textId="65644FEB">
          <w:pPr>
            <w:pStyle w:val="TOC1"/>
            <w:rPr>
              <w:rFonts w:asciiTheme="minorHAnsi" w:hAnsiTheme="minorHAnsi" w:eastAsiaTheme="minorEastAsia" w:cstheme="minorBidi"/>
              <w:noProof/>
              <w:lang w:val="en-US"/>
            </w:rPr>
          </w:pPr>
          <w:hyperlink w:history="1" w:anchor="_Toc131175944">
            <w:r w:rsidRPr="006F575C">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6F575C">
              <w:rPr>
                <w:rStyle w:val="Hyperlink"/>
                <w:b/>
                <w:noProof/>
              </w:rPr>
              <w:t>INTERNE MARKT, PRODUCTIE EN CONSUMPTIE</w:t>
            </w:r>
            <w:r>
              <w:rPr>
                <w:noProof/>
                <w:webHidden/>
              </w:rPr>
              <w:tab/>
            </w:r>
            <w:r>
              <w:rPr>
                <w:noProof/>
                <w:webHidden/>
              </w:rPr>
              <w:fldChar w:fldCharType="begin"/>
            </w:r>
            <w:r>
              <w:rPr>
                <w:noProof/>
                <w:webHidden/>
              </w:rPr>
              <w:instrText xml:space="preserve"> PAGEREF _Toc131175944 \h </w:instrText>
            </w:r>
            <w:r>
              <w:rPr>
                <w:noProof/>
                <w:webHidden/>
              </w:rPr>
            </w:r>
            <w:r>
              <w:rPr>
                <w:noProof/>
                <w:webHidden/>
              </w:rPr>
              <w:fldChar w:fldCharType="separate"/>
            </w:r>
            <w:r>
              <w:rPr>
                <w:noProof/>
                <w:webHidden/>
              </w:rPr>
              <w:t>12</w:t>
            </w:r>
            <w:r>
              <w:rPr>
                <w:noProof/>
                <w:webHidden/>
              </w:rPr>
              <w:fldChar w:fldCharType="end"/>
            </w:r>
          </w:hyperlink>
        </w:p>
        <w:p w:rsidR="00511FAC" w:rsidRDefault="00511FAC" w14:paraId="725533DF" w14:textId="723E2254">
          <w:pPr>
            <w:pStyle w:val="TOC1"/>
            <w:rPr>
              <w:rFonts w:asciiTheme="minorHAnsi" w:hAnsiTheme="minorHAnsi" w:eastAsiaTheme="minorEastAsia" w:cstheme="minorBidi"/>
              <w:noProof/>
              <w:lang w:val="en-US"/>
            </w:rPr>
          </w:pPr>
          <w:hyperlink w:history="1" w:anchor="_Toc131175945">
            <w:r w:rsidRPr="006F575C">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6F575C">
              <w:rPr>
                <w:rStyle w:val="Hyperlink"/>
                <w:b/>
                <w:noProof/>
              </w:rPr>
              <w:t>LANDBOUW, PLATTELANDSONTWIKKELING EN MILIEU</w:t>
            </w:r>
            <w:r>
              <w:rPr>
                <w:noProof/>
                <w:webHidden/>
              </w:rPr>
              <w:tab/>
            </w:r>
            <w:r>
              <w:rPr>
                <w:noProof/>
                <w:webHidden/>
              </w:rPr>
              <w:fldChar w:fldCharType="begin"/>
            </w:r>
            <w:r>
              <w:rPr>
                <w:noProof/>
                <w:webHidden/>
              </w:rPr>
              <w:instrText xml:space="preserve"> PAGEREF _Toc131175945 \h </w:instrText>
            </w:r>
            <w:r>
              <w:rPr>
                <w:noProof/>
                <w:webHidden/>
              </w:rPr>
            </w:r>
            <w:r>
              <w:rPr>
                <w:noProof/>
                <w:webHidden/>
              </w:rPr>
              <w:fldChar w:fldCharType="separate"/>
            </w:r>
            <w:r>
              <w:rPr>
                <w:noProof/>
                <w:webHidden/>
              </w:rPr>
              <w:t>17</w:t>
            </w:r>
            <w:r>
              <w:rPr>
                <w:noProof/>
                <w:webHidden/>
              </w:rPr>
              <w:fldChar w:fldCharType="end"/>
            </w:r>
          </w:hyperlink>
        </w:p>
        <w:p w:rsidR="00511FAC" w:rsidRDefault="00511FAC" w14:paraId="49B3ED58" w14:textId="541C5484">
          <w:pPr>
            <w:pStyle w:val="TOC1"/>
            <w:rPr>
              <w:rFonts w:asciiTheme="minorHAnsi" w:hAnsiTheme="minorHAnsi" w:eastAsiaTheme="minorEastAsia" w:cstheme="minorBidi"/>
              <w:noProof/>
              <w:lang w:val="en-US"/>
            </w:rPr>
          </w:pPr>
          <w:hyperlink w:history="1" w:anchor="_Toc131175946">
            <w:r w:rsidRPr="006F575C">
              <w:rPr>
                <w:rStyle w:val="Hyperlink"/>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US"/>
              </w:rPr>
              <w:tab/>
            </w:r>
            <w:r w:rsidRPr="006F575C">
              <w:rPr>
                <w:rStyle w:val="Hyperlink"/>
                <w:b/>
                <w:noProof/>
              </w:rPr>
              <w:t>EXTERNE BETREKKINGEN</w:t>
            </w:r>
            <w:r>
              <w:rPr>
                <w:noProof/>
                <w:webHidden/>
              </w:rPr>
              <w:tab/>
            </w:r>
            <w:r>
              <w:rPr>
                <w:noProof/>
                <w:webHidden/>
              </w:rPr>
              <w:fldChar w:fldCharType="begin"/>
            </w:r>
            <w:r>
              <w:rPr>
                <w:noProof/>
                <w:webHidden/>
              </w:rPr>
              <w:instrText xml:space="preserve"> PAGEREF _Toc131175946 \h </w:instrText>
            </w:r>
            <w:r>
              <w:rPr>
                <w:noProof/>
                <w:webHidden/>
              </w:rPr>
            </w:r>
            <w:r>
              <w:rPr>
                <w:noProof/>
                <w:webHidden/>
              </w:rPr>
              <w:fldChar w:fldCharType="separate"/>
            </w:r>
            <w:r>
              <w:rPr>
                <w:noProof/>
                <w:webHidden/>
              </w:rPr>
              <w:t>21</w:t>
            </w:r>
            <w:r>
              <w:rPr>
                <w:noProof/>
                <w:webHidden/>
              </w:rPr>
              <w:fldChar w:fldCharType="end"/>
            </w:r>
          </w:hyperlink>
        </w:p>
        <w:p w:rsidR="00511FAC" w:rsidRDefault="00511FAC" w14:paraId="16A52236" w14:textId="71D37DF5">
          <w:pPr>
            <w:pStyle w:val="TOC1"/>
            <w:rPr>
              <w:rFonts w:asciiTheme="minorHAnsi" w:hAnsiTheme="minorHAnsi" w:eastAsiaTheme="minorEastAsia" w:cstheme="minorBidi"/>
              <w:noProof/>
              <w:lang w:val="en-US"/>
            </w:rPr>
          </w:pPr>
          <w:hyperlink w:history="1" w:anchor="_Toc131175947">
            <w:r w:rsidRPr="006F575C">
              <w:rPr>
                <w:rStyle w:val="Hyperlink"/>
                <w:noProof/>
                <w14:scene3d>
                  <w14:camera w14:prst="orthographicFront"/>
                  <w14:lightRig w14:rig="threePt" w14:dir="t">
                    <w14:rot w14:lat="0" w14:lon="0" w14:rev="0"/>
                  </w14:lightRig>
                </w14:scene3d>
              </w:rPr>
              <w:t>7.</w:t>
            </w:r>
            <w:r>
              <w:rPr>
                <w:rFonts w:asciiTheme="minorHAnsi" w:hAnsiTheme="minorHAnsi" w:eastAsiaTheme="minorEastAsia" w:cstheme="minorBidi"/>
                <w:noProof/>
                <w:lang w:val="en-US"/>
              </w:rPr>
              <w:tab/>
            </w:r>
            <w:r w:rsidRPr="006F575C">
              <w:rPr>
                <w:rStyle w:val="Hyperlink"/>
                <w:b/>
                <w:noProof/>
              </w:rPr>
              <w:t>VERVOER, ENERGIE, INFRASTRUCTUUR EN INFORMATIEMAATSCHAPPIJ</w:t>
            </w:r>
            <w:r>
              <w:rPr>
                <w:noProof/>
                <w:webHidden/>
              </w:rPr>
              <w:tab/>
            </w:r>
            <w:r>
              <w:rPr>
                <w:noProof/>
                <w:webHidden/>
              </w:rPr>
              <w:fldChar w:fldCharType="begin"/>
            </w:r>
            <w:r>
              <w:rPr>
                <w:noProof/>
                <w:webHidden/>
              </w:rPr>
              <w:instrText xml:space="preserve"> PAGEREF _Toc131175947 \h </w:instrText>
            </w:r>
            <w:r>
              <w:rPr>
                <w:noProof/>
                <w:webHidden/>
              </w:rPr>
            </w:r>
            <w:r>
              <w:rPr>
                <w:noProof/>
                <w:webHidden/>
              </w:rPr>
              <w:fldChar w:fldCharType="separate"/>
            </w:r>
            <w:r>
              <w:rPr>
                <w:noProof/>
                <w:webHidden/>
              </w:rPr>
              <w:t>22</w:t>
            </w:r>
            <w:r>
              <w:rPr>
                <w:noProof/>
                <w:webHidden/>
              </w:rPr>
              <w:fldChar w:fldCharType="end"/>
            </w:r>
          </w:hyperlink>
        </w:p>
        <w:p w:rsidR="001E6413" w:rsidRDefault="001E6413" w14:paraId="684BFB9B" w14:textId="581E31E8">
          <w:r>
            <w:rPr>
              <w:b/>
            </w:rPr>
            <w:fldChar w:fldCharType="end"/>
          </w:r>
        </w:p>
      </w:sdtContent>
    </w:sdt>
    <w:p w:rsidRPr="009B70E7" w:rsidR="004D7AC0" w:rsidRDefault="004D7AC0" w14:paraId="4600634B" w14:textId="77777777"/>
    <w:p w:rsidRPr="009B70E7" w:rsidR="004D7AC0" w:rsidP="001A7476" w:rsidRDefault="004D7AC0" w14:paraId="68489C47" w14:textId="2FCA526B">
      <w:pPr>
        <w:pStyle w:val="Heading1"/>
        <w:numPr>
          <w:ilvl w:val="0"/>
          <w:numId w:val="0"/>
        </w:numPr>
      </w:pPr>
      <w:r>
        <w:br w:type="page"/>
      </w:r>
    </w:p>
    <w:p w:rsidRPr="00F359DE" w:rsidR="00AF10D4" w:rsidP="00AF10D4" w:rsidRDefault="001865D3" w14:paraId="71FFFFE7" w14:textId="1E1A03F9">
      <w:pPr>
        <w:pStyle w:val="Heading1"/>
        <w:rPr>
          <w:b/>
        </w:rPr>
      </w:pPr>
      <w:bookmarkStart w:name="_Toc131175941" w:id="0"/>
      <w:r>
        <w:rPr>
          <w:b/>
        </w:rPr>
        <w:lastRenderedPageBreak/>
        <w:t>RESOLUTIE</w:t>
      </w:r>
      <w:bookmarkEnd w:id="0"/>
    </w:p>
    <w:p w:rsidRPr="00F359DE" w:rsidR="00AF10D4" w:rsidP="00AF10D4" w:rsidRDefault="00AF10D4" w14:paraId="67172785" w14:textId="77777777"/>
    <w:p w:rsidRPr="00F359DE" w:rsidR="00AF10D4" w:rsidP="00AF10D4" w:rsidRDefault="00F359DE" w14:paraId="4D8765DB" w14:textId="3110EF1A">
      <w:pPr>
        <w:numPr>
          <w:ilvl w:val="0"/>
          <w:numId w:val="5"/>
        </w:numPr>
        <w:overflowPunct w:val="0"/>
        <w:autoSpaceDE w:val="0"/>
        <w:autoSpaceDN w:val="0"/>
        <w:adjustRightInd w:val="0"/>
        <w:ind w:left="567" w:hanging="567"/>
        <w:textAlignment w:val="baseline"/>
        <w:rPr>
          <w:b/>
          <w:bCs/>
          <w:i/>
          <w:iCs/>
          <w:sz w:val="28"/>
          <w:szCs w:val="28"/>
        </w:rPr>
      </w:pPr>
      <w:r>
        <w:rPr>
          <w:b/>
          <w:i/>
          <w:sz w:val="28"/>
        </w:rPr>
        <w:t>Verenigd voor de democratie</w:t>
      </w:r>
    </w:p>
    <w:p w:rsidRPr="00AA6795" w:rsidR="00066DC7" w:rsidP="00066DC7" w:rsidRDefault="00066DC7" w14:paraId="1310AFED" w14:textId="77777777">
      <w:pPr>
        <w:overflowPunct w:val="0"/>
        <w:autoSpaceDE w:val="0"/>
        <w:autoSpaceDN w:val="0"/>
        <w:adjustRightInd w:val="0"/>
        <w:textAlignment w:val="baseline"/>
        <w:rPr>
          <w:b/>
          <w:bCs/>
          <w:i/>
          <w:iCs/>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325"/>
        <w:gridCol w:w="6294"/>
      </w:tblGrid>
      <w:tr w:rsidRPr="00AA6795" w:rsidR="00ED20B6" w:rsidTr="00133EE7" w14:paraId="5BF03940" w14:textId="77777777">
        <w:tc>
          <w:tcPr>
            <w:tcW w:w="2325" w:type="dxa"/>
          </w:tcPr>
          <w:p w:rsidRPr="00F359DE" w:rsidR="00ED20B6" w:rsidP="00726054" w:rsidRDefault="00ED20B6" w14:paraId="0FC25C98" w14:textId="50507553">
            <w:pPr>
              <w:pStyle w:val="ListParagraph"/>
              <w:spacing w:line="240" w:lineRule="auto"/>
              <w:ind w:left="-142" w:firstLine="142"/>
              <w:rPr>
                <w:b/>
              </w:rPr>
            </w:pPr>
            <w:bookmarkStart w:name="_Hlk128565405" w:id="1"/>
            <w:r>
              <w:rPr>
                <w:b/>
              </w:rPr>
              <w:t>Rapporteurs</w:t>
            </w:r>
          </w:p>
          <w:p w:rsidRPr="00F359DE" w:rsidR="00ED20B6" w:rsidP="00896F71" w:rsidRDefault="00ED20B6" w14:paraId="2E66DB4F" w14:textId="5E9E1214">
            <w:pPr>
              <w:pStyle w:val="ListParagraph"/>
              <w:ind w:left="0" w:right="-55"/>
              <w:rPr>
                <w:b/>
              </w:rPr>
            </w:pPr>
          </w:p>
        </w:tc>
        <w:tc>
          <w:tcPr>
            <w:tcW w:w="6294" w:type="dxa"/>
          </w:tcPr>
          <w:p w:rsidRPr="00F359DE" w:rsidR="00896F71" w:rsidP="00896F71" w:rsidRDefault="00896F71" w14:paraId="39FCEC1A" w14:textId="3E3006CE">
            <w:pPr>
              <w:pStyle w:val="ListParagraph"/>
              <w:ind w:left="-60" w:right="-55"/>
            </w:pPr>
            <w:proofErr w:type="spellStart"/>
            <w:r>
              <w:t>Stefano</w:t>
            </w:r>
            <w:proofErr w:type="spellEnd"/>
            <w:r>
              <w:t xml:space="preserve"> MALLIA (groep Werkgevers – MT)</w:t>
            </w:r>
          </w:p>
          <w:p w:rsidRPr="00F359DE" w:rsidR="00896F71" w:rsidP="00896F71" w:rsidRDefault="00896F71" w14:paraId="39E8F5CB" w14:textId="322D4A40">
            <w:pPr>
              <w:pStyle w:val="ListParagraph"/>
              <w:ind w:left="-60" w:right="-55"/>
            </w:pPr>
            <w:r>
              <w:t>Oliver RÖPKE (groep Werknemers – AT)</w:t>
            </w:r>
          </w:p>
          <w:p w:rsidR="003D4576" w:rsidRDefault="00896F71" w14:paraId="5317DF38" w14:textId="77777777">
            <w:pPr>
              <w:pStyle w:val="ListParagraph"/>
              <w:ind w:left="-60" w:right="-55"/>
            </w:pPr>
            <w:r>
              <w:t>Séamus BOLAND (groep Maatschappelijke Organisaties – IE)</w:t>
            </w:r>
          </w:p>
          <w:p w:rsidRPr="00F359DE" w:rsidR="00F359DE" w:rsidRDefault="00F359DE" w14:paraId="3AF81FFE" w14:textId="57B197C2">
            <w:pPr>
              <w:pStyle w:val="ListParagraph"/>
              <w:ind w:left="-60" w:right="-55"/>
            </w:pPr>
          </w:p>
        </w:tc>
      </w:tr>
      <w:bookmarkEnd w:id="1"/>
      <w:tr w:rsidRPr="00AA6795" w:rsidR="003D4576" w:rsidTr="00133EE7" w14:paraId="4A754698" w14:textId="77777777">
        <w:tc>
          <w:tcPr>
            <w:tcW w:w="2325" w:type="dxa"/>
          </w:tcPr>
          <w:p w:rsidRPr="00F359DE" w:rsidR="003D4576" w:rsidP="00726054" w:rsidRDefault="003D4576" w14:paraId="7EBB8EAC" w14:textId="07341B82">
            <w:pPr>
              <w:pStyle w:val="ListParagraph"/>
              <w:spacing w:line="240" w:lineRule="auto"/>
              <w:ind w:left="-142" w:firstLine="142"/>
              <w:rPr>
                <w:b/>
              </w:rPr>
            </w:pPr>
            <w:r>
              <w:rPr>
                <w:b/>
              </w:rPr>
              <w:t>Referentiedocumenten</w:t>
            </w:r>
          </w:p>
        </w:tc>
        <w:tc>
          <w:tcPr>
            <w:tcW w:w="6294" w:type="dxa"/>
          </w:tcPr>
          <w:p w:rsidRPr="00F359DE" w:rsidR="003D4576" w:rsidRDefault="003D4576" w14:paraId="2637EC69" w14:textId="245D50C5">
            <w:pPr>
              <w:pStyle w:val="ListParagraph"/>
              <w:ind w:left="-61"/>
            </w:pPr>
            <w:r>
              <w:t>EESC-2023-01445-00-00-RES</w:t>
            </w:r>
          </w:p>
        </w:tc>
      </w:tr>
    </w:tbl>
    <w:p w:rsidRPr="00AA6795" w:rsidR="004E0C44" w:rsidP="00ED20B6" w:rsidRDefault="004E0C44" w14:paraId="13EAC25D" w14:textId="77777777">
      <w:pPr>
        <w:pStyle w:val="ListParagraph"/>
        <w:spacing w:line="240" w:lineRule="auto"/>
        <w:ind w:left="0"/>
        <w:rPr>
          <w:b/>
          <w:highlight w:val="yellow"/>
          <w:lang w:val="en-US"/>
        </w:rPr>
      </w:pPr>
    </w:p>
    <w:p w:rsidRPr="00F359DE" w:rsidR="00ED20B6" w:rsidP="00ED20B6" w:rsidRDefault="00ED20B6" w14:paraId="3A21991A" w14:textId="0CB4ECBD">
      <w:pPr>
        <w:pStyle w:val="ListParagraph"/>
        <w:spacing w:line="240" w:lineRule="auto"/>
        <w:ind w:left="0"/>
        <w:rPr>
          <w:b/>
        </w:rPr>
      </w:pPr>
      <w:r>
        <w:rPr>
          <w:b/>
        </w:rPr>
        <w:t>Hoofdpunten</w:t>
      </w:r>
    </w:p>
    <w:p w:rsidRPr="00F359DE" w:rsidR="00ED20B6" w:rsidP="00ED20B6" w:rsidRDefault="00ED20B6" w14:paraId="35FB4154" w14:textId="77777777">
      <w:pPr>
        <w:pStyle w:val="ListParagraph"/>
        <w:spacing w:line="240" w:lineRule="auto"/>
        <w:ind w:left="0"/>
        <w:rPr>
          <w:b/>
          <w:lang w:val="en-US"/>
        </w:rPr>
      </w:pPr>
    </w:p>
    <w:p w:rsidRPr="00F359DE" w:rsidR="00ED20B6" w:rsidP="00ED20B6" w:rsidRDefault="00ED20B6" w14:paraId="030606EA" w14:textId="77777777">
      <w:pPr>
        <w:pStyle w:val="ListParagraph"/>
        <w:spacing w:line="240" w:lineRule="auto"/>
        <w:ind w:left="0"/>
        <w:rPr>
          <w:bCs/>
        </w:rPr>
      </w:pPr>
      <w:r>
        <w:t>Het EESC:</w:t>
      </w:r>
    </w:p>
    <w:p w:rsidRPr="00F359DE" w:rsidR="00ED20B6" w:rsidP="00ED20B6" w:rsidRDefault="00ED20B6" w14:paraId="1943F8DB" w14:textId="77777777">
      <w:pPr>
        <w:pStyle w:val="ListParagraph"/>
        <w:spacing w:line="276" w:lineRule="auto"/>
        <w:ind w:left="0"/>
      </w:pPr>
    </w:p>
    <w:p w:rsidR="00B10582" w:rsidP="00A45B92" w:rsidRDefault="00B10582" w14:paraId="16D7E2F1" w14:textId="77777777">
      <w:pPr>
        <w:pStyle w:val="ListParagraph"/>
        <w:numPr>
          <w:ilvl w:val="0"/>
          <w:numId w:val="3"/>
        </w:numPr>
        <w:spacing w:line="276" w:lineRule="auto"/>
        <w:ind w:left="357" w:hanging="357"/>
      </w:pPr>
      <w:r>
        <w:t>dringt aan op een doeltreffende tenuitvoerlegging van artikel 11 VEU, met inbegrip van een Europese strategie voor het maatschappelijk middenveld en een Europees statuut voor verenigingen, om een echte inclusieve ruimte met meer zeggenschap voor de burgers tot stand te brengen, teneinde hun engagement te hernieuwen en werk te maken van een gestructureerde civiele dialoog tussen de EU-instellingen;</w:t>
      </w:r>
    </w:p>
    <w:p w:rsidRPr="00F359DE" w:rsidR="00ED20B6" w:rsidP="00ED20B6" w:rsidRDefault="00B10582" w14:paraId="5FAEA5BA" w14:textId="3E73A271">
      <w:pPr>
        <w:pStyle w:val="ListParagraph"/>
        <w:numPr>
          <w:ilvl w:val="0"/>
          <w:numId w:val="3"/>
        </w:numPr>
        <w:spacing w:line="276" w:lineRule="auto"/>
        <w:ind w:left="357" w:hanging="357"/>
      </w:pPr>
      <w:r>
        <w:t>benadrukt dat de sleutelrol van het maatschappelijk middenveld en de sociale partners bij de ondersteuning van de overlegdemocratie, als aanvulling op de representatieve democratie, moet worden versterkt, zodat de civiele dialoog in alle lidstaten en op EU-niveau verder wordt aangezwengeld. We moeten samen streven naar een nieuw evenwicht tussen representatieve democratie, participatiedemocratie en directe democratie;</w:t>
      </w:r>
    </w:p>
    <w:p w:rsidR="00066DC7" w:rsidP="00ED20B6" w:rsidRDefault="00B10582" w14:paraId="4C27AEF4" w14:textId="0BDA664A">
      <w:pPr>
        <w:pStyle w:val="ListParagraph"/>
        <w:numPr>
          <w:ilvl w:val="0"/>
          <w:numId w:val="3"/>
        </w:numPr>
        <w:spacing w:line="276" w:lineRule="auto"/>
        <w:ind w:left="357" w:hanging="357"/>
      </w:pPr>
      <w:r>
        <w:t>beklemtoont dat transversale vaardigheden moeten worden ontwikkeld, omdat die de eigenlijke ruggengraat vormen van de participatie- en overlegdemocratie: samenwerking, kritisch en probleemoplossend denken, democratisch en collectief beheer, oplossen van geschillen, burgereducatie en mediageletterdheid;</w:t>
      </w:r>
    </w:p>
    <w:p w:rsidR="00B10582" w:rsidP="00ED20B6" w:rsidRDefault="00B10582" w14:paraId="5492D8E2" w14:textId="4BAD3086">
      <w:pPr>
        <w:pStyle w:val="ListParagraph"/>
        <w:numPr>
          <w:ilvl w:val="0"/>
          <w:numId w:val="3"/>
        </w:numPr>
        <w:spacing w:line="276" w:lineRule="auto"/>
        <w:ind w:left="357" w:hanging="357"/>
      </w:pPr>
      <w:r>
        <w:t>herhaalt dat het bereid is op te treden als een belangrijk knooppunt voor de burgers en het maatschappelijk middenveld, met inbegrip van toekomstige burgerpanels, om zo het effect van de lopende, door de Europese Commissie en andere instellingen georganiseerde burgerraadplegingen te vergroten en systematisch feedback van het Europese maatschappelijk middenveld te verzamelen over alle belangrijke prioriteiten en beleidsmaatregelen van de Europese politieke agenda;</w:t>
      </w:r>
    </w:p>
    <w:p w:rsidRPr="00B10582" w:rsidR="00B10582" w:rsidP="00B10582" w:rsidRDefault="00B10582" w14:paraId="76097810" w14:textId="77777777">
      <w:pPr>
        <w:pStyle w:val="ListParagraph"/>
        <w:numPr>
          <w:ilvl w:val="0"/>
          <w:numId w:val="3"/>
        </w:numPr>
        <w:spacing w:line="276" w:lineRule="auto"/>
        <w:ind w:left="357" w:hanging="357"/>
      </w:pPr>
      <w:r>
        <w:t>bekrachtigt zijn bereidheid om te helpen bij de verdere ontwikkeling van instrumenten ter bevordering van de participatie- en overlegdemocratie, zoals het Europees burgerinitiatief en online openbare EU-raadplegingen;</w:t>
      </w:r>
    </w:p>
    <w:p w:rsidR="00B10582" w:rsidP="00B10582" w:rsidRDefault="00B10582" w14:paraId="45CCCA5E" w14:textId="77777777">
      <w:pPr>
        <w:pStyle w:val="ListParagraph"/>
        <w:numPr>
          <w:ilvl w:val="0"/>
          <w:numId w:val="3"/>
        </w:numPr>
        <w:spacing w:line="276" w:lineRule="auto"/>
        <w:ind w:left="357" w:hanging="357"/>
      </w:pPr>
      <w:r>
        <w:t>benadrukt het belang van de Europese verkiezingen van 2024 en van de cruciale rol van maatschappelijke organisaties, die mensen kunnen aanmoedigen om deel te nemen aan de verkiezingen en pro-Europese gevoelens kunnen aanwakkeren; bovendien kunnen zij het percentage niet-stemmers terugdringen en desinformatie tegengaan. In dit verband is de betrokkenheid van jongeren en jongerenorganisaties even belangrijk om nieuwe kiezers en jonge kiezers te mobiliseren.</w:t>
      </w:r>
    </w:p>
    <w:p w:rsidRPr="00F359DE" w:rsidR="00ED20B6" w:rsidP="00ED20B6" w:rsidRDefault="00ED20B6" w14:paraId="73AC89C3"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F359DE" w:rsidR="00ED20B6" w:rsidTr="00726054" w14:paraId="1AA9E8CA" w14:textId="77777777">
        <w:tc>
          <w:tcPr>
            <w:tcW w:w="1418" w:type="dxa"/>
          </w:tcPr>
          <w:p w:rsidRPr="00B10582" w:rsidR="00ED20B6" w:rsidP="00726054" w:rsidRDefault="00ED20B6" w14:paraId="3D2DFC65" w14:textId="77777777">
            <w:pPr>
              <w:pStyle w:val="ListParagraph"/>
              <w:spacing w:line="276" w:lineRule="auto"/>
              <w:ind w:left="0"/>
              <w:rPr>
                <w:i/>
              </w:rPr>
            </w:pPr>
            <w:r>
              <w:rPr>
                <w:b/>
                <w:i/>
              </w:rPr>
              <w:t>Contactpersoon</w:t>
            </w:r>
          </w:p>
        </w:tc>
        <w:tc>
          <w:tcPr>
            <w:tcW w:w="5670" w:type="dxa"/>
          </w:tcPr>
          <w:p w:rsidRPr="00B10582" w:rsidR="00ED20B6" w:rsidP="00726054" w:rsidRDefault="00B10582" w14:paraId="28388097" w14:textId="6A94BA7A">
            <w:pPr>
              <w:pStyle w:val="ListParagraph"/>
              <w:spacing w:line="276" w:lineRule="auto"/>
              <w:ind w:left="0"/>
              <w:rPr>
                <w:i/>
              </w:rPr>
            </w:pPr>
            <w:r>
              <w:rPr>
                <w:i/>
              </w:rPr>
              <w:t>Janine Borg</w:t>
            </w:r>
          </w:p>
        </w:tc>
      </w:tr>
      <w:tr w:rsidRPr="00F359DE" w:rsidR="00ED20B6" w:rsidTr="00726054" w14:paraId="0BD1509F" w14:textId="77777777">
        <w:tc>
          <w:tcPr>
            <w:tcW w:w="1418" w:type="dxa"/>
          </w:tcPr>
          <w:p w:rsidRPr="00B10582" w:rsidR="00ED20B6" w:rsidP="00726054" w:rsidRDefault="00ED20B6" w14:paraId="03544F40" w14:textId="77777777">
            <w:pPr>
              <w:pStyle w:val="ListParagraph"/>
              <w:spacing w:line="276" w:lineRule="auto"/>
              <w:ind w:left="601"/>
              <w:rPr>
                <w:i/>
              </w:rPr>
            </w:pPr>
            <w:r>
              <w:rPr>
                <w:i/>
              </w:rPr>
              <w:t>Tel.</w:t>
            </w:r>
          </w:p>
        </w:tc>
        <w:tc>
          <w:tcPr>
            <w:tcW w:w="5670" w:type="dxa"/>
          </w:tcPr>
          <w:p w:rsidRPr="00B10582" w:rsidR="00ED20B6" w:rsidP="00726054" w:rsidRDefault="00ED20B6" w14:paraId="5470F0C3" w14:textId="7F0B6928">
            <w:pPr>
              <w:pStyle w:val="ListParagraph"/>
              <w:spacing w:line="276" w:lineRule="auto"/>
              <w:ind w:left="0"/>
              <w:rPr>
                <w:i/>
              </w:rPr>
            </w:pPr>
            <w:r>
              <w:rPr>
                <w:i/>
              </w:rPr>
              <w:t>00 32 2 546 88 79</w:t>
            </w:r>
          </w:p>
        </w:tc>
      </w:tr>
      <w:tr w:rsidRPr="009B70E7" w:rsidR="00ED20B6" w:rsidTr="00726054" w14:paraId="4EA8BB4C" w14:textId="77777777">
        <w:tc>
          <w:tcPr>
            <w:tcW w:w="1418" w:type="dxa"/>
          </w:tcPr>
          <w:p w:rsidRPr="00B10582" w:rsidR="00ED20B6" w:rsidP="00726054" w:rsidRDefault="00ED20B6" w14:paraId="780E9DD4" w14:textId="77777777">
            <w:pPr>
              <w:pStyle w:val="ListParagraph"/>
              <w:spacing w:line="276" w:lineRule="auto"/>
              <w:ind w:left="601"/>
              <w:rPr>
                <w:i/>
              </w:rPr>
            </w:pPr>
            <w:r>
              <w:rPr>
                <w:i/>
              </w:rPr>
              <w:t>E-mail</w:t>
            </w:r>
          </w:p>
        </w:tc>
        <w:tc>
          <w:tcPr>
            <w:tcW w:w="5670" w:type="dxa"/>
          </w:tcPr>
          <w:p w:rsidRPr="00B10582" w:rsidR="00ED20B6" w:rsidP="00726054" w:rsidRDefault="00B10582" w14:paraId="63C9C573" w14:textId="29405092">
            <w:pPr>
              <w:pStyle w:val="ListParagraph"/>
              <w:spacing w:line="276" w:lineRule="auto"/>
              <w:ind w:left="0"/>
              <w:rPr>
                <w:i/>
                <w:iCs/>
              </w:rPr>
            </w:pPr>
            <w:r>
              <w:rPr>
                <w:i/>
                <w:color w:val="0000FF"/>
                <w:u w:val="single"/>
              </w:rPr>
              <w:t>Janine.Borg@eesc.europa.eu</w:t>
            </w:r>
          </w:p>
        </w:tc>
      </w:tr>
    </w:tbl>
    <w:p w:rsidRPr="00133EE7" w:rsidR="004E0C44" w:rsidP="00B81D0F" w:rsidRDefault="004E0C44" w14:paraId="76599D2B" w14:textId="64402C20">
      <w:pPr>
        <w:spacing w:after="160" w:line="259" w:lineRule="auto"/>
        <w:jc w:val="left"/>
      </w:pPr>
    </w:p>
    <w:p w:rsidRPr="00133EE7" w:rsidR="004E0C44" w:rsidRDefault="004E0C44" w14:paraId="0CE9AE21" w14:textId="77777777">
      <w:pPr>
        <w:spacing w:after="160" w:line="259" w:lineRule="auto"/>
        <w:jc w:val="left"/>
        <w:rPr>
          <w:b/>
          <w:bCs/>
          <w:i/>
          <w:iCs/>
        </w:rPr>
      </w:pPr>
      <w:r w:rsidRPr="00133EE7">
        <w:rPr>
          <w:sz w:val="18"/>
          <w:szCs w:val="18"/>
        </w:rPr>
        <w:br w:type="page"/>
      </w:r>
    </w:p>
    <w:p w:rsidRPr="00D13F40" w:rsidR="004D7AC0" w:rsidP="00D13F40" w:rsidRDefault="004D7AC0" w14:paraId="1E329F25" w14:textId="0F2BD6D1">
      <w:pPr>
        <w:pStyle w:val="Heading1"/>
        <w:rPr>
          <w:b/>
        </w:rPr>
      </w:pPr>
      <w:bookmarkStart w:name="_Toc131175942" w:id="2"/>
      <w:r>
        <w:rPr>
          <w:b/>
        </w:rPr>
        <w:lastRenderedPageBreak/>
        <w:t>ECONOMISCHE EN MONETAIRE UNIE, ECONOMISCHE EN SOCIALE SAMENHANG</w:t>
      </w:r>
      <w:bookmarkEnd w:id="2"/>
    </w:p>
    <w:p w:rsidR="00662436" w:rsidP="0018231C" w:rsidRDefault="00662436" w14:paraId="1710091D" w14:textId="77777777">
      <w:pPr>
        <w:spacing w:line="240" w:lineRule="auto"/>
      </w:pPr>
    </w:p>
    <w:p w:rsidRPr="00017B56" w:rsidR="00640656" w:rsidP="001760E9" w:rsidRDefault="00B9707A" w14:paraId="228D42E4" w14:textId="7E17C9F5">
      <w:pPr>
        <w:numPr>
          <w:ilvl w:val="0"/>
          <w:numId w:val="5"/>
        </w:numPr>
        <w:overflowPunct w:val="0"/>
        <w:autoSpaceDE w:val="0"/>
        <w:autoSpaceDN w:val="0"/>
        <w:adjustRightInd w:val="0"/>
        <w:ind w:left="567" w:hanging="567"/>
        <w:textAlignment w:val="baseline"/>
        <w:rPr>
          <w:rStyle w:val="Hyperlink"/>
          <w:color w:val="auto"/>
          <w:spacing w:val="-2"/>
          <w:u w:val="none"/>
        </w:rPr>
      </w:pPr>
      <w:bookmarkStart w:name="_Hlk130215109" w:id="3"/>
      <w:r>
        <w:rPr>
          <w:b/>
          <w:i/>
          <w:sz w:val="28"/>
        </w:rPr>
        <w:t>Herziening van de verordening Europese marktinfrastructuur</w:t>
      </w:r>
    </w:p>
    <w:p w:rsidRPr="00017B56" w:rsidR="00017B56" w:rsidP="001760E9" w:rsidRDefault="00017B56" w14:paraId="6939C94A" w14:textId="77777777">
      <w:pPr>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5755"/>
      </w:tblGrid>
      <w:tr w:rsidRPr="00627B8F" w:rsidR="00640656" w:rsidTr="00133EE7" w14:paraId="17A96696" w14:textId="77777777">
        <w:tc>
          <w:tcPr>
            <w:tcW w:w="2467" w:type="dxa"/>
          </w:tcPr>
          <w:p w:rsidR="00DE65D0" w:rsidP="001760E9" w:rsidRDefault="00640656" w14:paraId="543A1C55" w14:textId="0C0A01B9">
            <w:pPr>
              <w:pStyle w:val="ListParagraph"/>
              <w:spacing w:line="240" w:lineRule="auto"/>
              <w:ind w:left="-142" w:firstLine="142"/>
              <w:rPr>
                <w:b/>
              </w:rPr>
            </w:pPr>
            <w:r>
              <w:rPr>
                <w:b/>
              </w:rPr>
              <w:t>Rapporteur</w:t>
            </w:r>
          </w:p>
          <w:p w:rsidRPr="009B70E7" w:rsidR="002E62B0" w:rsidP="001760E9" w:rsidRDefault="002E62B0" w14:paraId="204BF0A8" w14:textId="5D609210">
            <w:pPr>
              <w:pStyle w:val="ListParagraph"/>
              <w:spacing w:line="240" w:lineRule="auto"/>
              <w:ind w:left="-142" w:firstLine="142"/>
              <w:rPr>
                <w:b/>
              </w:rPr>
            </w:pPr>
          </w:p>
        </w:tc>
        <w:tc>
          <w:tcPr>
            <w:tcW w:w="5755" w:type="dxa"/>
          </w:tcPr>
          <w:p w:rsidRPr="00627B8F" w:rsidR="004442D3" w:rsidRDefault="00B9707A" w14:paraId="1C5C2FFB" w14:textId="0070A155">
            <w:pPr>
              <w:pStyle w:val="ListParagraph"/>
              <w:ind w:left="-60" w:right="-55"/>
            </w:pPr>
            <w:r>
              <w:t>Florian MARIN (groep Werknemers – RO)</w:t>
            </w:r>
          </w:p>
        </w:tc>
      </w:tr>
      <w:tr w:rsidRPr="00627B8F" w:rsidR="00640656" w:rsidTr="00133EE7" w14:paraId="3D93C3AA" w14:textId="77777777">
        <w:tc>
          <w:tcPr>
            <w:tcW w:w="2467" w:type="dxa"/>
          </w:tcPr>
          <w:p w:rsidRPr="009B70E7" w:rsidR="00640656" w:rsidP="00804736" w:rsidRDefault="00640656" w14:paraId="33436DCF" w14:textId="78FEC0F2">
            <w:pPr>
              <w:pStyle w:val="ListParagraph"/>
              <w:spacing w:line="240" w:lineRule="auto"/>
              <w:ind w:left="-142" w:firstLine="142"/>
              <w:rPr>
                <w:b/>
              </w:rPr>
            </w:pPr>
            <w:bookmarkStart w:name="_Hlk128728372" w:id="4"/>
            <w:bookmarkStart w:name="_Hlk128728500" w:id="5"/>
            <w:r>
              <w:rPr>
                <w:b/>
              </w:rPr>
              <w:t xml:space="preserve">Referentiedocumenten </w:t>
            </w:r>
            <w:bookmarkEnd w:id="4"/>
          </w:p>
        </w:tc>
        <w:tc>
          <w:tcPr>
            <w:tcW w:w="5755" w:type="dxa"/>
          </w:tcPr>
          <w:p w:rsidRPr="00627B8F" w:rsidR="00640656" w:rsidP="00B83E7B" w:rsidRDefault="00DF3AB4" w14:paraId="3CD87A23" w14:textId="7AE89E79">
            <w:pPr>
              <w:pStyle w:val="ListParagraph"/>
              <w:ind w:left="-61"/>
              <w:rPr>
                <w:bCs/>
              </w:rPr>
            </w:pPr>
            <w:r>
              <w:t xml:space="preserve">COM(2022) 696-697 </w:t>
            </w:r>
            <w:proofErr w:type="spellStart"/>
            <w:r>
              <w:t>final</w:t>
            </w:r>
            <w:proofErr w:type="spellEnd"/>
          </w:p>
          <w:p w:rsidRPr="00627B8F" w:rsidR="00640656" w:rsidP="00B83E7B" w:rsidRDefault="00640656" w14:paraId="57D265AF" w14:textId="261C0D73">
            <w:pPr>
              <w:pStyle w:val="ListParagraph"/>
              <w:ind w:left="-61"/>
            </w:pPr>
            <w:r>
              <w:t>EESC-2022-05896-00-00-AC</w:t>
            </w:r>
          </w:p>
        </w:tc>
      </w:tr>
      <w:bookmarkEnd w:id="5"/>
    </w:tbl>
    <w:p w:rsidR="001760E9" w:rsidP="00640656" w:rsidRDefault="001760E9" w14:paraId="61A030AB" w14:textId="77777777">
      <w:pPr>
        <w:pStyle w:val="ListParagraph"/>
        <w:spacing w:line="240" w:lineRule="auto"/>
        <w:ind w:left="0"/>
        <w:rPr>
          <w:b/>
          <w:lang w:val="en-US"/>
        </w:rPr>
      </w:pPr>
    </w:p>
    <w:p w:rsidR="00640656" w:rsidP="00640656" w:rsidRDefault="002E62B0" w14:paraId="68C62979" w14:textId="3949DC96">
      <w:pPr>
        <w:pStyle w:val="ListParagraph"/>
        <w:spacing w:line="240" w:lineRule="auto"/>
        <w:ind w:left="0"/>
        <w:rPr>
          <w:b/>
        </w:rPr>
      </w:pPr>
      <w:r>
        <w:rPr>
          <w:b/>
        </w:rPr>
        <w:t>Hoofdpunten</w:t>
      </w:r>
    </w:p>
    <w:p w:rsidR="002E62B0" w:rsidP="00640656" w:rsidRDefault="002E62B0" w14:paraId="60FC1B05" w14:textId="42A58BCC">
      <w:pPr>
        <w:pStyle w:val="ListParagraph"/>
        <w:spacing w:line="240" w:lineRule="auto"/>
        <w:ind w:left="0"/>
        <w:rPr>
          <w:b/>
          <w:lang w:val="en-US"/>
        </w:rPr>
      </w:pPr>
    </w:p>
    <w:p w:rsidR="002E62B0" w:rsidP="00640656" w:rsidRDefault="002E62B0" w14:paraId="63F0EA0C" w14:textId="46EE7710">
      <w:pPr>
        <w:pStyle w:val="ListParagraph"/>
        <w:spacing w:line="240" w:lineRule="auto"/>
        <w:ind w:left="0"/>
        <w:rPr>
          <w:bCs/>
        </w:rPr>
      </w:pPr>
      <w:r>
        <w:t>Het EESC:</w:t>
      </w:r>
    </w:p>
    <w:p w:rsidRPr="002E62B0" w:rsidR="00B9707A" w:rsidP="00640656" w:rsidRDefault="00B9707A" w14:paraId="455A6991" w14:textId="77777777">
      <w:pPr>
        <w:pStyle w:val="ListParagraph"/>
        <w:spacing w:line="240" w:lineRule="auto"/>
        <w:ind w:left="0"/>
        <w:rPr>
          <w:bCs/>
          <w:lang w:val="pt-PT"/>
        </w:rPr>
      </w:pPr>
    </w:p>
    <w:p w:rsidRPr="009B70E7" w:rsidR="00640656" w:rsidP="00640656" w:rsidRDefault="00B9707A" w14:paraId="7319D50D" w14:textId="7215BC87">
      <w:pPr>
        <w:pStyle w:val="ListParagraph"/>
        <w:numPr>
          <w:ilvl w:val="0"/>
          <w:numId w:val="3"/>
        </w:numPr>
        <w:spacing w:line="276" w:lineRule="auto"/>
        <w:ind w:left="357" w:hanging="357"/>
      </w:pPr>
      <w:r>
        <w:t>verwelkomt het voorstel van de Commissie en haar inspanningen omtrent de strategische autonomie van kapitaalmarkten, meer interne clearingcapaciteit en een robuuster clearingstelsel;</w:t>
      </w:r>
    </w:p>
    <w:p w:rsidR="00B9707A" w:rsidP="00B9707A" w:rsidRDefault="00B9707A" w14:paraId="5ED7B377" w14:textId="77777777">
      <w:pPr>
        <w:pStyle w:val="ListParagraph"/>
        <w:numPr>
          <w:ilvl w:val="0"/>
          <w:numId w:val="3"/>
        </w:numPr>
        <w:spacing w:line="276" w:lineRule="auto"/>
        <w:ind w:left="357" w:hanging="357"/>
      </w:pPr>
      <w:r>
        <w:t>verwachtte een duidelijker standpunt over het terugdringen van de blootstelling aan centrale tegenpartijen (</w:t>
      </w:r>
      <w:proofErr w:type="spellStart"/>
      <w:r>
        <w:t>CTP’s</w:t>
      </w:r>
      <w:proofErr w:type="spellEnd"/>
      <w:r>
        <w:t xml:space="preserve">) in het Verenigd Koninkrijk (VK) en meer specifieke regels en stimulansen na de </w:t>
      </w:r>
      <w:proofErr w:type="spellStart"/>
      <w:r>
        <w:t>brexit</w:t>
      </w:r>
      <w:proofErr w:type="spellEnd"/>
      <w:r>
        <w:t>;</w:t>
      </w:r>
    </w:p>
    <w:p w:rsidR="00B9707A" w:rsidP="00B9707A" w:rsidRDefault="00B9707A" w14:paraId="7688D1A6" w14:textId="77777777">
      <w:pPr>
        <w:pStyle w:val="ListParagraph"/>
        <w:numPr>
          <w:ilvl w:val="0"/>
          <w:numId w:val="3"/>
        </w:numPr>
        <w:spacing w:line="276" w:lineRule="auto"/>
        <w:ind w:left="357" w:hanging="357"/>
      </w:pPr>
      <w:r>
        <w:t xml:space="preserve">acht het van cruciaal belang dat er specifieke gegevens over het clearingstelsel van de EU voor alle activaklassen en -volumes beschikbaar zijn. De risicomodellen moeten rekening moeten houden met de sociale, bestuurlijke en milieurisico’s van </w:t>
      </w:r>
      <w:proofErr w:type="spellStart"/>
      <w:r>
        <w:t>CTP’s</w:t>
      </w:r>
      <w:proofErr w:type="spellEnd"/>
      <w:r>
        <w:t>, die alle even belangrijk moeten zijn;</w:t>
      </w:r>
    </w:p>
    <w:p w:rsidR="00B9707A" w:rsidP="00B9707A" w:rsidRDefault="00B9707A" w14:paraId="44DB36D6" w14:textId="5082AB2A">
      <w:pPr>
        <w:pStyle w:val="ListParagraph"/>
        <w:numPr>
          <w:ilvl w:val="0"/>
          <w:numId w:val="3"/>
        </w:numPr>
        <w:spacing w:line="276" w:lineRule="auto"/>
        <w:ind w:left="357" w:hanging="357"/>
      </w:pPr>
      <w:r>
        <w:t>bepleit een uitgebreide evaluatie van de mogelijke extra kosten voor de Europese Autoriteit voor effecten en markten (ESMA) en andere EU-organen om hun uitgebreide rol te vervullen;</w:t>
      </w:r>
    </w:p>
    <w:p w:rsidR="00B9707A" w:rsidP="00B9707A" w:rsidRDefault="00B9707A" w14:paraId="77A27DEE" w14:textId="77777777">
      <w:pPr>
        <w:pStyle w:val="ListParagraph"/>
        <w:numPr>
          <w:ilvl w:val="0"/>
          <w:numId w:val="3"/>
        </w:numPr>
        <w:spacing w:line="276" w:lineRule="auto"/>
        <w:ind w:left="357" w:hanging="357"/>
      </w:pPr>
      <w:r>
        <w:t>acht het teleurstellend dat de Commissie het bestaande clearingkader niet heeft geëvalueerd. De voorgestelde termijn van vijf jaar voor de herziening is te lang;</w:t>
      </w:r>
    </w:p>
    <w:p w:rsidR="00B9707A" w:rsidP="00B9707A" w:rsidRDefault="00B9707A" w14:paraId="6121AF6C" w14:textId="77777777">
      <w:pPr>
        <w:pStyle w:val="ListParagraph"/>
        <w:numPr>
          <w:ilvl w:val="0"/>
          <w:numId w:val="3"/>
        </w:numPr>
        <w:spacing w:line="276" w:lineRule="auto"/>
        <w:ind w:left="357" w:hanging="357"/>
      </w:pPr>
      <w:r>
        <w:t xml:space="preserve">stelt voor dat </w:t>
      </w:r>
      <w:proofErr w:type="spellStart"/>
      <w:r>
        <w:t>CTP’s</w:t>
      </w:r>
      <w:proofErr w:type="spellEnd"/>
      <w:r>
        <w:t xml:space="preserve"> transparant moeten zijn over hun vergoedingen, </w:t>
      </w:r>
      <w:proofErr w:type="spellStart"/>
      <w:r>
        <w:t>margeopvragingen</w:t>
      </w:r>
      <w:proofErr w:type="spellEnd"/>
      <w:r>
        <w:t xml:space="preserve"> en maatregelen tijdens perioden van marktstress om de voorspelbaarheid te verbeteren;</w:t>
      </w:r>
    </w:p>
    <w:p w:rsidR="00B9707A" w:rsidP="00B9707A" w:rsidRDefault="00B9707A" w14:paraId="080780B9" w14:textId="77777777">
      <w:pPr>
        <w:pStyle w:val="ListParagraph"/>
        <w:numPr>
          <w:ilvl w:val="0"/>
          <w:numId w:val="3"/>
        </w:numPr>
        <w:spacing w:line="276" w:lineRule="auto"/>
        <w:ind w:left="357" w:hanging="357"/>
      </w:pPr>
      <w:r>
        <w:t>verzoekt de Commissie de specifieke definitie van de term “dringend” toe te lichten en verzoekt de medewetgevers vast te stellen welke vrijstellingen als “dringende” besluiten worden beschouwd;</w:t>
      </w:r>
    </w:p>
    <w:p w:rsidR="00B9707A" w:rsidP="00B9707A" w:rsidRDefault="00B9707A" w14:paraId="26F89B3B" w14:textId="77777777">
      <w:pPr>
        <w:pStyle w:val="ListParagraph"/>
        <w:numPr>
          <w:ilvl w:val="0"/>
          <w:numId w:val="3"/>
        </w:numPr>
        <w:spacing w:line="276" w:lineRule="auto"/>
        <w:ind w:left="357" w:hanging="357"/>
      </w:pPr>
      <w:r>
        <w:t xml:space="preserve">stelt voor het maatschappelijk middenveld te betrekken bij het krachtens artikel 23 </w:t>
      </w:r>
      <w:proofErr w:type="spellStart"/>
      <w:r>
        <w:t>quater</w:t>
      </w:r>
      <w:proofErr w:type="spellEnd"/>
      <w:r>
        <w:t xml:space="preserve"> ingestelde monitoringmechanisme en het EESC als waarnemer bij het mechanisme voor gezamenlijk toezicht op te nemen;</w:t>
      </w:r>
    </w:p>
    <w:p w:rsidR="00B9707A" w:rsidP="00B9707A" w:rsidRDefault="00B9707A" w14:paraId="48703506" w14:textId="2D97788E">
      <w:pPr>
        <w:pStyle w:val="ListParagraph"/>
        <w:numPr>
          <w:ilvl w:val="0"/>
          <w:numId w:val="3"/>
        </w:numPr>
        <w:spacing w:line="276" w:lineRule="auto"/>
        <w:ind w:left="357" w:hanging="357"/>
      </w:pPr>
      <w:r>
        <w:t>meent dat er meer moet worden gedaan om de tijd te verkorten die nodig is om activiteiten en diensten toe te staan of uit te breiden en om een centrale gegevensbank op te zetten. dringt aan op meer interoperabiliteit, minder administratieve lasten en eenvoudigere toegangsoplossingen.</w:t>
      </w:r>
    </w:p>
    <w:p w:rsidRPr="009B70E7" w:rsidR="00577672" w:rsidP="00577672" w:rsidRDefault="00577672" w14:paraId="6AC42931"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640656" w:rsidTr="00B83E7B" w14:paraId="437B7156" w14:textId="77777777">
        <w:tc>
          <w:tcPr>
            <w:tcW w:w="1418" w:type="dxa"/>
          </w:tcPr>
          <w:p w:rsidRPr="009B70E7" w:rsidR="00640656" w:rsidP="00B83E7B" w:rsidRDefault="00640656" w14:paraId="026D2B53" w14:textId="766A3BDD">
            <w:pPr>
              <w:pStyle w:val="ListParagraph"/>
              <w:spacing w:line="276" w:lineRule="auto"/>
              <w:ind w:left="0"/>
              <w:rPr>
                <w:i/>
              </w:rPr>
            </w:pPr>
            <w:r>
              <w:rPr>
                <w:b/>
                <w:i/>
              </w:rPr>
              <w:t>Contactpersoon</w:t>
            </w:r>
          </w:p>
        </w:tc>
        <w:tc>
          <w:tcPr>
            <w:tcW w:w="5670" w:type="dxa"/>
          </w:tcPr>
          <w:p w:rsidRPr="009B70E7" w:rsidR="00640656" w:rsidP="00B83E7B" w:rsidRDefault="00B9707A" w14:paraId="3123BFA2" w14:textId="603BA447">
            <w:pPr>
              <w:pStyle w:val="ListParagraph"/>
              <w:spacing w:line="276" w:lineRule="auto"/>
              <w:ind w:left="0"/>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9B70E7" w:rsidR="00640656" w:rsidTr="00B83E7B" w14:paraId="13C450E4" w14:textId="77777777">
        <w:tc>
          <w:tcPr>
            <w:tcW w:w="1418" w:type="dxa"/>
          </w:tcPr>
          <w:p w:rsidRPr="009B70E7" w:rsidR="00640656" w:rsidP="00B83E7B" w:rsidRDefault="00640656" w14:paraId="71B7C5A8" w14:textId="64878A30">
            <w:pPr>
              <w:pStyle w:val="ListParagraph"/>
              <w:spacing w:line="276" w:lineRule="auto"/>
              <w:ind w:left="601"/>
              <w:rPr>
                <w:i/>
              </w:rPr>
            </w:pPr>
            <w:r>
              <w:rPr>
                <w:i/>
              </w:rPr>
              <w:t>Tel.</w:t>
            </w:r>
          </w:p>
        </w:tc>
        <w:tc>
          <w:tcPr>
            <w:tcW w:w="5670" w:type="dxa"/>
          </w:tcPr>
          <w:p w:rsidRPr="009B70E7" w:rsidR="00640656" w:rsidP="00B83E7B" w:rsidRDefault="00577672" w14:paraId="3226C0EF" w14:textId="30EB820F">
            <w:pPr>
              <w:pStyle w:val="ListParagraph"/>
              <w:spacing w:line="276" w:lineRule="auto"/>
              <w:ind w:left="0"/>
              <w:rPr>
                <w:i/>
              </w:rPr>
            </w:pPr>
            <w:r>
              <w:rPr>
                <w:i/>
              </w:rPr>
              <w:t>00 32 2 546 92 40</w:t>
            </w:r>
          </w:p>
        </w:tc>
      </w:tr>
      <w:tr w:rsidRPr="009B70E7" w:rsidR="00640656" w:rsidTr="00B83E7B" w14:paraId="1FEA5B3F" w14:textId="77777777">
        <w:tc>
          <w:tcPr>
            <w:tcW w:w="1418" w:type="dxa"/>
          </w:tcPr>
          <w:p w:rsidRPr="009B70E7" w:rsidR="00640656" w:rsidP="00B83E7B" w:rsidRDefault="00640656" w14:paraId="6D5FF9EA" w14:textId="3ECD4BD9">
            <w:pPr>
              <w:pStyle w:val="ListParagraph"/>
              <w:spacing w:line="276" w:lineRule="auto"/>
              <w:ind w:left="601"/>
              <w:rPr>
                <w:i/>
              </w:rPr>
            </w:pPr>
            <w:r>
              <w:rPr>
                <w:i/>
              </w:rPr>
              <w:t>E-mail</w:t>
            </w:r>
          </w:p>
        </w:tc>
        <w:tc>
          <w:tcPr>
            <w:tcW w:w="5670" w:type="dxa"/>
          </w:tcPr>
          <w:p w:rsidRPr="00726054" w:rsidR="002859C4" w:rsidP="001760E9" w:rsidRDefault="002859C4" w14:paraId="160383F7" w14:textId="5507B077">
            <w:pPr>
              <w:pStyle w:val="ListParagraph"/>
              <w:spacing w:line="276" w:lineRule="auto"/>
              <w:ind w:left="0"/>
              <w:rPr>
                <w:i/>
                <w:iCs/>
                <w:color w:val="0000FF"/>
                <w:u w:val="single"/>
              </w:rPr>
            </w:pPr>
            <w:r>
              <w:rPr>
                <w:rStyle w:val="Hyperlink"/>
                <w:i/>
              </w:rPr>
              <w:t>Sergio.LorencioMatallana@eesc.europa.eu</w:t>
            </w:r>
          </w:p>
        </w:tc>
      </w:tr>
      <w:bookmarkEnd w:id="3"/>
    </w:tbl>
    <w:p w:rsidR="00B67EDA" w:rsidRDefault="00B67EDA" w14:paraId="4FFF5C53" w14:textId="455F621A">
      <w:pPr>
        <w:spacing w:after="160" w:line="259" w:lineRule="auto"/>
        <w:jc w:val="left"/>
      </w:pPr>
    </w:p>
    <w:p w:rsidR="00BE40C9" w:rsidRDefault="00BE40C9" w14:paraId="77435EAD" w14:textId="352B45E9">
      <w:pPr>
        <w:spacing w:after="160" w:line="259" w:lineRule="auto"/>
        <w:jc w:val="left"/>
      </w:pPr>
      <w:r>
        <w:br w:type="page"/>
      </w:r>
    </w:p>
    <w:p w:rsidRPr="00FE234C" w:rsidR="004E0C44" w:rsidRDefault="004E0C44" w14:paraId="5825D2C9" w14:textId="77777777">
      <w:pPr>
        <w:spacing w:after="160" w:line="259" w:lineRule="auto"/>
        <w:jc w:val="left"/>
        <w:rPr>
          <w:sz w:val="16"/>
          <w:szCs w:val="16"/>
        </w:rPr>
      </w:pPr>
    </w:p>
    <w:p w:rsidRPr="009B70E7" w:rsidR="00126D3E" w:rsidP="00126D3E" w:rsidRDefault="002859C4" w14:paraId="673A8128" w14:textId="15752161">
      <w:pPr>
        <w:pStyle w:val="ListParagraph"/>
        <w:keepNext/>
        <w:numPr>
          <w:ilvl w:val="0"/>
          <w:numId w:val="2"/>
        </w:numPr>
        <w:ind w:left="567" w:hanging="567"/>
        <w:rPr>
          <w:b/>
          <w:i/>
          <w:sz w:val="28"/>
          <w:szCs w:val="28"/>
        </w:rPr>
      </w:pPr>
      <w:bookmarkStart w:name="_Hlk130221282" w:id="6"/>
      <w:r>
        <w:rPr>
          <w:b/>
          <w:i/>
          <w:sz w:val="28"/>
        </w:rPr>
        <w:t>Administratieve samenwerking op belastinggebied (DAC 8)</w:t>
      </w:r>
    </w:p>
    <w:p w:rsidRPr="009B70E7" w:rsidR="00126D3E" w:rsidP="00126D3E" w:rsidRDefault="00126D3E" w14:paraId="4A79BF7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096"/>
      </w:tblGrid>
      <w:tr w:rsidRPr="009B70E7" w:rsidR="00126D3E" w:rsidTr="00726054" w14:paraId="27DC2D26" w14:textId="77777777">
        <w:trPr>
          <w:cantSplit/>
          <w:trHeight w:val="284" w:hRule="exact"/>
        </w:trPr>
        <w:tc>
          <w:tcPr>
            <w:tcW w:w="1701" w:type="dxa"/>
          </w:tcPr>
          <w:p w:rsidR="00126D3E" w:rsidP="00726054" w:rsidRDefault="00126D3E" w14:paraId="3BB3DDBA" w14:textId="77777777">
            <w:pPr>
              <w:pStyle w:val="ListParagraph"/>
              <w:spacing w:line="240" w:lineRule="auto"/>
              <w:ind w:left="-142" w:firstLine="142"/>
              <w:rPr>
                <w:b/>
              </w:rPr>
            </w:pPr>
            <w:r>
              <w:rPr>
                <w:b/>
              </w:rPr>
              <w:t>Rapporteur</w:t>
            </w:r>
          </w:p>
          <w:p w:rsidRPr="009B70E7" w:rsidR="00126D3E" w:rsidP="00726054" w:rsidRDefault="00126D3E" w14:paraId="7E4DEEB3" w14:textId="77777777">
            <w:pPr>
              <w:pStyle w:val="ListParagraph"/>
              <w:keepNext/>
              <w:ind w:left="0"/>
              <w:rPr>
                <w:b/>
              </w:rPr>
            </w:pPr>
          </w:p>
        </w:tc>
        <w:tc>
          <w:tcPr>
            <w:tcW w:w="6096" w:type="dxa"/>
          </w:tcPr>
          <w:p w:rsidRPr="009B70E7" w:rsidR="00126D3E" w:rsidP="00726054" w:rsidRDefault="002859C4" w14:paraId="0ECB49D5" w14:textId="20EDF9CA">
            <w:pPr>
              <w:pStyle w:val="ListParagraph"/>
              <w:ind w:left="-52"/>
            </w:pPr>
            <w:proofErr w:type="spellStart"/>
            <w:r>
              <w:t>Petru</w:t>
            </w:r>
            <w:proofErr w:type="spellEnd"/>
            <w:r>
              <w:t xml:space="preserve"> DANDEA (groep Werknemers – RO)</w:t>
            </w:r>
          </w:p>
        </w:tc>
      </w:tr>
      <w:tr w:rsidRPr="009B70E7" w:rsidR="00126D3E" w:rsidTr="00726054" w14:paraId="6443033F" w14:textId="77777777">
        <w:trPr>
          <w:cantSplit/>
          <w:trHeight w:val="567" w:hRule="exact"/>
        </w:trPr>
        <w:tc>
          <w:tcPr>
            <w:tcW w:w="1701" w:type="dxa"/>
          </w:tcPr>
          <w:p w:rsidRPr="009B70E7" w:rsidR="00126D3E" w:rsidP="00FC2BE8" w:rsidRDefault="00126D3E" w14:paraId="19A5AD45" w14:textId="065DCB37">
            <w:pPr>
              <w:pStyle w:val="ListParagraph"/>
              <w:ind w:left="0"/>
              <w:rPr>
                <w:b/>
              </w:rPr>
            </w:pPr>
            <w:proofErr w:type="spellStart"/>
            <w:r>
              <w:rPr>
                <w:b/>
              </w:rPr>
              <w:t>Corapporteur</w:t>
            </w:r>
            <w:proofErr w:type="spellEnd"/>
          </w:p>
        </w:tc>
        <w:tc>
          <w:tcPr>
            <w:tcW w:w="6096" w:type="dxa"/>
          </w:tcPr>
          <w:p w:rsidRPr="009B70E7" w:rsidR="00126D3E" w:rsidP="00126D3E" w:rsidRDefault="002859C4" w14:paraId="03F4E006" w14:textId="0347EA83">
            <w:pPr>
              <w:pStyle w:val="ListParagraph"/>
              <w:ind w:left="-52"/>
            </w:pPr>
            <w:r>
              <w:t>Benjamin RIZZO (groep Maatschappelijke Organisaties – MT)</w:t>
            </w:r>
          </w:p>
        </w:tc>
      </w:tr>
      <w:tr w:rsidRPr="00627B8F" w:rsidR="00126D3E" w:rsidTr="00726054" w14:paraId="06E347F6" w14:textId="77777777">
        <w:tc>
          <w:tcPr>
            <w:tcW w:w="1701" w:type="dxa"/>
          </w:tcPr>
          <w:p w:rsidRPr="009B70E7" w:rsidR="00126D3E" w:rsidP="00126D3E" w:rsidRDefault="00126D3E" w14:paraId="79E06325" w14:textId="77777777">
            <w:pPr>
              <w:pStyle w:val="ListParagraph"/>
              <w:ind w:left="0"/>
              <w:rPr>
                <w:b/>
              </w:rPr>
            </w:pPr>
            <w:r>
              <w:rPr>
                <w:b/>
              </w:rPr>
              <w:t xml:space="preserve">Referentiedocumenten </w:t>
            </w:r>
          </w:p>
        </w:tc>
        <w:tc>
          <w:tcPr>
            <w:tcW w:w="6096" w:type="dxa"/>
          </w:tcPr>
          <w:p w:rsidRPr="00E119DF" w:rsidR="00126D3E" w:rsidP="00126D3E" w:rsidRDefault="00126D3E" w14:paraId="30488BC9" w14:textId="491F014A">
            <w:pPr>
              <w:pStyle w:val="ListParagraph"/>
              <w:ind w:left="-52"/>
            </w:pPr>
            <w:r>
              <w:t xml:space="preserve">COM(2022) 707 </w:t>
            </w:r>
            <w:proofErr w:type="spellStart"/>
            <w:r>
              <w:t>final</w:t>
            </w:r>
            <w:proofErr w:type="spellEnd"/>
          </w:p>
          <w:p w:rsidRPr="00E119DF" w:rsidR="00126D3E" w:rsidP="00126D3E" w:rsidRDefault="00126D3E" w14:paraId="6A2775E8" w14:textId="7AD0B64A">
            <w:pPr>
              <w:pStyle w:val="ListParagraph"/>
              <w:ind w:left="-52"/>
            </w:pPr>
            <w:r>
              <w:t>EESC-2022-06314-00-00-AC</w:t>
            </w:r>
          </w:p>
        </w:tc>
      </w:tr>
    </w:tbl>
    <w:p w:rsidR="00126D3E" w:rsidP="00126D3E" w:rsidRDefault="00126D3E" w14:paraId="584C5373" w14:textId="77777777">
      <w:pPr>
        <w:pStyle w:val="ListParagraph"/>
        <w:spacing w:line="240" w:lineRule="auto"/>
        <w:ind w:left="-142" w:firstLine="284"/>
        <w:rPr>
          <w:b/>
        </w:rPr>
      </w:pPr>
    </w:p>
    <w:p w:rsidRPr="0070677E" w:rsidR="00126D3E" w:rsidP="00126D3E" w:rsidRDefault="00126D3E" w14:paraId="032A4DA1" w14:textId="77777777">
      <w:pPr>
        <w:pStyle w:val="ListParagraph"/>
        <w:spacing w:line="240" w:lineRule="auto"/>
        <w:ind w:left="0"/>
        <w:rPr>
          <w:b/>
        </w:rPr>
      </w:pPr>
      <w:r>
        <w:rPr>
          <w:b/>
        </w:rPr>
        <w:t>Hoofdpunten</w:t>
      </w:r>
    </w:p>
    <w:p w:rsidRPr="009B70E7" w:rsidR="00126D3E" w:rsidP="00126D3E" w:rsidRDefault="00126D3E" w14:paraId="08F0CDB8" w14:textId="77777777">
      <w:pPr>
        <w:pStyle w:val="ListParagraph"/>
        <w:ind w:left="0"/>
      </w:pPr>
    </w:p>
    <w:p w:rsidRPr="002E62B0" w:rsidR="00126D3E" w:rsidP="00126D3E" w:rsidRDefault="00126D3E" w14:paraId="1910B01D" w14:textId="77777777">
      <w:pPr>
        <w:pStyle w:val="ListParagraph"/>
        <w:spacing w:line="240" w:lineRule="auto"/>
        <w:ind w:left="0"/>
        <w:rPr>
          <w:bCs/>
        </w:rPr>
      </w:pPr>
      <w:r>
        <w:t>Het EESC:</w:t>
      </w:r>
    </w:p>
    <w:p w:rsidRPr="009B70E7" w:rsidR="00126D3E" w:rsidP="00126D3E" w:rsidRDefault="00126D3E" w14:paraId="30410FB5" w14:textId="77777777">
      <w:pPr>
        <w:pStyle w:val="ListParagraph"/>
        <w:ind w:left="0"/>
      </w:pPr>
    </w:p>
    <w:p w:rsidR="002859C4" w:rsidP="002859C4" w:rsidRDefault="002859C4" w14:paraId="2DAE0EE0" w14:textId="77777777">
      <w:pPr>
        <w:pStyle w:val="ListParagraph"/>
        <w:numPr>
          <w:ilvl w:val="0"/>
          <w:numId w:val="3"/>
        </w:numPr>
        <w:ind w:left="357" w:hanging="357"/>
      </w:pPr>
      <w:r>
        <w:t>acht de voorgestelde verbeteringen van de DAC-richtlijn doeltreffend om de niet-naleving van fiscale regels door houders van cryptoactiva tegen te gaan en zo de strijd tegen belastingfraude, -ontduiking en -ontwijking op te voeren;</w:t>
      </w:r>
    </w:p>
    <w:p w:rsidR="002859C4" w:rsidP="002859C4" w:rsidRDefault="002859C4" w14:paraId="1534883D" w14:textId="77777777">
      <w:pPr>
        <w:pStyle w:val="ListParagraph"/>
        <w:numPr>
          <w:ilvl w:val="0"/>
          <w:numId w:val="3"/>
        </w:numPr>
        <w:ind w:left="357" w:hanging="357"/>
      </w:pPr>
      <w:r>
        <w:t>merkt op dat een wereldwijde inspanning om cryptoactiva en het gebruik ervan te reguleren cruciaal is om de toenemende problemen en implicaties met een wereldwijde reikwijdte in verband met dergelijke activa succesvol aan te pakken;</w:t>
      </w:r>
    </w:p>
    <w:p w:rsidR="002859C4" w:rsidP="002859C4" w:rsidRDefault="002859C4" w14:paraId="3F2A6CA4" w14:textId="77777777">
      <w:pPr>
        <w:pStyle w:val="ListParagraph"/>
        <w:numPr>
          <w:ilvl w:val="0"/>
          <w:numId w:val="3"/>
        </w:numPr>
        <w:ind w:left="357" w:hanging="357"/>
      </w:pPr>
      <w:r>
        <w:t>onderschrijft dat een betere en efficiëntere belasting van cryptoactiva de dekking van de belastingen zal helpen vergroten en de nationale begrotingen een impuls zal geven, waardoor extra middelen kunnen worden bestemd voor het algemeen welzijn;</w:t>
      </w:r>
    </w:p>
    <w:p w:rsidR="002859C4" w:rsidP="002859C4" w:rsidRDefault="002859C4" w14:paraId="14524DB4" w14:textId="77777777">
      <w:pPr>
        <w:pStyle w:val="ListParagraph"/>
        <w:numPr>
          <w:ilvl w:val="0"/>
          <w:numId w:val="3"/>
        </w:numPr>
        <w:ind w:left="357" w:hanging="357"/>
      </w:pPr>
      <w:r>
        <w:t>beschouwt het systeem van rapportage voor het fiscaal identificatienummer (“TIN”) de meest doeltreffende nalevingsmethode om ervoor te zorgen dat de nieuwe regels doeltreffend zijn;</w:t>
      </w:r>
    </w:p>
    <w:p w:rsidR="002859C4" w:rsidP="002859C4" w:rsidRDefault="002859C4" w14:paraId="21413284" w14:textId="77777777">
      <w:pPr>
        <w:pStyle w:val="ListParagraph"/>
        <w:numPr>
          <w:ilvl w:val="0"/>
          <w:numId w:val="3"/>
        </w:numPr>
        <w:ind w:left="357" w:hanging="357"/>
      </w:pPr>
      <w:r>
        <w:t>vindt dat de rapportageverplichtingen niet beperkt moeten blijven tot uitwisselingen en overdrachten in cryptoactiva, maar, althans in de beginfase, ook betrekking moeten hebben op het totale bezit van activa in cryptovaluta’s;</w:t>
      </w:r>
    </w:p>
    <w:p w:rsidR="002859C4" w:rsidP="002859C4" w:rsidRDefault="002859C4" w14:paraId="58E41899" w14:textId="77777777">
      <w:pPr>
        <w:pStyle w:val="ListParagraph"/>
        <w:numPr>
          <w:ilvl w:val="0"/>
          <w:numId w:val="3"/>
        </w:numPr>
        <w:ind w:left="357" w:hanging="357"/>
      </w:pPr>
      <w:r>
        <w:t>pleit voor doeltreffende en evenredige sancties, waarbij het aan de lidstaten wordt overgelaten om de specifieke bedragen van de op te leggen sancties vast te stellen;</w:t>
      </w:r>
    </w:p>
    <w:p w:rsidR="00126D3E" w:rsidP="002859C4" w:rsidRDefault="002859C4" w14:paraId="3C908B43" w14:textId="6089177D">
      <w:pPr>
        <w:pStyle w:val="ListParagraph"/>
        <w:numPr>
          <w:ilvl w:val="0"/>
          <w:numId w:val="3"/>
        </w:numPr>
        <w:ind w:left="357" w:hanging="357"/>
      </w:pPr>
      <w:r>
        <w:t>hoopt dat de sancties en nalevingsmaatregelen tot een evenwicht leiden tussen enerzijds doeltreffendheid van de regels en adequate afschrikking en anderzijds evenredigheid.</w:t>
      </w:r>
    </w:p>
    <w:p w:rsidRPr="00FE234C" w:rsidR="00126D3E" w:rsidP="00126D3E" w:rsidRDefault="00126D3E" w14:paraId="1826D695"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126D3E" w:rsidTr="00726054" w14:paraId="6C9C2615" w14:textId="77777777">
        <w:tc>
          <w:tcPr>
            <w:tcW w:w="1418" w:type="dxa"/>
          </w:tcPr>
          <w:p w:rsidRPr="009B70E7" w:rsidR="00126D3E" w:rsidP="00726054" w:rsidRDefault="00126D3E" w14:paraId="2502BF16" w14:textId="77777777">
            <w:pPr>
              <w:pStyle w:val="ListParagraph"/>
              <w:ind w:left="0"/>
              <w:rPr>
                <w:i/>
              </w:rPr>
            </w:pPr>
            <w:r>
              <w:rPr>
                <w:b/>
                <w:i/>
              </w:rPr>
              <w:t>Contactpersoon</w:t>
            </w:r>
          </w:p>
        </w:tc>
        <w:tc>
          <w:tcPr>
            <w:tcW w:w="5670" w:type="dxa"/>
          </w:tcPr>
          <w:p w:rsidRPr="009B70E7" w:rsidR="00126D3E" w:rsidP="00726054" w:rsidRDefault="002859C4" w14:paraId="7569883B" w14:textId="42AD5509">
            <w:pPr>
              <w:pStyle w:val="ListParagraph"/>
              <w:ind w:left="0"/>
              <w:rPr>
                <w:i/>
              </w:rPr>
            </w:pPr>
            <w:proofErr w:type="spellStart"/>
            <w:r>
              <w:rPr>
                <w:i/>
              </w:rPr>
              <w:t>Jüri</w:t>
            </w:r>
            <w:proofErr w:type="spellEnd"/>
            <w:r>
              <w:rPr>
                <w:i/>
              </w:rPr>
              <w:t xml:space="preserve"> </w:t>
            </w:r>
            <w:proofErr w:type="spellStart"/>
            <w:r>
              <w:rPr>
                <w:i/>
              </w:rPr>
              <w:t>Soosaar</w:t>
            </w:r>
            <w:proofErr w:type="spellEnd"/>
          </w:p>
        </w:tc>
      </w:tr>
      <w:tr w:rsidRPr="009B70E7" w:rsidR="00126D3E" w:rsidTr="00726054" w14:paraId="1633B04C" w14:textId="77777777">
        <w:tc>
          <w:tcPr>
            <w:tcW w:w="1418" w:type="dxa"/>
          </w:tcPr>
          <w:p w:rsidRPr="009B70E7" w:rsidR="00126D3E" w:rsidP="00726054" w:rsidRDefault="00126D3E" w14:paraId="3D6DEE23" w14:textId="77777777">
            <w:pPr>
              <w:pStyle w:val="ListParagraph"/>
              <w:ind w:left="601"/>
              <w:rPr>
                <w:i/>
              </w:rPr>
            </w:pPr>
            <w:r>
              <w:rPr>
                <w:i/>
              </w:rPr>
              <w:t>Tel.</w:t>
            </w:r>
          </w:p>
        </w:tc>
        <w:tc>
          <w:tcPr>
            <w:tcW w:w="5670" w:type="dxa"/>
          </w:tcPr>
          <w:p w:rsidRPr="009B70E7" w:rsidR="00126D3E" w:rsidP="00726054" w:rsidRDefault="00126D3E" w14:paraId="3D558DF4" w14:textId="270FE306">
            <w:pPr>
              <w:pStyle w:val="ListParagraph"/>
              <w:ind w:left="0"/>
              <w:rPr>
                <w:i/>
              </w:rPr>
            </w:pPr>
            <w:r>
              <w:rPr>
                <w:i/>
              </w:rPr>
              <w:t>00 32 2 546 96 28</w:t>
            </w:r>
          </w:p>
        </w:tc>
      </w:tr>
      <w:tr w:rsidRPr="001D770D" w:rsidR="00126D3E" w:rsidTr="00726054" w14:paraId="29931F4A" w14:textId="77777777">
        <w:tc>
          <w:tcPr>
            <w:tcW w:w="1418" w:type="dxa"/>
          </w:tcPr>
          <w:p w:rsidRPr="009B70E7" w:rsidR="00126D3E" w:rsidP="00126D3E" w:rsidRDefault="00126D3E" w14:paraId="57FF013D" w14:textId="77777777">
            <w:pPr>
              <w:pStyle w:val="ListParagraph"/>
              <w:ind w:left="601"/>
              <w:rPr>
                <w:i/>
              </w:rPr>
            </w:pPr>
            <w:r>
              <w:rPr>
                <w:i/>
              </w:rPr>
              <w:t>E-mail</w:t>
            </w:r>
          </w:p>
        </w:tc>
        <w:tc>
          <w:tcPr>
            <w:tcW w:w="5670" w:type="dxa"/>
          </w:tcPr>
          <w:p w:rsidRPr="002859C4" w:rsidR="00126D3E" w:rsidP="00126D3E" w:rsidRDefault="003D1DE5" w14:paraId="534217AD" w14:textId="384A1375">
            <w:pPr>
              <w:pStyle w:val="ListParagraph"/>
              <w:ind w:left="0"/>
              <w:rPr>
                <w:i/>
                <w:iCs/>
                <w:color w:val="0000FF"/>
                <w:u w:val="single"/>
              </w:rPr>
            </w:pPr>
            <w:hyperlink w:history="1" r:id="rId20">
              <w:r w:rsidR="00F31F11">
                <w:rPr>
                  <w:rStyle w:val="Hyperlink"/>
                  <w:i/>
                </w:rPr>
                <w:t>Juri.Soosaar@eesc.europa.eu</w:t>
              </w:r>
            </w:hyperlink>
          </w:p>
        </w:tc>
      </w:tr>
      <w:bookmarkEnd w:id="6"/>
    </w:tbl>
    <w:p w:rsidR="002859C4" w:rsidRDefault="002859C4" w14:paraId="6B383379" w14:textId="2375EEC2">
      <w:pPr>
        <w:spacing w:after="160" w:line="259" w:lineRule="auto"/>
        <w:jc w:val="left"/>
      </w:pPr>
    </w:p>
    <w:p w:rsidR="00726054" w:rsidRDefault="00726054" w14:paraId="7E555A72" w14:textId="6305524D">
      <w:pPr>
        <w:spacing w:after="160" w:line="259" w:lineRule="auto"/>
        <w:jc w:val="left"/>
      </w:pPr>
      <w:r>
        <w:br w:type="page"/>
      </w:r>
    </w:p>
    <w:p w:rsidRPr="00017B56" w:rsidR="002859C4" w:rsidP="002859C4" w:rsidRDefault="002859C4" w14:paraId="562EED37" w14:textId="43DAA6CE">
      <w:pPr>
        <w:numPr>
          <w:ilvl w:val="0"/>
          <w:numId w:val="5"/>
        </w:numPr>
        <w:overflowPunct w:val="0"/>
        <w:autoSpaceDE w:val="0"/>
        <w:autoSpaceDN w:val="0"/>
        <w:adjustRightInd w:val="0"/>
        <w:ind w:left="567" w:hanging="567"/>
        <w:textAlignment w:val="baseline"/>
        <w:rPr>
          <w:rStyle w:val="Hyperlink"/>
          <w:color w:val="auto"/>
          <w:spacing w:val="-2"/>
          <w:u w:val="none"/>
        </w:rPr>
      </w:pPr>
      <w:r>
        <w:rPr>
          <w:b/>
          <w:i/>
          <w:sz w:val="28"/>
        </w:rPr>
        <w:lastRenderedPageBreak/>
        <w:t>Regels inzake de notering op openbare markten (Wet inzake beursnotering)</w:t>
      </w:r>
    </w:p>
    <w:p w:rsidRPr="00017B56" w:rsidR="002859C4" w:rsidP="002859C4" w:rsidRDefault="002859C4" w14:paraId="614F3A69" w14:textId="77777777">
      <w:pPr>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5755"/>
      </w:tblGrid>
      <w:tr w:rsidRPr="00627B8F" w:rsidR="002859C4" w:rsidTr="00133EE7" w14:paraId="724B575F" w14:textId="77777777">
        <w:tc>
          <w:tcPr>
            <w:tcW w:w="2467" w:type="dxa"/>
          </w:tcPr>
          <w:p w:rsidR="002859C4" w:rsidP="00726054" w:rsidRDefault="002859C4" w14:paraId="3780A968" w14:textId="77777777">
            <w:pPr>
              <w:pStyle w:val="ListParagraph"/>
              <w:spacing w:line="240" w:lineRule="auto"/>
              <w:ind w:left="-142" w:firstLine="142"/>
              <w:rPr>
                <w:b/>
              </w:rPr>
            </w:pPr>
            <w:r>
              <w:rPr>
                <w:b/>
              </w:rPr>
              <w:t>Algemeen rapporteur</w:t>
            </w:r>
          </w:p>
          <w:p w:rsidRPr="009B70E7" w:rsidR="002859C4" w:rsidP="00726054" w:rsidRDefault="002859C4" w14:paraId="5DEFDDC3" w14:textId="77777777">
            <w:pPr>
              <w:pStyle w:val="ListParagraph"/>
              <w:spacing w:line="240" w:lineRule="auto"/>
              <w:ind w:left="-142" w:firstLine="142"/>
              <w:rPr>
                <w:b/>
              </w:rPr>
            </w:pPr>
          </w:p>
        </w:tc>
        <w:tc>
          <w:tcPr>
            <w:tcW w:w="5755" w:type="dxa"/>
          </w:tcPr>
          <w:p w:rsidRPr="00627B8F" w:rsidR="002859C4" w:rsidP="00726054" w:rsidRDefault="002859C4" w14:paraId="561B59A8" w14:textId="2B8F0717">
            <w:pPr>
              <w:pStyle w:val="ListParagraph"/>
              <w:ind w:left="-60" w:right="-55"/>
            </w:pPr>
            <w:proofErr w:type="spellStart"/>
            <w:r>
              <w:t>Kęstutis</w:t>
            </w:r>
            <w:proofErr w:type="spellEnd"/>
            <w:r>
              <w:t xml:space="preserve"> KUPŠYS (groep Maatschappelijke Organisaties – LT)</w:t>
            </w:r>
          </w:p>
        </w:tc>
      </w:tr>
      <w:tr w:rsidRPr="00627B8F" w:rsidR="002859C4" w:rsidTr="00133EE7" w14:paraId="640B6265" w14:textId="77777777">
        <w:tc>
          <w:tcPr>
            <w:tcW w:w="2467" w:type="dxa"/>
          </w:tcPr>
          <w:p w:rsidRPr="009B70E7" w:rsidR="002859C4" w:rsidP="00726054" w:rsidRDefault="002859C4" w14:paraId="4F63D371" w14:textId="77777777">
            <w:pPr>
              <w:pStyle w:val="ListParagraph"/>
              <w:spacing w:line="240" w:lineRule="auto"/>
              <w:ind w:left="-142" w:firstLine="142"/>
              <w:rPr>
                <w:b/>
              </w:rPr>
            </w:pPr>
            <w:r>
              <w:rPr>
                <w:b/>
              </w:rPr>
              <w:t xml:space="preserve">Referentiedocumenten </w:t>
            </w:r>
          </w:p>
        </w:tc>
        <w:tc>
          <w:tcPr>
            <w:tcW w:w="5755" w:type="dxa"/>
          </w:tcPr>
          <w:p w:rsidRPr="00627B8F" w:rsidR="002859C4" w:rsidP="00726054" w:rsidRDefault="002859C4" w14:paraId="43B380AD" w14:textId="39F83E0E">
            <w:pPr>
              <w:pStyle w:val="ListParagraph"/>
              <w:ind w:left="-61"/>
              <w:rPr>
                <w:bCs/>
              </w:rPr>
            </w:pPr>
            <w:r>
              <w:t xml:space="preserve">COM(2022) 760-761-762 </w:t>
            </w:r>
            <w:proofErr w:type="spellStart"/>
            <w:r>
              <w:t>final</w:t>
            </w:r>
            <w:proofErr w:type="spellEnd"/>
          </w:p>
          <w:p w:rsidRPr="00627B8F" w:rsidR="002859C4" w:rsidP="00726054" w:rsidRDefault="002859C4" w14:paraId="585C3288" w14:textId="5201BAC0">
            <w:pPr>
              <w:pStyle w:val="ListParagraph"/>
              <w:ind w:left="-61"/>
            </w:pPr>
            <w:r>
              <w:t>EESC-2022-05409-00-00-AC</w:t>
            </w:r>
          </w:p>
        </w:tc>
      </w:tr>
    </w:tbl>
    <w:p w:rsidR="002859C4" w:rsidP="002859C4" w:rsidRDefault="002859C4" w14:paraId="23CAB87A" w14:textId="77777777">
      <w:pPr>
        <w:pStyle w:val="ListParagraph"/>
        <w:spacing w:line="240" w:lineRule="auto"/>
        <w:ind w:left="0"/>
        <w:rPr>
          <w:b/>
          <w:lang w:val="en-US"/>
        </w:rPr>
      </w:pPr>
    </w:p>
    <w:p w:rsidR="002859C4" w:rsidP="002859C4" w:rsidRDefault="002859C4" w14:paraId="3313D67F" w14:textId="77777777">
      <w:pPr>
        <w:pStyle w:val="ListParagraph"/>
        <w:spacing w:line="240" w:lineRule="auto"/>
        <w:ind w:left="0"/>
        <w:rPr>
          <w:b/>
        </w:rPr>
      </w:pPr>
      <w:r>
        <w:rPr>
          <w:b/>
        </w:rPr>
        <w:t>Hoofdpunten</w:t>
      </w:r>
    </w:p>
    <w:p w:rsidR="002859C4" w:rsidP="002859C4" w:rsidRDefault="002859C4" w14:paraId="1B188621" w14:textId="77777777">
      <w:pPr>
        <w:pStyle w:val="ListParagraph"/>
        <w:spacing w:line="240" w:lineRule="auto"/>
        <w:ind w:left="0"/>
        <w:rPr>
          <w:b/>
          <w:lang w:val="en-US"/>
        </w:rPr>
      </w:pPr>
    </w:p>
    <w:p w:rsidR="002859C4" w:rsidP="002859C4" w:rsidRDefault="002859C4" w14:paraId="16DE581D" w14:textId="77777777">
      <w:pPr>
        <w:pStyle w:val="ListParagraph"/>
        <w:spacing w:line="240" w:lineRule="auto"/>
        <w:ind w:left="0"/>
        <w:rPr>
          <w:bCs/>
        </w:rPr>
      </w:pPr>
      <w:r>
        <w:t>Het EESC:</w:t>
      </w:r>
    </w:p>
    <w:p w:rsidRPr="002E62B0" w:rsidR="002859C4" w:rsidP="002859C4" w:rsidRDefault="002859C4" w14:paraId="6AE705E2" w14:textId="77777777">
      <w:pPr>
        <w:pStyle w:val="ListParagraph"/>
        <w:spacing w:line="240" w:lineRule="auto"/>
        <w:ind w:left="0"/>
        <w:rPr>
          <w:bCs/>
          <w:lang w:val="pt-PT"/>
        </w:rPr>
      </w:pPr>
    </w:p>
    <w:p w:rsidR="002859C4" w:rsidP="002859C4" w:rsidRDefault="002859C4" w14:paraId="0315EE29" w14:textId="77777777">
      <w:pPr>
        <w:pStyle w:val="ListParagraph"/>
        <w:numPr>
          <w:ilvl w:val="0"/>
          <w:numId w:val="3"/>
        </w:numPr>
        <w:spacing w:line="276" w:lineRule="auto"/>
        <w:ind w:left="357" w:hanging="357"/>
      </w:pPr>
      <w:r>
        <w:t>benadrukt dat meer aandelenfinanciering voor Europese bedrijven van essentieel belang is en is daarom zeer ingenomen met de door de Commissie voorgestelde wetgeving inzake beursnotering;</w:t>
      </w:r>
    </w:p>
    <w:p w:rsidR="002859C4" w:rsidP="00CD1F25" w:rsidRDefault="00CD1F25" w14:paraId="05D01C4B" w14:textId="262924AD">
      <w:pPr>
        <w:pStyle w:val="ListParagraph"/>
        <w:numPr>
          <w:ilvl w:val="0"/>
          <w:numId w:val="3"/>
        </w:numPr>
        <w:spacing w:line="276" w:lineRule="auto"/>
        <w:ind w:left="357" w:hanging="357"/>
      </w:pPr>
      <w:r>
        <w:t>is van mening dat er door familiebedrijven naar de kapitaalmarkten te brengen onbenutte mogelijkheden worden ontsloten om kapitaal voor groei aan te trekken, en dat een regeling van meervoudig stemrecht families helpt om de zeggenschap te behouden, waardoor een beursnotering voor hen aantrekkelijker wordt; is het ermee eens dat er een gedetailleerd kader op nationaal niveau moet worden uitgewerkt, maar pleit voor harmonisatie op EU-niveau;</w:t>
      </w:r>
    </w:p>
    <w:p w:rsidR="002859C4" w:rsidP="002859C4" w:rsidRDefault="002859C4" w14:paraId="048A62A9" w14:textId="77777777">
      <w:pPr>
        <w:pStyle w:val="ListParagraph"/>
        <w:numPr>
          <w:ilvl w:val="0"/>
          <w:numId w:val="3"/>
        </w:numPr>
        <w:spacing w:line="276" w:lineRule="auto"/>
        <w:ind w:left="357" w:hanging="357"/>
      </w:pPr>
      <w:r>
        <w:t>is ingenomen met het initiatief van de Commissie om de inhoud van een prospectus te stroomlijnen, wat de kosten en lasten voor de uitgevende instellingen aanzienlijk zou verminderen;</w:t>
      </w:r>
    </w:p>
    <w:p w:rsidR="002859C4" w:rsidP="002859C4" w:rsidRDefault="002859C4" w14:paraId="0535E853" w14:textId="77777777">
      <w:pPr>
        <w:pStyle w:val="ListParagraph"/>
        <w:numPr>
          <w:ilvl w:val="0"/>
          <w:numId w:val="3"/>
        </w:numPr>
        <w:spacing w:line="276" w:lineRule="auto"/>
        <w:ind w:left="357" w:hanging="357"/>
      </w:pPr>
      <w:r>
        <w:t>stemt in met het voorstel om uitgevende instellingen de keuze te geven een prospectus uitsluitend in het Engels te publiceren. Publicatie van een volledig document, en niet alleen de samenvatting, in de nationale talen zou de plaatselijke kleine beleggers echter een sterkere positie verlenen. Het uitsluitend gebruik van Engels voor uitgiftedocumenten zou de ontwikkeling van een nationale basis voor particuliere beleggers belemmeren;</w:t>
      </w:r>
    </w:p>
    <w:p w:rsidR="002859C4" w:rsidP="002859C4" w:rsidRDefault="002859C4" w14:paraId="2651FA69" w14:textId="77777777">
      <w:pPr>
        <w:pStyle w:val="ListParagraph"/>
        <w:numPr>
          <w:ilvl w:val="0"/>
          <w:numId w:val="3"/>
        </w:numPr>
        <w:spacing w:line="276" w:lineRule="auto"/>
        <w:ind w:left="357" w:hanging="357"/>
      </w:pPr>
      <w:r>
        <w:t xml:space="preserve">merkt op dat het bundelen van beleggingsonderzoek met andere diensten de zichtbaarheid van beursgenoteerde kleine en middelgrote ondernemingen waarschijnlijk zal vergroten; is daarom ingenomen met de voorgestelde verhoging van de </w:t>
      </w:r>
      <w:proofErr w:type="spellStart"/>
      <w:r>
        <w:t>ontbundelingsdrempel</w:t>
      </w:r>
      <w:proofErr w:type="spellEnd"/>
      <w:r>
        <w:t xml:space="preserve"> tot 10 miljard euro. Er kunnen evenwel ook verdere maatregelen nodig zijn om onafhankelijk onderzoek aan te moedigen;</w:t>
      </w:r>
    </w:p>
    <w:p w:rsidR="002859C4" w:rsidP="002859C4" w:rsidRDefault="002859C4" w14:paraId="3034B6F4" w14:textId="1B2645D7">
      <w:pPr>
        <w:pStyle w:val="ListParagraph"/>
        <w:numPr>
          <w:ilvl w:val="0"/>
          <w:numId w:val="3"/>
        </w:numPr>
        <w:spacing w:line="276" w:lineRule="auto"/>
        <w:ind w:left="357" w:hanging="357"/>
      </w:pPr>
      <w:r>
        <w:t>heeft grote waardering voor de aanpak van de Commissie om de rechtsonzekerheid rond de informatieverplichtingen te verminderen.</w:t>
      </w:r>
    </w:p>
    <w:p w:rsidRPr="009B70E7" w:rsidR="002859C4" w:rsidP="002859C4" w:rsidRDefault="002859C4" w14:paraId="715B7705"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2859C4" w:rsidTr="00726054" w14:paraId="5085DEA1" w14:textId="77777777">
        <w:tc>
          <w:tcPr>
            <w:tcW w:w="1418" w:type="dxa"/>
          </w:tcPr>
          <w:p w:rsidRPr="009B70E7" w:rsidR="002859C4" w:rsidP="00726054" w:rsidRDefault="002859C4" w14:paraId="5CF1E67D" w14:textId="77777777">
            <w:pPr>
              <w:pStyle w:val="ListParagraph"/>
              <w:spacing w:line="276" w:lineRule="auto"/>
              <w:ind w:left="0"/>
              <w:rPr>
                <w:i/>
              </w:rPr>
            </w:pPr>
            <w:r>
              <w:rPr>
                <w:b/>
                <w:i/>
              </w:rPr>
              <w:t>Contactpersoon</w:t>
            </w:r>
          </w:p>
        </w:tc>
        <w:tc>
          <w:tcPr>
            <w:tcW w:w="5670" w:type="dxa"/>
          </w:tcPr>
          <w:p w:rsidRPr="009B70E7" w:rsidR="002859C4" w:rsidP="00726054" w:rsidRDefault="002859C4" w14:paraId="47242400" w14:textId="3BE4E6CC">
            <w:pPr>
              <w:pStyle w:val="ListParagraph"/>
              <w:spacing w:line="276" w:lineRule="auto"/>
              <w:ind w:left="0"/>
              <w:rPr>
                <w:i/>
              </w:rPr>
            </w:pPr>
            <w:r>
              <w:rPr>
                <w:i/>
              </w:rPr>
              <w:t xml:space="preserve">Gerald </w:t>
            </w:r>
            <w:proofErr w:type="spellStart"/>
            <w:r>
              <w:rPr>
                <w:i/>
              </w:rPr>
              <w:t>Klec</w:t>
            </w:r>
            <w:proofErr w:type="spellEnd"/>
          </w:p>
        </w:tc>
      </w:tr>
      <w:tr w:rsidRPr="009B70E7" w:rsidR="002859C4" w:rsidTr="00726054" w14:paraId="094C3FA4" w14:textId="77777777">
        <w:tc>
          <w:tcPr>
            <w:tcW w:w="1418" w:type="dxa"/>
          </w:tcPr>
          <w:p w:rsidRPr="009B70E7" w:rsidR="002859C4" w:rsidP="00726054" w:rsidRDefault="002859C4" w14:paraId="3ABA9D08" w14:textId="77777777">
            <w:pPr>
              <w:pStyle w:val="ListParagraph"/>
              <w:spacing w:line="276" w:lineRule="auto"/>
              <w:ind w:left="601"/>
              <w:rPr>
                <w:i/>
              </w:rPr>
            </w:pPr>
            <w:r>
              <w:rPr>
                <w:i/>
              </w:rPr>
              <w:t>Tel.</w:t>
            </w:r>
          </w:p>
        </w:tc>
        <w:tc>
          <w:tcPr>
            <w:tcW w:w="5670" w:type="dxa"/>
          </w:tcPr>
          <w:p w:rsidRPr="009B70E7" w:rsidR="002859C4" w:rsidP="00726054" w:rsidRDefault="002859C4" w14:paraId="24270DE1" w14:textId="16FB07B6">
            <w:pPr>
              <w:pStyle w:val="ListParagraph"/>
              <w:spacing w:line="276" w:lineRule="auto"/>
              <w:ind w:left="0"/>
              <w:rPr>
                <w:i/>
              </w:rPr>
            </w:pPr>
            <w:r>
              <w:rPr>
                <w:i/>
              </w:rPr>
              <w:t>00 32 2 546 99 09</w:t>
            </w:r>
          </w:p>
        </w:tc>
      </w:tr>
      <w:tr w:rsidRPr="009B70E7" w:rsidR="002859C4" w:rsidTr="00726054" w14:paraId="7A0787AD" w14:textId="77777777">
        <w:tc>
          <w:tcPr>
            <w:tcW w:w="1418" w:type="dxa"/>
          </w:tcPr>
          <w:p w:rsidRPr="009B70E7" w:rsidR="002859C4" w:rsidP="00726054" w:rsidRDefault="002859C4" w14:paraId="4D323452" w14:textId="77777777">
            <w:pPr>
              <w:pStyle w:val="ListParagraph"/>
              <w:spacing w:line="276" w:lineRule="auto"/>
              <w:ind w:left="601"/>
              <w:rPr>
                <w:i/>
              </w:rPr>
            </w:pPr>
            <w:r>
              <w:rPr>
                <w:i/>
              </w:rPr>
              <w:t>E-mail</w:t>
            </w:r>
          </w:p>
        </w:tc>
        <w:tc>
          <w:tcPr>
            <w:tcW w:w="5670" w:type="dxa"/>
          </w:tcPr>
          <w:p w:rsidRPr="002859C4" w:rsidR="002859C4" w:rsidP="00726054" w:rsidRDefault="002859C4" w14:paraId="1E63E9A8" w14:textId="14209DAA">
            <w:pPr>
              <w:pStyle w:val="ListParagraph"/>
              <w:spacing w:line="276" w:lineRule="auto"/>
              <w:ind w:left="0"/>
              <w:rPr>
                <w:i/>
                <w:iCs/>
              </w:rPr>
            </w:pPr>
            <w:r>
              <w:rPr>
                <w:rStyle w:val="Hyperlink"/>
                <w:i/>
              </w:rPr>
              <w:t>Gerald.Klec@eesc.europa.eu</w:t>
            </w:r>
          </w:p>
        </w:tc>
      </w:tr>
    </w:tbl>
    <w:p w:rsidR="004E0C44" w:rsidRDefault="004E0C44" w14:paraId="6EFE33A5" w14:textId="37983C57">
      <w:pPr>
        <w:spacing w:after="160" w:line="259" w:lineRule="auto"/>
        <w:jc w:val="left"/>
      </w:pPr>
      <w:r>
        <w:br w:type="page"/>
      </w:r>
    </w:p>
    <w:p w:rsidRPr="009B70E7" w:rsidR="004D7AC0" w:rsidRDefault="004D7AC0" w14:paraId="73D829D0" w14:textId="77777777">
      <w:pPr>
        <w:pStyle w:val="Heading1"/>
        <w:rPr>
          <w:b/>
        </w:rPr>
      </w:pPr>
      <w:bookmarkStart w:name="_Toc75527081" w:id="7"/>
      <w:bookmarkStart w:name="_Toc131175943" w:id="8"/>
      <w:r>
        <w:rPr>
          <w:b/>
        </w:rPr>
        <w:lastRenderedPageBreak/>
        <w:t>WERKGELEGENHEID, SOCIALE ZAKEN EN BURGERSCHAP</w:t>
      </w:r>
      <w:bookmarkEnd w:id="7"/>
      <w:bookmarkEnd w:id="8"/>
    </w:p>
    <w:p w:rsidRPr="005D76AC" w:rsidR="00276CC9" w:rsidP="00750BF7" w:rsidRDefault="00276CC9" w14:paraId="187F194C" w14:textId="59504090">
      <w:pPr>
        <w:spacing w:after="160" w:line="259" w:lineRule="auto"/>
        <w:jc w:val="left"/>
      </w:pPr>
    </w:p>
    <w:p w:rsidRPr="009B70E7" w:rsidR="00775FDA" w:rsidP="0018231C" w:rsidRDefault="002859C4" w14:paraId="6004B7F1" w14:textId="5D77B868">
      <w:pPr>
        <w:pStyle w:val="ListParagraph"/>
        <w:keepNext/>
        <w:numPr>
          <w:ilvl w:val="0"/>
          <w:numId w:val="2"/>
        </w:numPr>
        <w:ind w:left="567" w:hanging="567"/>
        <w:rPr>
          <w:b/>
          <w:i/>
          <w:sz w:val="28"/>
          <w:szCs w:val="28"/>
        </w:rPr>
      </w:pPr>
      <w:bookmarkStart w:name="_Hlk125475639" w:id="9"/>
      <w:r>
        <w:rPr>
          <w:b/>
          <w:i/>
          <w:sz w:val="28"/>
        </w:rPr>
        <w:t>Schending van beperkende maatregelen / EU-misdrijven</w:t>
      </w:r>
    </w:p>
    <w:p w:rsidRPr="009B70E7" w:rsidR="00775FDA" w:rsidP="0018231C" w:rsidRDefault="00775FDA" w14:paraId="301189D8" w14:textId="77777777">
      <w:pPr>
        <w:pStyle w:val="ListParagraph"/>
        <w:keepNext/>
        <w:ind w:left="0"/>
      </w:pPr>
      <w:bookmarkStart w:name="_Hlk127184014" w:id="10"/>
    </w:p>
    <w:tbl>
      <w:tblPr>
        <w:tblStyle w:val="TableGrid"/>
        <w:tblW w:w="7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5528"/>
      </w:tblGrid>
      <w:tr w:rsidRPr="009B70E7" w:rsidR="00B44BB9" w:rsidTr="00133EE7" w14:paraId="5CC040D5" w14:textId="77777777">
        <w:trPr>
          <w:cantSplit/>
          <w:trHeight w:val="284" w:hRule="exact"/>
        </w:trPr>
        <w:tc>
          <w:tcPr>
            <w:tcW w:w="2467" w:type="dxa"/>
          </w:tcPr>
          <w:p w:rsidR="00B44BB9" w:rsidP="002E62B0" w:rsidRDefault="00B44BB9" w14:paraId="2BE1EF86" w14:textId="135AB205">
            <w:pPr>
              <w:pStyle w:val="ListParagraph"/>
              <w:spacing w:line="240" w:lineRule="auto"/>
              <w:ind w:left="-142" w:firstLine="142"/>
              <w:rPr>
                <w:b/>
              </w:rPr>
            </w:pPr>
            <w:r>
              <w:rPr>
                <w:b/>
              </w:rPr>
              <w:t>Rapporteur</w:t>
            </w:r>
          </w:p>
          <w:p w:rsidRPr="009B70E7" w:rsidR="00B44BB9" w:rsidP="00B44BB9" w:rsidRDefault="00B44BB9" w14:paraId="15AEA92C" w14:textId="77777777">
            <w:pPr>
              <w:pStyle w:val="ListParagraph"/>
              <w:keepNext/>
              <w:ind w:left="0"/>
              <w:rPr>
                <w:b/>
              </w:rPr>
            </w:pPr>
          </w:p>
        </w:tc>
        <w:tc>
          <w:tcPr>
            <w:tcW w:w="5528" w:type="dxa"/>
          </w:tcPr>
          <w:p w:rsidR="00B44BB9" w:rsidP="00847B19" w:rsidRDefault="002859C4" w14:paraId="4BAF20E0" w14:textId="076B6E23">
            <w:pPr>
              <w:pStyle w:val="ListParagraph"/>
              <w:ind w:left="-52" w:right="-1618"/>
            </w:pPr>
            <w:r>
              <w:t>José Antonio MORENO DÍAZ (groep Werknemers – ES)</w:t>
            </w:r>
          </w:p>
          <w:p w:rsidR="00847B19" w:rsidP="00E119DF" w:rsidRDefault="00847B19" w14:paraId="757E33F4" w14:textId="77777777">
            <w:pPr>
              <w:pStyle w:val="ListParagraph"/>
              <w:ind w:left="-52"/>
            </w:pPr>
          </w:p>
          <w:p w:rsidRPr="009B70E7" w:rsidR="00847B19" w:rsidP="00E119DF" w:rsidRDefault="00847B19" w14:paraId="689CA704" w14:textId="188D0825">
            <w:pPr>
              <w:pStyle w:val="ListParagraph"/>
              <w:ind w:left="-52"/>
            </w:pPr>
          </w:p>
        </w:tc>
      </w:tr>
      <w:tr w:rsidRPr="009B70E7" w:rsidR="002859C4" w:rsidTr="00133EE7" w14:paraId="7EF1E264" w14:textId="77777777">
        <w:trPr>
          <w:cantSplit/>
          <w:trHeight w:val="284" w:hRule="exact"/>
        </w:trPr>
        <w:tc>
          <w:tcPr>
            <w:tcW w:w="2467" w:type="dxa"/>
          </w:tcPr>
          <w:p w:rsidRPr="009B70E7" w:rsidR="002859C4" w:rsidP="002E62B0" w:rsidRDefault="002859C4" w14:paraId="2419C53B" w14:textId="77777777">
            <w:pPr>
              <w:pStyle w:val="ListParagraph"/>
              <w:spacing w:line="240" w:lineRule="auto"/>
              <w:ind w:left="-142" w:firstLine="142"/>
              <w:rPr>
                <w:b/>
              </w:rPr>
            </w:pPr>
          </w:p>
        </w:tc>
        <w:tc>
          <w:tcPr>
            <w:tcW w:w="5528" w:type="dxa"/>
          </w:tcPr>
          <w:p w:rsidR="002859C4" w:rsidP="00847B19" w:rsidRDefault="002859C4" w14:paraId="0BB02115" w14:textId="77777777">
            <w:pPr>
              <w:pStyle w:val="ListParagraph"/>
              <w:ind w:left="-52" w:right="-1618"/>
            </w:pPr>
          </w:p>
        </w:tc>
      </w:tr>
      <w:tr w:rsidRPr="00627B8F" w:rsidR="00B44BB9" w:rsidTr="00133EE7" w14:paraId="58C9EA77" w14:textId="77777777">
        <w:tc>
          <w:tcPr>
            <w:tcW w:w="2467" w:type="dxa"/>
          </w:tcPr>
          <w:p w:rsidRPr="009B70E7" w:rsidR="00B44BB9" w:rsidP="00120BA5" w:rsidRDefault="00B44BB9" w14:paraId="5397904E" w14:textId="319D721F">
            <w:pPr>
              <w:pStyle w:val="ListParagraph"/>
              <w:ind w:left="0"/>
              <w:rPr>
                <w:b/>
              </w:rPr>
            </w:pPr>
            <w:r>
              <w:rPr>
                <w:b/>
              </w:rPr>
              <w:t>Referentiedocumenten</w:t>
            </w:r>
          </w:p>
        </w:tc>
        <w:tc>
          <w:tcPr>
            <w:tcW w:w="5528" w:type="dxa"/>
          </w:tcPr>
          <w:p w:rsidRPr="00E119DF" w:rsidR="00B44BB9" w:rsidP="00E119DF" w:rsidRDefault="002859C4" w14:paraId="7887F4C5" w14:textId="472E7CD1">
            <w:pPr>
              <w:pStyle w:val="ListParagraph"/>
              <w:ind w:left="-52"/>
            </w:pPr>
            <w:r>
              <w:t xml:space="preserve">COM(2022) 249-684 </w:t>
            </w:r>
            <w:proofErr w:type="spellStart"/>
            <w:r>
              <w:t>final</w:t>
            </w:r>
            <w:proofErr w:type="spellEnd"/>
          </w:p>
          <w:p w:rsidRPr="00E119DF" w:rsidR="00B44BB9" w:rsidP="00E119DF" w:rsidRDefault="00B44BB9" w14:paraId="12C6341D" w14:textId="0FDD9B1D">
            <w:pPr>
              <w:pStyle w:val="ListParagraph"/>
              <w:ind w:left="-52"/>
            </w:pPr>
            <w:r>
              <w:t>EESC-2022-03748-00-00-AC</w:t>
            </w:r>
          </w:p>
        </w:tc>
      </w:tr>
    </w:tbl>
    <w:p w:rsidR="00631509" w:rsidP="00631509" w:rsidRDefault="00631509" w14:paraId="5534BE55" w14:textId="77777777">
      <w:pPr>
        <w:pStyle w:val="ListParagraph"/>
        <w:spacing w:line="240" w:lineRule="auto"/>
        <w:ind w:left="-142" w:firstLine="284"/>
        <w:rPr>
          <w:b/>
        </w:rPr>
      </w:pPr>
    </w:p>
    <w:p w:rsidRPr="0070677E" w:rsidR="00775FDA" w:rsidP="002E62B0" w:rsidRDefault="00C76C46" w14:paraId="63769A52" w14:textId="3A0DA8C9">
      <w:pPr>
        <w:pStyle w:val="ListParagraph"/>
        <w:spacing w:line="240" w:lineRule="auto"/>
        <w:ind w:left="0"/>
        <w:rPr>
          <w:b/>
        </w:rPr>
      </w:pPr>
      <w:r>
        <w:rPr>
          <w:b/>
        </w:rPr>
        <w:t>Hoofdpunten</w:t>
      </w:r>
    </w:p>
    <w:p w:rsidRPr="009B70E7" w:rsidR="005475DA" w:rsidRDefault="005475DA" w14:paraId="580B14A7" w14:textId="77777777">
      <w:pPr>
        <w:pStyle w:val="ListParagraph"/>
        <w:ind w:left="0"/>
      </w:pPr>
    </w:p>
    <w:p w:rsidRPr="002E62B0" w:rsidR="00775FDA" w:rsidP="002E62B0" w:rsidRDefault="008946BF" w14:paraId="3C2434D8" w14:textId="77777777">
      <w:pPr>
        <w:pStyle w:val="ListParagraph"/>
        <w:spacing w:line="240" w:lineRule="auto"/>
        <w:ind w:left="0"/>
        <w:rPr>
          <w:bCs/>
        </w:rPr>
      </w:pPr>
      <w:r>
        <w:t>Het EESC:</w:t>
      </w:r>
    </w:p>
    <w:p w:rsidRPr="009B70E7" w:rsidR="00775FDA" w:rsidP="0018231C" w:rsidRDefault="00775FDA" w14:paraId="540C04B4" w14:textId="77777777">
      <w:pPr>
        <w:pStyle w:val="ListParagraph"/>
        <w:ind w:left="0"/>
      </w:pPr>
    </w:p>
    <w:p w:rsidRPr="009B70E7" w:rsidR="00775FDA" w:rsidP="0018231C" w:rsidRDefault="0089333A" w14:paraId="3D89CE58" w14:textId="1472B492">
      <w:pPr>
        <w:pStyle w:val="ListParagraph"/>
        <w:numPr>
          <w:ilvl w:val="0"/>
          <w:numId w:val="3"/>
        </w:numPr>
        <w:ind w:left="357" w:hanging="357"/>
      </w:pPr>
      <w:r>
        <w:t>moedigt de EU-instellingen aan om de humanitaire uitzonderingsbepaling uit te breiden, zodat humanitaire organisaties en hun personeel worden vrijgesteld van strafrechtelijke aansprakelijkheid, en tegelijkertijd te zorgen voor passende mechanismen om misbruik voor criminele of politieke doeleinden te voorkomen; dringt aan op bepalingen ter bescherming van klokkenluiders en journalisten die schendingen van beperkende maatregelen in de openbaarheid brengen;</w:t>
      </w:r>
    </w:p>
    <w:p w:rsidR="0007015C" w:rsidP="008C3E09" w:rsidRDefault="0089333A" w14:paraId="6BE127E6" w14:textId="75AE44FF">
      <w:pPr>
        <w:pStyle w:val="ListParagraph"/>
        <w:numPr>
          <w:ilvl w:val="0"/>
          <w:numId w:val="3"/>
        </w:numPr>
        <w:ind w:left="357" w:hanging="357"/>
      </w:pPr>
      <w:r>
        <w:t>wijst op het belang van volledige democratische controle op het voorstel voor een richtlijn, aangezien er geen effectbeoordeling is uitgevoerd en het besluit van de Raad in het Europees Parlement via de spoedprocedure is aangenomen;</w:t>
      </w:r>
    </w:p>
    <w:p w:rsidR="0089333A" w:rsidP="008C3E09" w:rsidRDefault="0089333A" w14:paraId="3999DB7B" w14:textId="5D872771">
      <w:pPr>
        <w:pStyle w:val="ListParagraph"/>
        <w:numPr>
          <w:ilvl w:val="0"/>
          <w:numId w:val="3"/>
        </w:numPr>
        <w:ind w:left="357" w:hanging="357"/>
      </w:pPr>
      <w:r>
        <w:t>dringt erop aan dat de particuliere sector en maatschappelijke organisaties adequate informatie en proactieve steun krijgen bij de aanpassing aan de nieuwe wetgeving en de naleving van de voorschriften van sanctieregelingen;</w:t>
      </w:r>
    </w:p>
    <w:p w:rsidR="0089333A" w:rsidP="008C3E09" w:rsidRDefault="0089333A" w14:paraId="250110D0" w14:textId="1BFC976A">
      <w:pPr>
        <w:pStyle w:val="ListParagraph"/>
        <w:numPr>
          <w:ilvl w:val="0"/>
          <w:numId w:val="3"/>
        </w:numPr>
        <w:ind w:left="357" w:hanging="357"/>
      </w:pPr>
      <w:r>
        <w:t>dringt erop aan de lidstaten moeten beschikken over voldoende administratieve capaciteit, toereikende financiële middelen en opgeleid personeel om schendingen van beperkende maatregelen op te sporen, te vervolgen en te bestraffen, en pleit voor de uitwisseling van beste praktijken tussen gerechtelijke en rechtshandhavingsinstanties;</w:t>
      </w:r>
    </w:p>
    <w:p w:rsidR="0089333A" w:rsidP="008C3E09" w:rsidRDefault="0089333A" w14:paraId="4449813E" w14:textId="46A285BB">
      <w:pPr>
        <w:pStyle w:val="ListParagraph"/>
        <w:numPr>
          <w:ilvl w:val="0"/>
          <w:numId w:val="3"/>
        </w:numPr>
        <w:ind w:left="357" w:hanging="357"/>
      </w:pPr>
      <w:r>
        <w:t xml:space="preserve">blijft bezorgd over het feit dat bijzonder ernstige en veelvoorkomende misdrijven zoals </w:t>
      </w:r>
      <w:proofErr w:type="spellStart"/>
      <w:r>
        <w:t>gendergerelateerd</w:t>
      </w:r>
      <w:proofErr w:type="spellEnd"/>
      <w:r>
        <w:t xml:space="preserve"> geweld en haatmisdrijven buiten het toepassingsgebied van artikel 83, lid 1, VWEU blijven vallen.</w:t>
      </w:r>
    </w:p>
    <w:p w:rsidRPr="009B70E7" w:rsidR="008102E2" w:rsidP="008102E2" w:rsidRDefault="008102E2" w14:paraId="0D71A78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B44BB9" w:rsidTr="008B66DD" w14:paraId="502899FB" w14:textId="77777777">
        <w:tc>
          <w:tcPr>
            <w:tcW w:w="1418" w:type="dxa"/>
          </w:tcPr>
          <w:p w:rsidRPr="009B70E7" w:rsidR="00B44BB9" w:rsidP="008B66DD" w:rsidRDefault="00B44BB9" w14:paraId="4933D5C0" w14:textId="718809BF">
            <w:pPr>
              <w:pStyle w:val="ListParagraph"/>
              <w:ind w:left="0"/>
              <w:rPr>
                <w:i/>
              </w:rPr>
            </w:pPr>
            <w:bookmarkStart w:name="_Hlk130223166" w:id="11"/>
            <w:r>
              <w:rPr>
                <w:b/>
                <w:i/>
              </w:rPr>
              <w:t>Contactpersoon</w:t>
            </w:r>
          </w:p>
        </w:tc>
        <w:tc>
          <w:tcPr>
            <w:tcW w:w="5670" w:type="dxa"/>
          </w:tcPr>
          <w:p w:rsidRPr="009B70E7" w:rsidR="00B44BB9" w:rsidP="008B66DD" w:rsidRDefault="002859C4" w14:paraId="649C02E9" w14:textId="20F784C3">
            <w:pPr>
              <w:pStyle w:val="ListParagraph"/>
              <w:ind w:left="0"/>
              <w:rPr>
                <w:i/>
              </w:rPr>
            </w:pPr>
            <w:proofErr w:type="spellStart"/>
            <w:r>
              <w:rPr>
                <w:i/>
              </w:rPr>
              <w:t>Alessia</w:t>
            </w:r>
            <w:proofErr w:type="spellEnd"/>
            <w:r>
              <w:rPr>
                <w:i/>
              </w:rPr>
              <w:t xml:space="preserve"> </w:t>
            </w:r>
            <w:proofErr w:type="spellStart"/>
            <w:r>
              <w:rPr>
                <w:i/>
              </w:rPr>
              <w:t>Cova</w:t>
            </w:r>
            <w:proofErr w:type="spellEnd"/>
          </w:p>
        </w:tc>
      </w:tr>
      <w:tr w:rsidRPr="009B70E7" w:rsidR="00B44BB9" w:rsidTr="008B66DD" w14:paraId="54638E70" w14:textId="77777777">
        <w:tc>
          <w:tcPr>
            <w:tcW w:w="1418" w:type="dxa"/>
          </w:tcPr>
          <w:p w:rsidRPr="009B70E7" w:rsidR="00B44BB9" w:rsidP="008B66DD" w:rsidRDefault="00B44BB9" w14:paraId="40A81D42" w14:textId="0AEADD1A">
            <w:pPr>
              <w:pStyle w:val="ListParagraph"/>
              <w:ind w:left="601"/>
              <w:rPr>
                <w:i/>
              </w:rPr>
            </w:pPr>
            <w:r>
              <w:rPr>
                <w:i/>
              </w:rPr>
              <w:t>Tel.</w:t>
            </w:r>
          </w:p>
        </w:tc>
        <w:tc>
          <w:tcPr>
            <w:tcW w:w="5670" w:type="dxa"/>
          </w:tcPr>
          <w:p w:rsidRPr="009B70E7" w:rsidR="00B44BB9" w:rsidP="008B66DD" w:rsidRDefault="00B44BB9" w14:paraId="0C77361C" w14:textId="65DB1A49">
            <w:pPr>
              <w:pStyle w:val="ListParagraph"/>
              <w:ind w:left="0"/>
              <w:rPr>
                <w:i/>
              </w:rPr>
            </w:pPr>
            <w:r>
              <w:rPr>
                <w:i/>
              </w:rPr>
              <w:t>00 32 2 546 94 26</w:t>
            </w:r>
          </w:p>
        </w:tc>
      </w:tr>
      <w:tr w:rsidRPr="001D770D" w:rsidR="00B44BB9" w:rsidTr="008B66DD" w14:paraId="5FB79B0A" w14:textId="77777777">
        <w:tc>
          <w:tcPr>
            <w:tcW w:w="1418" w:type="dxa"/>
          </w:tcPr>
          <w:p w:rsidRPr="009B70E7" w:rsidR="00B44BB9" w:rsidP="008B66DD" w:rsidRDefault="00B44BB9" w14:paraId="0A5C365B" w14:textId="6F30D388">
            <w:pPr>
              <w:pStyle w:val="ListParagraph"/>
              <w:ind w:left="601"/>
              <w:rPr>
                <w:i/>
              </w:rPr>
            </w:pPr>
            <w:r>
              <w:rPr>
                <w:i/>
              </w:rPr>
              <w:t>E-mail</w:t>
            </w:r>
          </w:p>
        </w:tc>
        <w:tc>
          <w:tcPr>
            <w:tcW w:w="5670" w:type="dxa"/>
          </w:tcPr>
          <w:p w:rsidRPr="0089333A" w:rsidR="0089333A" w:rsidP="00726054" w:rsidRDefault="003D1DE5" w14:paraId="0E9E0878" w14:textId="526BDB82">
            <w:pPr>
              <w:pStyle w:val="ListParagraph"/>
              <w:ind w:left="0"/>
              <w:rPr>
                <w:i/>
                <w:iCs/>
                <w:color w:val="0000FF"/>
                <w:szCs w:val="20"/>
                <w:u w:val="single"/>
              </w:rPr>
            </w:pPr>
            <w:hyperlink w:history="1" r:id="rId21">
              <w:r w:rsidR="00F31F11">
                <w:rPr>
                  <w:rStyle w:val="Hyperlink"/>
                  <w:i/>
                </w:rPr>
                <w:t>Alessia.Cova@eesc.europa.eu</w:t>
              </w:r>
            </w:hyperlink>
          </w:p>
        </w:tc>
      </w:tr>
      <w:bookmarkEnd w:id="9"/>
      <w:bookmarkEnd w:id="10"/>
      <w:bookmarkEnd w:id="11"/>
    </w:tbl>
    <w:p w:rsidRPr="00133EE7" w:rsidR="005A67F3" w:rsidRDefault="005A67F3" w14:paraId="3585ED26" w14:textId="6DE79AE7">
      <w:pPr>
        <w:spacing w:after="160" w:line="259" w:lineRule="auto"/>
        <w:jc w:val="left"/>
        <w:rPr>
          <w:bCs/>
          <w:iCs/>
          <w:sz w:val="28"/>
          <w:szCs w:val="28"/>
        </w:rPr>
      </w:pPr>
    </w:p>
    <w:p w:rsidRPr="00133EE7" w:rsidR="005A67F3" w:rsidRDefault="005A67F3" w14:paraId="692E706C" w14:textId="359BDDA4">
      <w:pPr>
        <w:spacing w:after="160" w:line="259" w:lineRule="auto"/>
        <w:jc w:val="left"/>
        <w:rPr>
          <w:b/>
          <w:i/>
        </w:rPr>
      </w:pPr>
      <w:r w:rsidRPr="00133EE7">
        <w:rPr>
          <w:sz w:val="18"/>
          <w:szCs w:val="18"/>
        </w:rPr>
        <w:br w:type="page"/>
      </w:r>
    </w:p>
    <w:p w:rsidRPr="009B70E7" w:rsidR="0089333A" w:rsidP="0089333A" w:rsidRDefault="005A67F3" w14:paraId="23FDA58C" w14:textId="7574F530">
      <w:pPr>
        <w:pStyle w:val="ListParagraph"/>
        <w:keepNext/>
        <w:numPr>
          <w:ilvl w:val="0"/>
          <w:numId w:val="2"/>
        </w:numPr>
        <w:ind w:left="567" w:hanging="567"/>
        <w:rPr>
          <w:b/>
          <w:i/>
          <w:sz w:val="28"/>
          <w:szCs w:val="28"/>
        </w:rPr>
      </w:pPr>
      <w:bookmarkStart w:name="_Hlk130222751" w:id="12"/>
      <w:r>
        <w:rPr>
          <w:b/>
          <w:i/>
          <w:sz w:val="28"/>
        </w:rPr>
        <w:lastRenderedPageBreak/>
        <w:t>Aanbeveling inzake het minimuminkomen</w:t>
      </w:r>
    </w:p>
    <w:p w:rsidRPr="009B70E7" w:rsidR="0089333A" w:rsidP="0089333A" w:rsidRDefault="0089333A" w14:paraId="54C4B344"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5869"/>
      </w:tblGrid>
      <w:tr w:rsidRPr="009B70E7" w:rsidR="0089333A" w:rsidTr="00133EE7" w14:paraId="79D5C60F" w14:textId="77777777">
        <w:trPr>
          <w:cantSplit/>
          <w:trHeight w:val="284" w:hRule="exact"/>
        </w:trPr>
        <w:tc>
          <w:tcPr>
            <w:tcW w:w="2467" w:type="dxa"/>
          </w:tcPr>
          <w:p w:rsidR="0089333A" w:rsidP="00726054" w:rsidRDefault="0089333A" w14:paraId="191E1584" w14:textId="0C93C0EC">
            <w:pPr>
              <w:pStyle w:val="ListParagraph"/>
              <w:spacing w:line="240" w:lineRule="auto"/>
              <w:ind w:left="-142" w:firstLine="142"/>
              <w:rPr>
                <w:b/>
              </w:rPr>
            </w:pPr>
            <w:r>
              <w:rPr>
                <w:b/>
              </w:rPr>
              <w:t>Rapporteurs</w:t>
            </w:r>
          </w:p>
          <w:p w:rsidRPr="009B70E7" w:rsidR="0089333A" w:rsidP="00726054" w:rsidRDefault="0089333A" w14:paraId="322C2C51" w14:textId="77777777">
            <w:pPr>
              <w:pStyle w:val="ListParagraph"/>
              <w:keepNext/>
              <w:ind w:left="0"/>
              <w:rPr>
                <w:b/>
              </w:rPr>
            </w:pPr>
          </w:p>
        </w:tc>
        <w:tc>
          <w:tcPr>
            <w:tcW w:w="5869" w:type="dxa"/>
          </w:tcPr>
          <w:p w:rsidRPr="009B70E7" w:rsidR="0089333A" w:rsidP="00726054" w:rsidRDefault="0089333A" w14:paraId="63ACDE37" w14:textId="48E2F8B0">
            <w:pPr>
              <w:pStyle w:val="ListParagraph"/>
              <w:ind w:left="-52"/>
            </w:pPr>
            <w:r>
              <w:t>Jason DEGUARA (groep Werknemers – MT)</w:t>
            </w:r>
          </w:p>
        </w:tc>
      </w:tr>
      <w:tr w:rsidRPr="009B70E7" w:rsidR="0089333A" w:rsidTr="00133EE7" w14:paraId="6A867701" w14:textId="77777777">
        <w:trPr>
          <w:cantSplit/>
          <w:trHeight w:val="567" w:hRule="exact"/>
        </w:trPr>
        <w:tc>
          <w:tcPr>
            <w:tcW w:w="2467" w:type="dxa"/>
          </w:tcPr>
          <w:p w:rsidRPr="009B70E7" w:rsidR="0089333A" w:rsidP="00726054" w:rsidRDefault="0089333A" w14:paraId="191C24BD" w14:textId="181F873C">
            <w:pPr>
              <w:pStyle w:val="ListParagraph"/>
              <w:ind w:left="0"/>
              <w:rPr>
                <w:b/>
              </w:rPr>
            </w:pPr>
          </w:p>
        </w:tc>
        <w:tc>
          <w:tcPr>
            <w:tcW w:w="5869" w:type="dxa"/>
          </w:tcPr>
          <w:p w:rsidRPr="009B70E7" w:rsidR="0089333A" w:rsidP="00726054" w:rsidRDefault="005A67F3" w14:paraId="67BA20BA" w14:textId="0C9F80AE">
            <w:pPr>
              <w:pStyle w:val="ListParagraph"/>
              <w:ind w:left="-52"/>
            </w:pPr>
            <w:r>
              <w:t>Paul SOETE (groep Werkgevers – BE)</w:t>
            </w:r>
          </w:p>
        </w:tc>
      </w:tr>
      <w:tr w:rsidRPr="00627B8F" w:rsidR="0089333A" w:rsidTr="00133EE7" w14:paraId="19C8DB2D" w14:textId="77777777">
        <w:tc>
          <w:tcPr>
            <w:tcW w:w="2467" w:type="dxa"/>
          </w:tcPr>
          <w:p w:rsidRPr="009B70E7" w:rsidR="0089333A" w:rsidP="00726054" w:rsidRDefault="0089333A" w14:paraId="43904FBC" w14:textId="77777777">
            <w:pPr>
              <w:pStyle w:val="ListParagraph"/>
              <w:ind w:left="0"/>
              <w:rPr>
                <w:b/>
              </w:rPr>
            </w:pPr>
            <w:r>
              <w:rPr>
                <w:b/>
              </w:rPr>
              <w:t xml:space="preserve">Referentiedocumenten </w:t>
            </w:r>
          </w:p>
        </w:tc>
        <w:tc>
          <w:tcPr>
            <w:tcW w:w="5869" w:type="dxa"/>
          </w:tcPr>
          <w:p w:rsidRPr="00E119DF" w:rsidR="0089333A" w:rsidP="00726054" w:rsidRDefault="0089333A" w14:paraId="124FA821" w14:textId="77235BF4">
            <w:pPr>
              <w:pStyle w:val="ListParagraph"/>
              <w:ind w:left="-52"/>
            </w:pPr>
            <w:r>
              <w:t xml:space="preserve">COM(2022) 490 </w:t>
            </w:r>
            <w:proofErr w:type="spellStart"/>
            <w:r>
              <w:t>final</w:t>
            </w:r>
            <w:proofErr w:type="spellEnd"/>
          </w:p>
          <w:p w:rsidRPr="00E119DF" w:rsidR="0089333A" w:rsidP="00726054" w:rsidRDefault="0089333A" w14:paraId="14F1C2BF" w14:textId="6B74FC11">
            <w:pPr>
              <w:pStyle w:val="ListParagraph"/>
              <w:ind w:left="-52"/>
            </w:pPr>
            <w:r>
              <w:t>EESC-2022-04756-00-00-AC</w:t>
            </w:r>
          </w:p>
        </w:tc>
      </w:tr>
    </w:tbl>
    <w:p w:rsidR="0089333A" w:rsidP="0089333A" w:rsidRDefault="0089333A" w14:paraId="498D1341" w14:textId="77777777">
      <w:pPr>
        <w:pStyle w:val="ListParagraph"/>
        <w:spacing w:line="240" w:lineRule="auto"/>
        <w:ind w:left="-142" w:firstLine="284"/>
        <w:rPr>
          <w:b/>
        </w:rPr>
      </w:pPr>
    </w:p>
    <w:p w:rsidRPr="0070677E" w:rsidR="0089333A" w:rsidP="0089333A" w:rsidRDefault="0089333A" w14:paraId="44289083" w14:textId="77777777">
      <w:pPr>
        <w:pStyle w:val="ListParagraph"/>
        <w:spacing w:line="240" w:lineRule="auto"/>
        <w:ind w:left="0"/>
        <w:rPr>
          <w:b/>
        </w:rPr>
      </w:pPr>
      <w:r>
        <w:rPr>
          <w:b/>
        </w:rPr>
        <w:t>Hoofdpunten</w:t>
      </w:r>
    </w:p>
    <w:p w:rsidRPr="009B70E7" w:rsidR="0089333A" w:rsidP="0089333A" w:rsidRDefault="0089333A" w14:paraId="633CBAA5" w14:textId="77777777">
      <w:pPr>
        <w:pStyle w:val="ListParagraph"/>
        <w:ind w:left="0"/>
      </w:pPr>
    </w:p>
    <w:p w:rsidRPr="002E62B0" w:rsidR="0089333A" w:rsidP="0089333A" w:rsidRDefault="0089333A" w14:paraId="2BD1299A" w14:textId="77777777">
      <w:pPr>
        <w:pStyle w:val="ListParagraph"/>
        <w:spacing w:line="240" w:lineRule="auto"/>
        <w:ind w:left="0"/>
        <w:rPr>
          <w:bCs/>
        </w:rPr>
      </w:pPr>
      <w:r>
        <w:t>Het EESC:</w:t>
      </w:r>
    </w:p>
    <w:p w:rsidRPr="009B70E7" w:rsidR="0089333A" w:rsidP="0089333A" w:rsidRDefault="0089333A" w14:paraId="1235D4BC" w14:textId="77777777">
      <w:pPr>
        <w:pStyle w:val="ListParagraph"/>
        <w:ind w:left="0"/>
      </w:pPr>
    </w:p>
    <w:p w:rsidR="005A67F3" w:rsidP="005A67F3" w:rsidRDefault="005A67F3" w14:paraId="58EB93ED" w14:textId="77777777">
      <w:pPr>
        <w:pStyle w:val="ListParagraph"/>
        <w:numPr>
          <w:ilvl w:val="0"/>
          <w:numId w:val="3"/>
        </w:numPr>
        <w:ind w:left="357" w:hanging="357"/>
      </w:pPr>
      <w:r>
        <w:t>is ingenomen met de aanbeveling, en dan vooral met de toepassing van realistische en afdoende criteria voor het niveau en de toegankelijkheid van het minimuminkomen, de wettelijke garantie ervan en het rapportagesysteem;</w:t>
      </w:r>
    </w:p>
    <w:p w:rsidR="005A67F3" w:rsidP="005A67F3" w:rsidRDefault="005A67F3" w14:paraId="459C7AA3" w14:textId="77777777">
      <w:pPr>
        <w:pStyle w:val="ListParagraph"/>
        <w:numPr>
          <w:ilvl w:val="0"/>
          <w:numId w:val="3"/>
        </w:numPr>
        <w:ind w:left="357" w:hanging="357"/>
      </w:pPr>
      <w:r>
        <w:t>dringt aan op de invoering van een solide methode voor de vaststelling en de hoogte van het minimuminkomen om rekening te houden met de verschillende inkomensbronnen en de specifieke situaties van huishoudens; regelingen op het gebied van het minimuminkomen moeten deel uitmaken van nationale strategieën voor armoedebestrijding, met geïntegreerde maatregelen om te komen tot eerlijke lonen en fatsoenlijk werk, toegang tot betaalbare essentiële diensten van goede kwaliteit;</w:t>
      </w:r>
    </w:p>
    <w:p w:rsidR="005A67F3" w:rsidP="005A67F3" w:rsidRDefault="005A67F3" w14:paraId="490915C0" w14:textId="77777777">
      <w:pPr>
        <w:pStyle w:val="ListParagraph"/>
        <w:numPr>
          <w:ilvl w:val="0"/>
          <w:numId w:val="3"/>
        </w:numPr>
        <w:ind w:left="357" w:hanging="357"/>
      </w:pPr>
      <w:r>
        <w:t xml:space="preserve">wijst op de behoefte aan een op rechten gebaseerd en voor iedereen geldend beleid voor een toereikend minimuminkomen waarbij niemand aan zijn lot wordt overgelaten, geen al te restrictieve criteria worden gehanteerd en waarvan het resultaat nauwkeurig wordt gemeten om ervoor te zorgen dat het doeltreffend is; hamert erop dat het minimuminkomen regelmatig en met de steun van maatschappelijke organisaties, sociale partners en welzijnsorganisaties moet worden afgestemd op de inflatie; stelt voor dat de lidstaten het minimuminkomensniveau ten minste op jaarbasis beoordelen; </w:t>
      </w:r>
    </w:p>
    <w:p w:rsidR="005A67F3" w:rsidP="005A67F3" w:rsidRDefault="005A67F3" w14:paraId="69C6C411" w14:textId="77777777">
      <w:pPr>
        <w:pStyle w:val="ListParagraph"/>
        <w:numPr>
          <w:ilvl w:val="0"/>
          <w:numId w:val="3"/>
        </w:numPr>
        <w:ind w:left="357" w:hanging="357"/>
      </w:pPr>
      <w:r>
        <w:t xml:space="preserve">vindt dat bijzondere aandacht moet uitgaan naar specifieke groepen, zoals eenoudergezinnen, migrantengezinnen, jongeren, personen met een handicap en Roma; benadrukt ook het belang van regelingen op het gebied van het minimuminkomen voor zelfstandigen in Europa; zodat zij niet afhankelijk zijn van een minimuminkomen; vestigt de aandacht op de behoefte aan pensioenstelsels die een toereikend pensioen bieden zodat gepensioneerden niet afhankelijk zijn van een minimuminkomen; </w:t>
      </w:r>
    </w:p>
    <w:p w:rsidR="0089333A" w:rsidP="005A67F3" w:rsidRDefault="005A67F3" w14:paraId="297E0EE6" w14:textId="078739F3">
      <w:pPr>
        <w:pStyle w:val="ListParagraph"/>
        <w:numPr>
          <w:ilvl w:val="0"/>
          <w:numId w:val="3"/>
        </w:numPr>
        <w:ind w:left="357" w:hanging="357"/>
      </w:pPr>
      <w:r>
        <w:t>is van mening dat regelingen op het gebied van het minimuminkomen zowel geld als diensten in natura moeten omvatten voor mensen die niet kunnen werken of voor wie werken bijna onmogelijk is; in de lidstaten moeten transparante en niet-discriminerende toegangscriteria worden ingevoerd om kwesties in verband met de dekking aan te pakken.</w:t>
      </w:r>
    </w:p>
    <w:p w:rsidRPr="00FE234C" w:rsidR="0089333A" w:rsidP="0089333A" w:rsidRDefault="0089333A" w14:paraId="640E4393"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89333A" w:rsidTr="00726054" w14:paraId="56FD67A6" w14:textId="77777777">
        <w:tc>
          <w:tcPr>
            <w:tcW w:w="1418" w:type="dxa"/>
          </w:tcPr>
          <w:p w:rsidRPr="009B70E7" w:rsidR="0089333A" w:rsidP="00726054" w:rsidRDefault="0089333A" w14:paraId="12435D2F" w14:textId="77777777">
            <w:pPr>
              <w:pStyle w:val="ListParagraph"/>
              <w:ind w:left="0"/>
              <w:rPr>
                <w:i/>
              </w:rPr>
            </w:pPr>
            <w:r>
              <w:rPr>
                <w:b/>
                <w:i/>
              </w:rPr>
              <w:t>Contactpersoon</w:t>
            </w:r>
          </w:p>
        </w:tc>
        <w:tc>
          <w:tcPr>
            <w:tcW w:w="5670" w:type="dxa"/>
          </w:tcPr>
          <w:p w:rsidRPr="009B70E7" w:rsidR="0089333A" w:rsidP="00726054" w:rsidRDefault="005A67F3" w14:paraId="3D5A9470" w14:textId="75B0DCA8">
            <w:pPr>
              <w:pStyle w:val="ListParagraph"/>
              <w:ind w:left="0"/>
              <w:rPr>
                <w:i/>
              </w:rPr>
            </w:pPr>
            <w:r>
              <w:rPr>
                <w:i/>
              </w:rPr>
              <w:t>Sabrina Borg</w:t>
            </w:r>
          </w:p>
        </w:tc>
      </w:tr>
      <w:tr w:rsidRPr="009B70E7" w:rsidR="0089333A" w:rsidTr="00726054" w14:paraId="07F76748" w14:textId="77777777">
        <w:tc>
          <w:tcPr>
            <w:tcW w:w="1418" w:type="dxa"/>
          </w:tcPr>
          <w:p w:rsidRPr="009B70E7" w:rsidR="0089333A" w:rsidP="00726054" w:rsidRDefault="0089333A" w14:paraId="527E38C6" w14:textId="77777777">
            <w:pPr>
              <w:pStyle w:val="ListParagraph"/>
              <w:ind w:left="601"/>
              <w:rPr>
                <w:i/>
              </w:rPr>
            </w:pPr>
            <w:r>
              <w:rPr>
                <w:i/>
              </w:rPr>
              <w:t>Tel.</w:t>
            </w:r>
          </w:p>
        </w:tc>
        <w:tc>
          <w:tcPr>
            <w:tcW w:w="5670" w:type="dxa"/>
          </w:tcPr>
          <w:p w:rsidRPr="009B70E7" w:rsidR="0089333A" w:rsidP="00726054" w:rsidRDefault="0089333A" w14:paraId="4F54EC3B" w14:textId="2A54A57D">
            <w:pPr>
              <w:pStyle w:val="ListParagraph"/>
              <w:ind w:left="0"/>
              <w:rPr>
                <w:i/>
              </w:rPr>
            </w:pPr>
            <w:r>
              <w:rPr>
                <w:i/>
              </w:rPr>
              <w:t>00 32 2 546 97 27</w:t>
            </w:r>
          </w:p>
        </w:tc>
      </w:tr>
      <w:tr w:rsidRPr="001D770D" w:rsidR="0089333A" w:rsidTr="00726054" w14:paraId="1C39FDC0" w14:textId="77777777">
        <w:tc>
          <w:tcPr>
            <w:tcW w:w="1418" w:type="dxa"/>
          </w:tcPr>
          <w:p w:rsidRPr="009B70E7" w:rsidR="0089333A" w:rsidP="00726054" w:rsidRDefault="0089333A" w14:paraId="3941F273" w14:textId="77777777">
            <w:pPr>
              <w:pStyle w:val="ListParagraph"/>
              <w:ind w:left="601"/>
              <w:rPr>
                <w:i/>
              </w:rPr>
            </w:pPr>
            <w:r>
              <w:rPr>
                <w:i/>
              </w:rPr>
              <w:t>E-mail</w:t>
            </w:r>
          </w:p>
        </w:tc>
        <w:tc>
          <w:tcPr>
            <w:tcW w:w="5670" w:type="dxa"/>
          </w:tcPr>
          <w:p w:rsidRPr="005A67F3" w:rsidR="0089333A" w:rsidP="00726054" w:rsidRDefault="003D1DE5" w14:paraId="31FEEF95" w14:textId="4EEA05A6">
            <w:pPr>
              <w:pStyle w:val="ListParagraph"/>
              <w:ind w:left="0"/>
              <w:rPr>
                <w:i/>
                <w:iCs/>
                <w:color w:val="0000FF"/>
                <w:u w:val="single"/>
              </w:rPr>
            </w:pPr>
            <w:hyperlink w:history="1" r:id="rId22">
              <w:r w:rsidR="00F31F11">
                <w:rPr>
                  <w:rStyle w:val="Hyperlink"/>
                  <w:i/>
                </w:rPr>
                <w:t>Sabrina.Borg@eesc.europa.eu</w:t>
              </w:r>
            </w:hyperlink>
          </w:p>
        </w:tc>
      </w:tr>
      <w:bookmarkEnd w:id="12"/>
    </w:tbl>
    <w:p w:rsidR="004E0C44" w:rsidRDefault="004E0C44" w14:paraId="274BEC25" w14:textId="5454489A">
      <w:pPr>
        <w:spacing w:after="160" w:line="259" w:lineRule="auto"/>
        <w:jc w:val="left"/>
        <w:rPr>
          <w:b/>
          <w:i/>
          <w:sz w:val="28"/>
          <w:szCs w:val="28"/>
        </w:rPr>
      </w:pPr>
      <w:r>
        <w:br w:type="page"/>
      </w:r>
    </w:p>
    <w:p w:rsidRPr="009B70E7" w:rsidR="00CE7111" w:rsidP="00CE7111" w:rsidRDefault="005A67F3" w14:paraId="78CF9464" w14:textId="37BB8DA2">
      <w:pPr>
        <w:pStyle w:val="ListParagraph"/>
        <w:keepNext/>
        <w:numPr>
          <w:ilvl w:val="0"/>
          <w:numId w:val="2"/>
        </w:numPr>
        <w:ind w:left="567" w:hanging="567"/>
        <w:rPr>
          <w:b/>
          <w:i/>
          <w:sz w:val="28"/>
          <w:szCs w:val="28"/>
        </w:rPr>
      </w:pPr>
      <w:r>
        <w:rPr>
          <w:b/>
          <w:i/>
          <w:sz w:val="28"/>
        </w:rPr>
        <w:lastRenderedPageBreak/>
        <w:t>Rol van jongeren in de groene transitie</w:t>
      </w:r>
    </w:p>
    <w:p w:rsidRPr="009B70E7" w:rsidR="005A67F3" w:rsidP="00CE7111" w:rsidRDefault="005A67F3" w14:paraId="0F9A9FA2" w14:textId="77777777">
      <w:pPr>
        <w:pStyle w:val="ListParagraph"/>
        <w:keepNext/>
        <w:ind w:left="0"/>
      </w:pPr>
    </w:p>
    <w:tbl>
      <w:tblPr>
        <w:tblStyle w:val="TableGrid"/>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7172"/>
      </w:tblGrid>
      <w:tr w:rsidRPr="009B70E7" w:rsidR="00CE7111" w:rsidTr="00133EE7" w14:paraId="00EE265E" w14:textId="77777777">
        <w:trPr>
          <w:cantSplit/>
          <w:trHeight w:val="284" w:hRule="exact"/>
        </w:trPr>
        <w:tc>
          <w:tcPr>
            <w:tcW w:w="2467" w:type="dxa"/>
          </w:tcPr>
          <w:p w:rsidR="00CE7111" w:rsidP="00726054" w:rsidRDefault="00CE7111" w14:paraId="242C44FC" w14:textId="77777777">
            <w:pPr>
              <w:pStyle w:val="ListParagraph"/>
              <w:spacing w:line="240" w:lineRule="auto"/>
              <w:ind w:left="-142" w:firstLine="142"/>
              <w:rPr>
                <w:b/>
              </w:rPr>
            </w:pPr>
            <w:r>
              <w:rPr>
                <w:b/>
              </w:rPr>
              <w:t>Rapporteur</w:t>
            </w:r>
          </w:p>
          <w:p w:rsidRPr="009B70E7" w:rsidR="00CE7111" w:rsidP="00726054" w:rsidRDefault="00CE7111" w14:paraId="515F35BD" w14:textId="77777777">
            <w:pPr>
              <w:pStyle w:val="ListParagraph"/>
              <w:keepNext/>
              <w:ind w:left="0"/>
              <w:rPr>
                <w:b/>
              </w:rPr>
            </w:pPr>
          </w:p>
        </w:tc>
        <w:tc>
          <w:tcPr>
            <w:tcW w:w="7172" w:type="dxa"/>
          </w:tcPr>
          <w:p w:rsidR="00CE7111" w:rsidP="00726054" w:rsidRDefault="00C87097" w14:paraId="4C9D645C" w14:textId="508A169E">
            <w:pPr>
              <w:pStyle w:val="ListParagraph"/>
              <w:ind w:left="-52" w:right="-1618"/>
            </w:pPr>
            <w:proofErr w:type="spellStart"/>
            <w:r>
              <w:t>Nicoletta</w:t>
            </w:r>
            <w:proofErr w:type="spellEnd"/>
            <w:r>
              <w:t xml:space="preserve"> MERLO (groep Werknemers – IT)</w:t>
            </w:r>
          </w:p>
          <w:p w:rsidR="005A67F3" w:rsidP="00726054" w:rsidRDefault="005A67F3" w14:paraId="1DCB5A7C" w14:textId="77777777">
            <w:pPr>
              <w:pStyle w:val="ListParagraph"/>
              <w:ind w:left="-52" w:right="-1618"/>
            </w:pPr>
          </w:p>
          <w:p w:rsidR="005A67F3" w:rsidP="00726054" w:rsidRDefault="005A67F3" w14:paraId="7E1A896D" w14:textId="77777777">
            <w:pPr>
              <w:pStyle w:val="ListParagraph"/>
              <w:ind w:left="-52" w:right="-1618"/>
            </w:pPr>
          </w:p>
          <w:p w:rsidR="005A67F3" w:rsidP="00726054" w:rsidRDefault="005A67F3" w14:paraId="68373C07" w14:textId="77777777">
            <w:pPr>
              <w:pStyle w:val="ListParagraph"/>
              <w:ind w:left="-52" w:right="-1618"/>
            </w:pPr>
          </w:p>
          <w:p w:rsidR="00CE7111" w:rsidP="00726054" w:rsidRDefault="00CE7111" w14:paraId="4D1FE8F3" w14:textId="77777777">
            <w:pPr>
              <w:pStyle w:val="ListParagraph"/>
              <w:ind w:left="-52"/>
            </w:pPr>
          </w:p>
          <w:p w:rsidRPr="009B70E7" w:rsidR="00CE7111" w:rsidP="00726054" w:rsidRDefault="00CE7111" w14:paraId="5C388FB6" w14:textId="77777777">
            <w:pPr>
              <w:pStyle w:val="ListParagraph"/>
              <w:ind w:left="-52"/>
            </w:pPr>
          </w:p>
        </w:tc>
      </w:tr>
      <w:tr w:rsidRPr="00627B8F" w:rsidR="005A67F3" w:rsidTr="00133EE7" w14:paraId="6B3250F4" w14:textId="77777777">
        <w:tc>
          <w:tcPr>
            <w:tcW w:w="2467" w:type="dxa"/>
          </w:tcPr>
          <w:p w:rsidRPr="009B70E7" w:rsidR="005A67F3" w:rsidP="00726054" w:rsidRDefault="005A67F3" w14:paraId="609A3794" w14:textId="77777777">
            <w:pPr>
              <w:pStyle w:val="ListParagraph"/>
              <w:ind w:left="0"/>
              <w:rPr>
                <w:b/>
              </w:rPr>
            </w:pPr>
          </w:p>
        </w:tc>
        <w:tc>
          <w:tcPr>
            <w:tcW w:w="7172" w:type="dxa"/>
          </w:tcPr>
          <w:p w:rsidR="005A67F3" w:rsidP="00726054" w:rsidRDefault="005A67F3" w14:paraId="17532154" w14:textId="77777777">
            <w:pPr>
              <w:pStyle w:val="ListParagraph"/>
              <w:ind w:left="-52"/>
            </w:pPr>
          </w:p>
        </w:tc>
      </w:tr>
      <w:tr w:rsidRPr="00627B8F" w:rsidR="00CE7111" w:rsidTr="00133EE7" w14:paraId="03CE010C" w14:textId="77777777">
        <w:tc>
          <w:tcPr>
            <w:tcW w:w="2467" w:type="dxa"/>
          </w:tcPr>
          <w:p w:rsidRPr="009B70E7" w:rsidR="00CE7111" w:rsidP="00726054" w:rsidRDefault="00CE7111" w14:paraId="33E40C80" w14:textId="1D5B064A">
            <w:pPr>
              <w:pStyle w:val="ListParagraph"/>
              <w:ind w:left="0"/>
              <w:rPr>
                <w:b/>
              </w:rPr>
            </w:pPr>
            <w:r>
              <w:rPr>
                <w:b/>
              </w:rPr>
              <w:t>Referentiedocumenten</w:t>
            </w:r>
          </w:p>
        </w:tc>
        <w:tc>
          <w:tcPr>
            <w:tcW w:w="7172" w:type="dxa"/>
          </w:tcPr>
          <w:p w:rsidRPr="00E119DF" w:rsidR="00CE7111" w:rsidP="00726054" w:rsidRDefault="00C87097" w14:paraId="4EC067DC" w14:textId="6324B467">
            <w:pPr>
              <w:pStyle w:val="ListParagraph"/>
              <w:ind w:left="-52"/>
            </w:pPr>
            <w:r>
              <w:t>Verkennend advies op verzoek van het Zweedse voorzitterschap</w:t>
            </w:r>
          </w:p>
          <w:p w:rsidRPr="00E119DF" w:rsidR="00CE7111" w:rsidP="00726054" w:rsidRDefault="00CE7111" w14:paraId="465D4933" w14:textId="73F34CF3">
            <w:pPr>
              <w:pStyle w:val="ListParagraph"/>
              <w:ind w:left="-52"/>
            </w:pPr>
            <w:r>
              <w:t>EESC-2023-00128-00-00-AC</w:t>
            </w:r>
          </w:p>
        </w:tc>
      </w:tr>
    </w:tbl>
    <w:p w:rsidR="00CE7111" w:rsidP="00CE7111" w:rsidRDefault="00CE7111" w14:paraId="110AE2D5" w14:textId="77777777">
      <w:pPr>
        <w:pStyle w:val="ListParagraph"/>
        <w:spacing w:line="240" w:lineRule="auto"/>
        <w:ind w:left="-142" w:firstLine="284"/>
        <w:rPr>
          <w:b/>
        </w:rPr>
      </w:pPr>
    </w:p>
    <w:p w:rsidRPr="0070677E" w:rsidR="00CE7111" w:rsidP="00CE7111" w:rsidRDefault="00CE7111" w14:paraId="69ACC511" w14:textId="77777777">
      <w:pPr>
        <w:pStyle w:val="ListParagraph"/>
        <w:spacing w:line="240" w:lineRule="auto"/>
        <w:ind w:left="0"/>
        <w:rPr>
          <w:b/>
        </w:rPr>
      </w:pPr>
      <w:r>
        <w:rPr>
          <w:b/>
        </w:rPr>
        <w:t>Hoofdpunten</w:t>
      </w:r>
    </w:p>
    <w:p w:rsidRPr="009B70E7" w:rsidR="00CE7111" w:rsidP="00CE7111" w:rsidRDefault="00CE7111" w14:paraId="24110627" w14:textId="77777777">
      <w:pPr>
        <w:pStyle w:val="ListParagraph"/>
        <w:ind w:left="0"/>
      </w:pPr>
    </w:p>
    <w:p w:rsidRPr="002E62B0" w:rsidR="00CE7111" w:rsidP="00CE7111" w:rsidRDefault="00CE7111" w14:paraId="3C25CC00" w14:textId="77777777">
      <w:pPr>
        <w:pStyle w:val="ListParagraph"/>
        <w:spacing w:line="240" w:lineRule="auto"/>
        <w:ind w:left="0"/>
        <w:rPr>
          <w:bCs/>
        </w:rPr>
      </w:pPr>
      <w:r>
        <w:t>Het EESC:</w:t>
      </w:r>
    </w:p>
    <w:p w:rsidRPr="009B70E7" w:rsidR="00CE7111" w:rsidP="00CE7111" w:rsidRDefault="00CE7111" w14:paraId="111000EE" w14:textId="77777777">
      <w:pPr>
        <w:pStyle w:val="ListParagraph"/>
        <w:ind w:left="0"/>
      </w:pPr>
    </w:p>
    <w:p w:rsidR="00C87097" w:rsidP="00C87097" w:rsidRDefault="00C87097" w14:paraId="204067AD" w14:textId="77777777">
      <w:pPr>
        <w:pStyle w:val="ListParagraph"/>
        <w:numPr>
          <w:ilvl w:val="0"/>
          <w:numId w:val="3"/>
        </w:numPr>
        <w:ind w:left="357" w:hanging="357"/>
      </w:pPr>
      <w:r>
        <w:t>is van mening dat een nieuw en meer inclusief bestuursmodel waarmee jongeren actief kunnen deelnemen aan besluitvormingsprocessen essentieel is om jongeren in de gelegenheid te stellen een cruciale rol te spelen bij de groene transitie;</w:t>
      </w:r>
    </w:p>
    <w:p w:rsidR="00C87097" w:rsidP="00C87097" w:rsidRDefault="00C87097" w14:paraId="754218CC" w14:textId="77777777">
      <w:pPr>
        <w:pStyle w:val="ListParagraph"/>
        <w:numPr>
          <w:ilvl w:val="0"/>
          <w:numId w:val="3"/>
        </w:numPr>
        <w:ind w:left="357" w:hanging="357"/>
      </w:pPr>
      <w:r>
        <w:t>acht het belangrijk om ervoor te zorgen dat jongerenorganisaties een vooraanstaande rol hebben in het besluitvormingsproces en bij het ontwikkelen en verbreiden van projecten op het gebied van duurzaamheid en milieu, en roept de EU-instellingen in dit verband op om deze organisaties structureel financieel te steunen met adequate en specifieke middelen, zodat zij in staat worden gesteld om jongeren (meer) te laten meedoen aan de groene transitie;</w:t>
      </w:r>
    </w:p>
    <w:p w:rsidR="00C87097" w:rsidP="00C87097" w:rsidRDefault="00C87097" w14:paraId="1F84D0BD" w14:textId="77777777">
      <w:pPr>
        <w:pStyle w:val="ListParagraph"/>
        <w:numPr>
          <w:ilvl w:val="0"/>
          <w:numId w:val="3"/>
        </w:numPr>
        <w:ind w:left="357" w:hanging="357"/>
      </w:pPr>
      <w:r>
        <w:t xml:space="preserve">vindt dat kinderen al op jonge leeftijd over duurzaamheid en milieubescherming moeten leren; wijst erop dat het van belang is om werknemers, zowel jonge als oudere, met de nodige vaardigheden uit te rusten zodat ze kunnen omgaan met de vernieuwingen die de groene transitie met zich meebrengt, met de nadruk op werkplekleren, opleiding op de werkplek en kwaliteitsvolle stages en </w:t>
      </w:r>
      <w:proofErr w:type="spellStart"/>
      <w:r>
        <w:t>leerlingplaatsen</w:t>
      </w:r>
      <w:proofErr w:type="spellEnd"/>
      <w:r>
        <w:t>; acht het belangrijk dat de initiatieven en maatregelen in het kader van het Europees Jaar van de Vaardigheden worden gekoppeld aan de groene transitie en duurzame ontwikkeling en aan de uitdagingen waarmee jongeren in een snel veranderende wereld worden geconfronteerd;</w:t>
      </w:r>
    </w:p>
    <w:p w:rsidR="00C87097" w:rsidP="00C87097" w:rsidRDefault="00C87097" w14:paraId="49852C82" w14:textId="77777777">
      <w:pPr>
        <w:pStyle w:val="ListParagraph"/>
        <w:numPr>
          <w:ilvl w:val="0"/>
          <w:numId w:val="3"/>
        </w:numPr>
        <w:ind w:left="357" w:hanging="357"/>
      </w:pPr>
      <w:r>
        <w:t>moedigt EU-instellingen en lidstaten ertoe aan maatregelen in te voeren om ervoor te zorgen dat op alle beleidsterreinen rekening wordt gehouden met de kijk van jongeren, en ruimte voor jongeren te creëren zodat ze een coherente en op kennis van zaken gebaseerde bijdrage kunnen leveren aan het oplossen van de problemen waarmee ze worden geconfronteerd. Hiertoe moet de EU-jeugdtest onverkort worden ingevoerd;</w:t>
      </w:r>
    </w:p>
    <w:p w:rsidR="00CE7111" w:rsidP="00C87097" w:rsidRDefault="00C87097" w14:paraId="6CACA9BC" w14:textId="1D1BAB3E">
      <w:pPr>
        <w:pStyle w:val="ListParagraph"/>
        <w:numPr>
          <w:ilvl w:val="0"/>
          <w:numId w:val="3"/>
        </w:numPr>
        <w:ind w:left="357" w:hanging="357"/>
      </w:pPr>
      <w:r>
        <w:t>is van mening dat de lidstaten aanzienlijke middelen moeten uittrekken om bedrijven die moeten omschakelen te ondersteunen, ontslagen werknemers elders aan een baan te helpen en de nodige steun te verlenen aan (vooral jonge) ondernemers die willen investeren in groene bedrijven, zodat de groene transitie ook een rechtvaardige transitie wordt. Voorts zijn er meer middelen nodig voor keuzebegeleiding van jongeren op school en ondersteuning van jongeren op hun pad naar werk.</w:t>
      </w:r>
    </w:p>
    <w:p w:rsidRPr="009B70E7" w:rsidR="00CE7111" w:rsidP="00CE7111" w:rsidRDefault="00CE7111" w14:paraId="36F8829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5A67F3" w:rsidTr="00726054" w14:paraId="1E17F130" w14:textId="77777777">
        <w:tc>
          <w:tcPr>
            <w:tcW w:w="1418" w:type="dxa"/>
          </w:tcPr>
          <w:p w:rsidRPr="009B70E7" w:rsidR="005A67F3" w:rsidP="00726054" w:rsidRDefault="005A67F3" w14:paraId="0A579510" w14:textId="77777777">
            <w:pPr>
              <w:pStyle w:val="ListParagraph"/>
              <w:ind w:left="0"/>
              <w:rPr>
                <w:i/>
              </w:rPr>
            </w:pPr>
            <w:r>
              <w:rPr>
                <w:b/>
                <w:i/>
              </w:rPr>
              <w:t>Contactpersoon</w:t>
            </w:r>
          </w:p>
        </w:tc>
        <w:tc>
          <w:tcPr>
            <w:tcW w:w="5670" w:type="dxa"/>
          </w:tcPr>
          <w:p w:rsidRPr="009B70E7" w:rsidR="005A67F3" w:rsidP="00726054" w:rsidRDefault="005A67F3" w14:paraId="5CFE2D2D" w14:textId="77777777">
            <w:pPr>
              <w:pStyle w:val="ListParagraph"/>
              <w:ind w:left="0"/>
              <w:rPr>
                <w:i/>
              </w:rPr>
            </w:pPr>
            <w:r>
              <w:rPr>
                <w:i/>
              </w:rPr>
              <w:t>Sabrina Borg</w:t>
            </w:r>
          </w:p>
        </w:tc>
      </w:tr>
      <w:tr w:rsidRPr="009B70E7" w:rsidR="005A67F3" w:rsidTr="00726054" w14:paraId="2BA2718A" w14:textId="77777777">
        <w:tc>
          <w:tcPr>
            <w:tcW w:w="1418" w:type="dxa"/>
          </w:tcPr>
          <w:p w:rsidRPr="009B70E7" w:rsidR="005A67F3" w:rsidP="00726054" w:rsidRDefault="005A67F3" w14:paraId="178C901D" w14:textId="77777777">
            <w:pPr>
              <w:pStyle w:val="ListParagraph"/>
              <w:ind w:left="601"/>
              <w:rPr>
                <w:i/>
              </w:rPr>
            </w:pPr>
            <w:r>
              <w:rPr>
                <w:i/>
              </w:rPr>
              <w:t>Tel.</w:t>
            </w:r>
          </w:p>
        </w:tc>
        <w:tc>
          <w:tcPr>
            <w:tcW w:w="5670" w:type="dxa"/>
          </w:tcPr>
          <w:p w:rsidRPr="009B70E7" w:rsidR="005A67F3" w:rsidP="00726054" w:rsidRDefault="005A67F3" w14:paraId="06815B91" w14:textId="77777777">
            <w:pPr>
              <w:pStyle w:val="ListParagraph"/>
              <w:ind w:left="0"/>
              <w:rPr>
                <w:i/>
              </w:rPr>
            </w:pPr>
            <w:r>
              <w:rPr>
                <w:i/>
              </w:rPr>
              <w:t>00 32 2 546 97 27</w:t>
            </w:r>
          </w:p>
        </w:tc>
      </w:tr>
      <w:tr w:rsidRPr="005A67F3" w:rsidR="005A67F3" w:rsidTr="00726054" w14:paraId="1E1095EF" w14:textId="77777777">
        <w:tc>
          <w:tcPr>
            <w:tcW w:w="1418" w:type="dxa"/>
          </w:tcPr>
          <w:p w:rsidRPr="009B70E7" w:rsidR="005A67F3" w:rsidP="00726054" w:rsidRDefault="005A67F3" w14:paraId="11EA86E3" w14:textId="77777777">
            <w:pPr>
              <w:pStyle w:val="ListParagraph"/>
              <w:ind w:left="601"/>
              <w:rPr>
                <w:i/>
              </w:rPr>
            </w:pPr>
            <w:r>
              <w:rPr>
                <w:i/>
              </w:rPr>
              <w:t>E-mail</w:t>
            </w:r>
          </w:p>
        </w:tc>
        <w:tc>
          <w:tcPr>
            <w:tcW w:w="5670" w:type="dxa"/>
          </w:tcPr>
          <w:p w:rsidRPr="005A67F3" w:rsidR="005A67F3" w:rsidP="00726054" w:rsidRDefault="003D1DE5" w14:paraId="6D457E71" w14:textId="77777777">
            <w:pPr>
              <w:pStyle w:val="ListParagraph"/>
              <w:ind w:left="0"/>
              <w:rPr>
                <w:i/>
                <w:iCs/>
                <w:color w:val="0000FF"/>
                <w:u w:val="single"/>
              </w:rPr>
            </w:pPr>
            <w:hyperlink w:history="1" r:id="rId23">
              <w:r w:rsidR="00F31F11">
                <w:rPr>
                  <w:rStyle w:val="Hyperlink"/>
                  <w:i/>
                </w:rPr>
                <w:t>Sabrina.Borg@eesc.europa.eu</w:t>
              </w:r>
            </w:hyperlink>
          </w:p>
        </w:tc>
      </w:tr>
    </w:tbl>
    <w:p w:rsidR="004E0C44" w:rsidRDefault="004E0C44" w14:paraId="510F214D" w14:textId="15095FE8">
      <w:pPr>
        <w:spacing w:after="160" w:line="259" w:lineRule="auto"/>
        <w:jc w:val="left"/>
      </w:pPr>
    </w:p>
    <w:p w:rsidR="00C87097" w:rsidRDefault="00C87097" w14:paraId="30BA2115" w14:textId="574078F9">
      <w:pPr>
        <w:spacing w:after="160" w:line="259" w:lineRule="auto"/>
        <w:jc w:val="left"/>
      </w:pPr>
      <w:r>
        <w:br w:type="page"/>
      </w:r>
    </w:p>
    <w:p w:rsidRPr="00C87097" w:rsidR="00C87097" w:rsidP="00C87097" w:rsidRDefault="00C87097" w14:paraId="2F903669" w14:textId="385BF4F7">
      <w:pPr>
        <w:keepNext/>
        <w:numPr>
          <w:ilvl w:val="0"/>
          <w:numId w:val="2"/>
        </w:numPr>
        <w:ind w:left="567" w:hanging="567"/>
        <w:contextualSpacing/>
        <w:rPr>
          <w:b/>
          <w:i/>
          <w:sz w:val="28"/>
          <w:szCs w:val="28"/>
        </w:rPr>
      </w:pPr>
      <w:bookmarkStart w:name="_Hlk130311599" w:id="13"/>
      <w:r>
        <w:rPr>
          <w:b/>
          <w:i/>
          <w:sz w:val="28"/>
        </w:rPr>
        <w:lastRenderedPageBreak/>
        <w:t>Versterking van de rol en onafhankelijkheid van organen voor gelijke behandeling</w:t>
      </w:r>
    </w:p>
    <w:p w:rsidRPr="00C87097" w:rsidR="00C87097" w:rsidP="00C87097" w:rsidRDefault="00C87097" w14:paraId="4A842C6A" w14:textId="77777777">
      <w:pPr>
        <w:keepNext/>
        <w:contextualSpacing/>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67"/>
        <w:gridCol w:w="5869"/>
      </w:tblGrid>
      <w:tr w:rsidRPr="00C87097" w:rsidR="00C87097" w:rsidTr="00133EE7" w14:paraId="27382B2A" w14:textId="77777777">
        <w:trPr>
          <w:cantSplit/>
          <w:trHeight w:val="284" w:hRule="exact"/>
        </w:trPr>
        <w:tc>
          <w:tcPr>
            <w:tcW w:w="2467" w:type="dxa"/>
          </w:tcPr>
          <w:p w:rsidRPr="00C87097" w:rsidR="00C87097" w:rsidP="00C87097" w:rsidRDefault="00C87097" w14:paraId="4BA8C948" w14:textId="77777777">
            <w:pPr>
              <w:spacing w:line="240" w:lineRule="auto"/>
              <w:ind w:left="-142" w:firstLine="142"/>
              <w:contextualSpacing/>
              <w:rPr>
                <w:b/>
              </w:rPr>
            </w:pPr>
            <w:r>
              <w:rPr>
                <w:b/>
              </w:rPr>
              <w:t>Rapporteurs</w:t>
            </w:r>
          </w:p>
          <w:p w:rsidRPr="00C87097" w:rsidR="00C87097" w:rsidP="00C87097" w:rsidRDefault="00C87097" w14:paraId="253EA2C7" w14:textId="77777777">
            <w:pPr>
              <w:keepNext/>
              <w:contextualSpacing/>
              <w:rPr>
                <w:b/>
              </w:rPr>
            </w:pPr>
          </w:p>
        </w:tc>
        <w:tc>
          <w:tcPr>
            <w:tcW w:w="5869" w:type="dxa"/>
          </w:tcPr>
          <w:p w:rsidRPr="00C87097" w:rsidR="00C87097" w:rsidP="00C87097" w:rsidRDefault="00C87097" w14:paraId="6EF77B0A" w14:textId="36376881">
            <w:pPr>
              <w:ind w:left="-52"/>
              <w:contextualSpacing/>
            </w:pPr>
            <w:proofErr w:type="spellStart"/>
            <w:r>
              <w:t>Sif</w:t>
            </w:r>
            <w:proofErr w:type="spellEnd"/>
            <w:r>
              <w:t xml:space="preserve"> HOLST (groep Maatschappelijke Organisaties – DK)</w:t>
            </w:r>
          </w:p>
        </w:tc>
      </w:tr>
      <w:tr w:rsidRPr="00C87097" w:rsidR="00C87097" w:rsidTr="00133EE7" w14:paraId="5C30CFA0" w14:textId="77777777">
        <w:trPr>
          <w:cantSplit/>
          <w:trHeight w:val="567" w:hRule="exact"/>
        </w:trPr>
        <w:tc>
          <w:tcPr>
            <w:tcW w:w="2467" w:type="dxa"/>
          </w:tcPr>
          <w:p w:rsidRPr="00C87097" w:rsidR="00C87097" w:rsidP="00C87097" w:rsidRDefault="00C87097" w14:paraId="30DCBFE7" w14:textId="77777777">
            <w:pPr>
              <w:contextualSpacing/>
              <w:rPr>
                <w:b/>
              </w:rPr>
            </w:pPr>
          </w:p>
        </w:tc>
        <w:tc>
          <w:tcPr>
            <w:tcW w:w="5869" w:type="dxa"/>
          </w:tcPr>
          <w:p w:rsidRPr="00C87097" w:rsidR="00C87097" w:rsidP="00C87097" w:rsidRDefault="00C87097" w14:paraId="1FBACC00" w14:textId="2F6D34A4">
            <w:pPr>
              <w:ind w:left="-52"/>
              <w:contextualSpacing/>
            </w:pPr>
            <w:proofErr w:type="spellStart"/>
            <w:r>
              <w:t>Nicoletta</w:t>
            </w:r>
            <w:proofErr w:type="spellEnd"/>
            <w:r>
              <w:t xml:space="preserve"> MERLO (groep Werknemers – IT)</w:t>
            </w:r>
          </w:p>
        </w:tc>
      </w:tr>
      <w:tr w:rsidRPr="00C87097" w:rsidR="00C87097" w:rsidTr="00133EE7" w14:paraId="3129760A" w14:textId="77777777">
        <w:tc>
          <w:tcPr>
            <w:tcW w:w="2467" w:type="dxa"/>
          </w:tcPr>
          <w:p w:rsidRPr="00C87097" w:rsidR="00C87097" w:rsidP="00C87097" w:rsidRDefault="00C87097" w14:paraId="579A0CBB" w14:textId="77777777">
            <w:pPr>
              <w:contextualSpacing/>
              <w:rPr>
                <w:b/>
              </w:rPr>
            </w:pPr>
            <w:r>
              <w:rPr>
                <w:b/>
              </w:rPr>
              <w:t xml:space="preserve">Referentiedocumenten </w:t>
            </w:r>
          </w:p>
        </w:tc>
        <w:tc>
          <w:tcPr>
            <w:tcW w:w="5869" w:type="dxa"/>
          </w:tcPr>
          <w:p w:rsidRPr="00C87097" w:rsidR="00C87097" w:rsidP="00C87097" w:rsidRDefault="00C87097" w14:paraId="4BE75972" w14:textId="2C565E9C">
            <w:pPr>
              <w:ind w:left="-52"/>
              <w:contextualSpacing/>
            </w:pPr>
            <w:r>
              <w:t xml:space="preserve">COM(2022) 688-689 </w:t>
            </w:r>
            <w:proofErr w:type="spellStart"/>
            <w:r>
              <w:t>final</w:t>
            </w:r>
            <w:proofErr w:type="spellEnd"/>
          </w:p>
          <w:p w:rsidRPr="00C87097" w:rsidR="00C87097" w:rsidP="00C87097" w:rsidRDefault="00C87097" w14:paraId="055F3964" w14:textId="558931F4">
            <w:pPr>
              <w:ind w:left="-52"/>
              <w:contextualSpacing/>
            </w:pPr>
            <w:r>
              <w:t>EESC-2022-05875-00-00-AC</w:t>
            </w:r>
          </w:p>
        </w:tc>
      </w:tr>
    </w:tbl>
    <w:p w:rsidRPr="00C87097" w:rsidR="00C87097" w:rsidP="00C87097" w:rsidRDefault="00C87097" w14:paraId="1EA226C4" w14:textId="77777777">
      <w:pPr>
        <w:spacing w:line="240" w:lineRule="auto"/>
        <w:ind w:left="-142" w:firstLine="284"/>
        <w:contextualSpacing/>
        <w:rPr>
          <w:b/>
        </w:rPr>
      </w:pPr>
    </w:p>
    <w:p w:rsidRPr="00C87097" w:rsidR="00C87097" w:rsidP="00C87097" w:rsidRDefault="00C87097" w14:paraId="4DB5EB78" w14:textId="77777777">
      <w:pPr>
        <w:spacing w:line="240" w:lineRule="auto"/>
        <w:contextualSpacing/>
        <w:rPr>
          <w:b/>
        </w:rPr>
      </w:pPr>
      <w:r>
        <w:rPr>
          <w:b/>
        </w:rPr>
        <w:t>Hoofdpunten</w:t>
      </w:r>
    </w:p>
    <w:p w:rsidRPr="00C87097" w:rsidR="00C87097" w:rsidP="00C87097" w:rsidRDefault="00C87097" w14:paraId="57173242" w14:textId="77777777">
      <w:pPr>
        <w:contextualSpacing/>
      </w:pPr>
    </w:p>
    <w:p w:rsidRPr="00C87097" w:rsidR="00C87097" w:rsidP="00C87097" w:rsidRDefault="00C87097" w14:paraId="2FEFFBBF" w14:textId="77777777">
      <w:pPr>
        <w:spacing w:line="240" w:lineRule="auto"/>
        <w:contextualSpacing/>
        <w:rPr>
          <w:bCs/>
        </w:rPr>
      </w:pPr>
      <w:r>
        <w:t>Het EESC:</w:t>
      </w:r>
    </w:p>
    <w:p w:rsidRPr="00C87097" w:rsidR="00C87097" w:rsidP="00C87097" w:rsidRDefault="00C87097" w14:paraId="2499AC33" w14:textId="77777777">
      <w:pPr>
        <w:contextualSpacing/>
      </w:pPr>
    </w:p>
    <w:p w:rsidR="00C87097" w:rsidP="00C87097" w:rsidRDefault="00C87097" w14:paraId="31DB2B1C" w14:textId="77777777">
      <w:pPr>
        <w:numPr>
          <w:ilvl w:val="0"/>
          <w:numId w:val="3"/>
        </w:numPr>
        <w:ind w:left="357" w:hanging="357"/>
        <w:contextualSpacing/>
      </w:pPr>
      <w:r>
        <w:t>is ingenomen met het initiatief om organen voor gelijke behandeling de rol te geven van pleitbezorger voor de rechten van slachtoffers van discriminatie, en acht het belangrijk om in de voorgestelde richtlijnen het juiste evenwicht te vinden tussen enerzijds normen voor organen voor gelijke behandeling en anderzijds subsidiariteit, waarbij er tegelijkertijd voor moet worden gezorgd dat het versterken en doeltreffender maken van organen voor gelijke behandeling, een prioriteit blijft;</w:t>
      </w:r>
    </w:p>
    <w:p w:rsidR="00C87097" w:rsidP="00C87097" w:rsidRDefault="00C87097" w14:paraId="44D44925" w14:textId="77777777">
      <w:pPr>
        <w:numPr>
          <w:ilvl w:val="0"/>
          <w:numId w:val="3"/>
        </w:numPr>
        <w:ind w:left="357" w:hanging="357"/>
        <w:contextualSpacing/>
      </w:pPr>
      <w:r>
        <w:t xml:space="preserve">dringt erop aan om rekening te houden met </w:t>
      </w:r>
      <w:proofErr w:type="spellStart"/>
      <w:r>
        <w:t>intersectionele</w:t>
      </w:r>
      <w:proofErr w:type="spellEnd"/>
      <w:r>
        <w:t xml:space="preserve"> en meervoudige vormen van discriminatie en is ingenomen met de verduidelijking dat toegankelijkheid voor iedereen ook aandacht vereist voor de toegankelijkheidsbehoeften van personen met een handicap;</w:t>
      </w:r>
    </w:p>
    <w:p w:rsidR="00C87097" w:rsidP="00C87097" w:rsidRDefault="00C87097" w14:paraId="295F0CB8" w14:textId="77777777">
      <w:pPr>
        <w:numPr>
          <w:ilvl w:val="0"/>
          <w:numId w:val="3"/>
        </w:numPr>
        <w:ind w:left="357" w:hanging="357"/>
        <w:contextualSpacing/>
      </w:pPr>
      <w:r>
        <w:t>is ingenomen met de invoering van de wettelijke verplichting, die inhoudt dat organen voor gelijke behandeling vrij moeten zijn van externe beïnvloeding en ervoor moeten zorgen dat zij over voldoende personele, technische en financiële middelen beschikken;</w:t>
      </w:r>
    </w:p>
    <w:p w:rsidR="00C87097" w:rsidP="00C87097" w:rsidRDefault="00C87097" w14:paraId="1B3D0DA4" w14:textId="77777777">
      <w:pPr>
        <w:numPr>
          <w:ilvl w:val="0"/>
          <w:numId w:val="3"/>
        </w:numPr>
        <w:ind w:left="357" w:hanging="357"/>
        <w:contextualSpacing/>
      </w:pPr>
      <w:r>
        <w:t>beveelt aan dat de lidstaten verplicht worden verslag uit te brengen over de maatregelen die zij hebben genomen voor hun interactie met organen voor gelijke behandeling;</w:t>
      </w:r>
    </w:p>
    <w:p w:rsidR="00C87097" w:rsidP="00C87097" w:rsidRDefault="00C87097" w14:paraId="516A5927" w14:textId="77777777">
      <w:pPr>
        <w:numPr>
          <w:ilvl w:val="0"/>
          <w:numId w:val="3"/>
        </w:numPr>
        <w:ind w:left="357" w:hanging="357"/>
        <w:contextualSpacing/>
      </w:pPr>
      <w:r>
        <w:t>stelt voor de rapportagetermijn van het toezichtmechanisme te verkorten tot drie jaar;</w:t>
      </w:r>
    </w:p>
    <w:p w:rsidR="00C87097" w:rsidP="00C87097" w:rsidRDefault="00C87097" w14:paraId="26F7BD8A" w14:textId="77777777">
      <w:pPr>
        <w:numPr>
          <w:ilvl w:val="0"/>
          <w:numId w:val="3"/>
        </w:numPr>
        <w:ind w:left="357" w:hanging="357"/>
        <w:contextualSpacing/>
      </w:pPr>
      <w:r>
        <w:t xml:space="preserve">acht het van groot belang dat de verscheidenheid aan nationale rechtskaders en -praktijken inzake </w:t>
      </w:r>
      <w:r w:rsidRPr="00133EE7">
        <w:rPr>
          <w:spacing w:val="-2"/>
        </w:rPr>
        <w:t>non-discriminatie wordt gerespecteerd en dat rekening wordt gehouden met verschillen in de wijze waarop de sociale partners en organisaties van het maatschappelijk middenveld bij het proces worden betrokken; is ook van mening dat de uitoefening van onderzoeksbevoegdheden in het kader van procedures ten behoeve van of ter ondersteuning van slachtoffers van discriminatie geen afbreuk mag doen aan de bevoegdheden van rechtbanken en andere openbare toezichthoudende instanties</w:t>
      </w:r>
      <w:r>
        <w:t>;</w:t>
      </w:r>
    </w:p>
    <w:p w:rsidR="00C87097" w:rsidP="00C87097" w:rsidRDefault="00C87097" w14:paraId="5D9DE56D" w14:textId="77777777">
      <w:pPr>
        <w:numPr>
          <w:ilvl w:val="0"/>
          <w:numId w:val="3"/>
        </w:numPr>
        <w:ind w:left="357" w:hanging="357"/>
        <w:contextualSpacing/>
      </w:pPr>
      <w:r>
        <w:t>dringt erop aan dat een evenredige schadeloosstelling wordt gegarandeerd voor het strafbare feit dat het slachtoffer heeft geleden en dat de daders worden bestraft, teneinde de aandacht te richten op de slachtoffers van discriminatie;</w:t>
      </w:r>
    </w:p>
    <w:p w:rsidR="00C87097" w:rsidP="00C87097" w:rsidRDefault="00C87097" w14:paraId="6425DBEF" w14:textId="77777777">
      <w:pPr>
        <w:numPr>
          <w:ilvl w:val="0"/>
          <w:numId w:val="3"/>
        </w:numPr>
        <w:ind w:left="357" w:hanging="357"/>
        <w:contextualSpacing/>
      </w:pPr>
      <w:r>
        <w:t>stelt voor dat voorlichtingscampagnes over EU-rechten en respect voor diversiteit worden ontwikkeld en gefinancierd, en dat deze op lokaal niveau worden gevoerd door nationale organen voor gelijke behandeling worden gevoerd, met speciale aandacht voor kwetsbare groepen, kinderen en jongeren op school;</w:t>
      </w:r>
    </w:p>
    <w:p w:rsidRPr="00C87097" w:rsidR="00C87097" w:rsidP="00C87097" w:rsidRDefault="00C87097" w14:paraId="311D2F3C" w14:textId="4226C379">
      <w:pPr>
        <w:numPr>
          <w:ilvl w:val="0"/>
          <w:numId w:val="3"/>
        </w:numPr>
        <w:ind w:left="357" w:hanging="357"/>
        <w:contextualSpacing/>
      </w:pPr>
      <w:r>
        <w:t>dringt aan op de regelmatige verzameling en analyse van uitgesplitste gegevens om ongelijkheden en discriminatie in het oog te houden.</w:t>
      </w:r>
    </w:p>
    <w:p w:rsidRPr="00C87097" w:rsidR="00C87097" w:rsidP="00C87097" w:rsidRDefault="00C87097" w14:paraId="1F37C7FD"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C87097" w:rsidTr="00726054" w14:paraId="2CB4F2AC" w14:textId="77777777">
        <w:tc>
          <w:tcPr>
            <w:tcW w:w="1418" w:type="dxa"/>
          </w:tcPr>
          <w:p w:rsidRPr="009B70E7" w:rsidR="00C87097" w:rsidP="00726054" w:rsidRDefault="00C87097" w14:paraId="403C9FF6" w14:textId="77777777">
            <w:pPr>
              <w:pStyle w:val="ListParagraph"/>
              <w:ind w:left="0"/>
              <w:rPr>
                <w:i/>
              </w:rPr>
            </w:pPr>
            <w:r>
              <w:rPr>
                <w:b/>
                <w:i/>
              </w:rPr>
              <w:t>Contactpersoon</w:t>
            </w:r>
          </w:p>
        </w:tc>
        <w:tc>
          <w:tcPr>
            <w:tcW w:w="5670" w:type="dxa"/>
          </w:tcPr>
          <w:p w:rsidRPr="009B70E7" w:rsidR="00C87097" w:rsidP="00726054" w:rsidRDefault="00C87097" w14:paraId="70D168F8" w14:textId="77777777">
            <w:pPr>
              <w:pStyle w:val="ListParagraph"/>
              <w:ind w:left="0"/>
              <w:rPr>
                <w:i/>
              </w:rPr>
            </w:pPr>
            <w:proofErr w:type="spellStart"/>
            <w:r>
              <w:rPr>
                <w:i/>
              </w:rPr>
              <w:t>Alessia</w:t>
            </w:r>
            <w:proofErr w:type="spellEnd"/>
            <w:r>
              <w:rPr>
                <w:i/>
              </w:rPr>
              <w:t xml:space="preserve"> </w:t>
            </w:r>
            <w:proofErr w:type="spellStart"/>
            <w:r>
              <w:rPr>
                <w:i/>
              </w:rPr>
              <w:t>Cova</w:t>
            </w:r>
            <w:proofErr w:type="spellEnd"/>
          </w:p>
        </w:tc>
      </w:tr>
      <w:tr w:rsidRPr="009B70E7" w:rsidR="00C87097" w:rsidTr="00726054" w14:paraId="6822E819" w14:textId="77777777">
        <w:tc>
          <w:tcPr>
            <w:tcW w:w="1418" w:type="dxa"/>
          </w:tcPr>
          <w:p w:rsidRPr="009B70E7" w:rsidR="00C87097" w:rsidP="00726054" w:rsidRDefault="00C87097" w14:paraId="34CE7EA3" w14:textId="77777777">
            <w:pPr>
              <w:pStyle w:val="ListParagraph"/>
              <w:ind w:left="601"/>
              <w:rPr>
                <w:i/>
              </w:rPr>
            </w:pPr>
            <w:r>
              <w:rPr>
                <w:i/>
              </w:rPr>
              <w:t>Tel.</w:t>
            </w:r>
          </w:p>
        </w:tc>
        <w:tc>
          <w:tcPr>
            <w:tcW w:w="5670" w:type="dxa"/>
          </w:tcPr>
          <w:p w:rsidRPr="009B70E7" w:rsidR="00C87097" w:rsidP="00726054" w:rsidRDefault="00C87097" w14:paraId="70DCF7FF" w14:textId="77777777">
            <w:pPr>
              <w:pStyle w:val="ListParagraph"/>
              <w:ind w:left="0"/>
              <w:rPr>
                <w:i/>
              </w:rPr>
            </w:pPr>
            <w:r>
              <w:rPr>
                <w:i/>
              </w:rPr>
              <w:t>00 32 2 546 94 26</w:t>
            </w:r>
          </w:p>
        </w:tc>
      </w:tr>
      <w:tr w:rsidRPr="0089333A" w:rsidR="00C87097" w:rsidTr="00726054" w14:paraId="28283276" w14:textId="77777777">
        <w:tc>
          <w:tcPr>
            <w:tcW w:w="1418" w:type="dxa"/>
          </w:tcPr>
          <w:p w:rsidRPr="009B70E7" w:rsidR="00C87097" w:rsidP="00726054" w:rsidRDefault="00C87097" w14:paraId="1E2EE7AB" w14:textId="77777777">
            <w:pPr>
              <w:pStyle w:val="ListParagraph"/>
              <w:ind w:left="601"/>
              <w:rPr>
                <w:i/>
              </w:rPr>
            </w:pPr>
            <w:r>
              <w:rPr>
                <w:i/>
              </w:rPr>
              <w:t>E-mail</w:t>
            </w:r>
          </w:p>
        </w:tc>
        <w:tc>
          <w:tcPr>
            <w:tcW w:w="5670" w:type="dxa"/>
          </w:tcPr>
          <w:p w:rsidRPr="0089333A" w:rsidR="00C87097" w:rsidP="00726054" w:rsidRDefault="003D1DE5" w14:paraId="55869C54" w14:textId="14EF6E71">
            <w:pPr>
              <w:pStyle w:val="ListParagraph"/>
              <w:ind w:left="0"/>
              <w:rPr>
                <w:i/>
                <w:iCs/>
                <w:color w:val="0000FF"/>
                <w:szCs w:val="20"/>
                <w:u w:val="single"/>
              </w:rPr>
            </w:pPr>
            <w:hyperlink w:history="1" r:id="rId24">
              <w:r w:rsidR="00F31F11">
                <w:rPr>
                  <w:rStyle w:val="Hyperlink"/>
                  <w:i/>
                </w:rPr>
                <w:t>Alessia.Cova@eesc.europa.eu</w:t>
              </w:r>
            </w:hyperlink>
          </w:p>
        </w:tc>
      </w:tr>
      <w:bookmarkEnd w:id="13"/>
    </w:tbl>
    <w:p w:rsidR="00C87097" w:rsidP="00133EE7" w:rsidRDefault="00C87097" w14:paraId="4357D193" w14:textId="29249A95">
      <w:pPr>
        <w:spacing w:line="240" w:lineRule="auto"/>
        <w:jc w:val="left"/>
      </w:pPr>
      <w:r>
        <w:br w:type="page"/>
      </w:r>
    </w:p>
    <w:p w:rsidRPr="00C87097" w:rsidR="00F359DE" w:rsidP="00F359DE" w:rsidRDefault="00F359DE" w14:paraId="62CDC830" w14:textId="0324E4E7">
      <w:pPr>
        <w:keepNext/>
        <w:numPr>
          <w:ilvl w:val="0"/>
          <w:numId w:val="2"/>
        </w:numPr>
        <w:ind w:left="567" w:hanging="567"/>
        <w:contextualSpacing/>
        <w:rPr>
          <w:b/>
          <w:i/>
          <w:sz w:val="28"/>
          <w:szCs w:val="28"/>
        </w:rPr>
      </w:pPr>
      <w:r>
        <w:rPr>
          <w:b/>
          <w:i/>
          <w:sz w:val="28"/>
        </w:rPr>
        <w:lastRenderedPageBreak/>
        <w:t xml:space="preserve">Grenswaarden voor lood en de anorganische verbindingen daarvan en </w:t>
      </w:r>
      <w:proofErr w:type="spellStart"/>
      <w:r>
        <w:rPr>
          <w:b/>
          <w:i/>
          <w:sz w:val="28"/>
        </w:rPr>
        <w:t>diisocyanaten</w:t>
      </w:r>
      <w:proofErr w:type="spellEnd"/>
    </w:p>
    <w:p w:rsidR="00F359DE" w:rsidP="00F359DE" w:rsidRDefault="00F359DE" w14:paraId="0B85D11A" w14:textId="14D63F9C">
      <w:pPr>
        <w:keepNext/>
        <w:contextualSpacing/>
      </w:pPr>
    </w:p>
    <w:p w:rsidRPr="00F359DE" w:rsidR="00F359DE" w:rsidP="00F359DE" w:rsidRDefault="00F359DE" w14:paraId="7A52EE87" w14:textId="51957AB6">
      <w:pPr>
        <w:keepNext/>
        <w:contextualSpacing/>
        <w:rPr>
          <w:b/>
          <w:bCs/>
        </w:rPr>
      </w:pPr>
      <w:r>
        <w:rPr>
          <w:b/>
        </w:rPr>
        <w:t>Categorie C-advies</w:t>
      </w:r>
    </w:p>
    <w:p w:rsidRPr="00C87097" w:rsidR="00F359DE" w:rsidP="00F359DE" w:rsidRDefault="00F359DE" w14:paraId="6E9168AA" w14:textId="77777777">
      <w:pPr>
        <w:keepNext/>
        <w:contextualSpacing/>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096"/>
      </w:tblGrid>
      <w:tr w:rsidRPr="00C87097" w:rsidR="00F359DE" w:rsidTr="00726054" w14:paraId="13561E4B" w14:textId="77777777">
        <w:tc>
          <w:tcPr>
            <w:tcW w:w="1701" w:type="dxa"/>
          </w:tcPr>
          <w:p w:rsidRPr="00C87097" w:rsidR="00F359DE" w:rsidP="00726054" w:rsidRDefault="00F359DE" w14:paraId="4980AFC3" w14:textId="77777777">
            <w:pPr>
              <w:contextualSpacing/>
              <w:rPr>
                <w:b/>
              </w:rPr>
            </w:pPr>
            <w:r>
              <w:rPr>
                <w:b/>
              </w:rPr>
              <w:t xml:space="preserve">Referentiedocumenten </w:t>
            </w:r>
          </w:p>
        </w:tc>
        <w:tc>
          <w:tcPr>
            <w:tcW w:w="6096" w:type="dxa"/>
          </w:tcPr>
          <w:p w:rsidRPr="00C87097" w:rsidR="00F359DE" w:rsidP="00726054" w:rsidRDefault="00F359DE" w14:paraId="68E3AB4C" w14:textId="63D2E9B7">
            <w:pPr>
              <w:ind w:left="-52"/>
              <w:contextualSpacing/>
            </w:pPr>
            <w:r>
              <w:t xml:space="preserve">COM(2023) 71 </w:t>
            </w:r>
            <w:proofErr w:type="spellStart"/>
            <w:r>
              <w:t>final</w:t>
            </w:r>
            <w:proofErr w:type="spellEnd"/>
          </w:p>
          <w:p w:rsidRPr="00C87097" w:rsidR="00F359DE" w:rsidP="00726054" w:rsidRDefault="00F359DE" w14:paraId="012F6C30" w14:textId="4F3ECEC7">
            <w:pPr>
              <w:ind w:left="-52"/>
              <w:contextualSpacing/>
            </w:pPr>
            <w:r>
              <w:t>EESC-2023-01367-00-00-AC</w:t>
            </w:r>
          </w:p>
        </w:tc>
      </w:tr>
    </w:tbl>
    <w:p w:rsidRPr="00C87097" w:rsidR="00F359DE" w:rsidP="00133EE7" w:rsidRDefault="00F359DE" w14:paraId="69D4E734" w14:textId="77777777">
      <w:pPr>
        <w:ind w:left="-142" w:firstLine="284"/>
        <w:contextualSpacing/>
        <w:rPr>
          <w:b/>
        </w:rPr>
      </w:pPr>
    </w:p>
    <w:p w:rsidRPr="00C87097" w:rsidR="00F359DE" w:rsidP="00133EE7" w:rsidRDefault="00F359DE" w14:paraId="27B6B7EE" w14:textId="77777777">
      <w:pPr>
        <w:contextualSpacing/>
        <w:rPr>
          <w:b/>
        </w:rPr>
      </w:pPr>
      <w:r>
        <w:rPr>
          <w:b/>
        </w:rPr>
        <w:t>Hoofdpunten</w:t>
      </w:r>
    </w:p>
    <w:p w:rsidRPr="00C87097" w:rsidR="00F359DE" w:rsidP="00133EE7" w:rsidRDefault="00F359DE" w14:paraId="27BAF530" w14:textId="77777777">
      <w:pPr>
        <w:contextualSpacing/>
      </w:pPr>
    </w:p>
    <w:p w:rsidRPr="00C87097" w:rsidR="00F359DE" w:rsidP="00133EE7" w:rsidRDefault="00F359DE" w14:paraId="4A5CF01A" w14:textId="586E2ABF">
      <w:pPr>
        <w:contextualSpacing/>
        <w:rPr>
          <w:bCs/>
        </w:rPr>
      </w:pPr>
      <w:r>
        <w:t>Aangezien het Comité met het voorstel instemt en er geen commentaar op heeft, heeft het besloten hierover een positief advies uit te brengen, met inachtneming van het standpunt van de sociale partners in de toelichting bij het voorstel.</w:t>
      </w:r>
    </w:p>
    <w:p w:rsidRPr="00C87097" w:rsidR="00F359DE" w:rsidP="00133EE7" w:rsidRDefault="00F359DE" w14:paraId="6A740217" w14:textId="77777777">
      <w:pPr>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F359DE" w:rsidTr="00726054" w14:paraId="00F6F501" w14:textId="77777777">
        <w:tc>
          <w:tcPr>
            <w:tcW w:w="1418" w:type="dxa"/>
          </w:tcPr>
          <w:p w:rsidRPr="009B70E7" w:rsidR="00F359DE" w:rsidP="00726054" w:rsidRDefault="00F359DE" w14:paraId="45560EBD" w14:textId="77777777">
            <w:pPr>
              <w:pStyle w:val="ListParagraph"/>
              <w:ind w:left="0"/>
              <w:rPr>
                <w:i/>
              </w:rPr>
            </w:pPr>
            <w:r>
              <w:rPr>
                <w:b/>
                <w:i/>
              </w:rPr>
              <w:t>Contactpersoon</w:t>
            </w:r>
          </w:p>
        </w:tc>
        <w:tc>
          <w:tcPr>
            <w:tcW w:w="5670" w:type="dxa"/>
          </w:tcPr>
          <w:p w:rsidRPr="009B70E7" w:rsidR="00F359DE" w:rsidP="00726054" w:rsidRDefault="00F359DE" w14:paraId="11804580" w14:textId="080D8761">
            <w:pPr>
              <w:pStyle w:val="ListParagraph"/>
              <w:ind w:left="0"/>
              <w:rPr>
                <w:i/>
              </w:rPr>
            </w:pPr>
            <w:proofErr w:type="spellStart"/>
            <w:r>
              <w:rPr>
                <w:i/>
              </w:rPr>
              <w:t>Valeria</w:t>
            </w:r>
            <w:proofErr w:type="spellEnd"/>
            <w:r>
              <w:rPr>
                <w:i/>
              </w:rPr>
              <w:t xml:space="preserve"> </w:t>
            </w:r>
            <w:proofErr w:type="spellStart"/>
            <w:r>
              <w:rPr>
                <w:i/>
              </w:rPr>
              <w:t>Atzori</w:t>
            </w:r>
            <w:proofErr w:type="spellEnd"/>
          </w:p>
        </w:tc>
      </w:tr>
      <w:tr w:rsidRPr="009B70E7" w:rsidR="00F359DE" w:rsidTr="00726054" w14:paraId="1DEDCB76" w14:textId="77777777">
        <w:tc>
          <w:tcPr>
            <w:tcW w:w="1418" w:type="dxa"/>
          </w:tcPr>
          <w:p w:rsidRPr="009B70E7" w:rsidR="00F359DE" w:rsidP="00726054" w:rsidRDefault="00F359DE" w14:paraId="1D21CF01" w14:textId="77777777">
            <w:pPr>
              <w:pStyle w:val="ListParagraph"/>
              <w:ind w:left="601"/>
              <w:rPr>
                <w:i/>
              </w:rPr>
            </w:pPr>
            <w:r>
              <w:rPr>
                <w:i/>
              </w:rPr>
              <w:t>Tel.</w:t>
            </w:r>
          </w:p>
        </w:tc>
        <w:tc>
          <w:tcPr>
            <w:tcW w:w="5670" w:type="dxa"/>
          </w:tcPr>
          <w:p w:rsidRPr="009B70E7" w:rsidR="00F359DE" w:rsidP="00726054" w:rsidRDefault="00F359DE" w14:paraId="350F1037" w14:textId="0648723B">
            <w:pPr>
              <w:pStyle w:val="ListParagraph"/>
              <w:ind w:left="0"/>
              <w:rPr>
                <w:i/>
              </w:rPr>
            </w:pPr>
            <w:r>
              <w:rPr>
                <w:i/>
              </w:rPr>
              <w:t>00 32 2 546 87 74</w:t>
            </w:r>
          </w:p>
        </w:tc>
      </w:tr>
      <w:tr w:rsidRPr="0089333A" w:rsidR="00F359DE" w:rsidTr="00726054" w14:paraId="0E4711EB" w14:textId="77777777">
        <w:tc>
          <w:tcPr>
            <w:tcW w:w="1418" w:type="dxa"/>
          </w:tcPr>
          <w:p w:rsidRPr="009B70E7" w:rsidR="00F359DE" w:rsidP="00726054" w:rsidRDefault="00F359DE" w14:paraId="46A335E9" w14:textId="77777777">
            <w:pPr>
              <w:pStyle w:val="ListParagraph"/>
              <w:ind w:left="601"/>
              <w:rPr>
                <w:i/>
              </w:rPr>
            </w:pPr>
            <w:r>
              <w:rPr>
                <w:i/>
              </w:rPr>
              <w:t>E-mail</w:t>
            </w:r>
          </w:p>
        </w:tc>
        <w:tc>
          <w:tcPr>
            <w:tcW w:w="5670" w:type="dxa"/>
          </w:tcPr>
          <w:p w:rsidRPr="0089333A" w:rsidR="00F359DE" w:rsidP="00726054" w:rsidRDefault="003D1DE5" w14:paraId="12B03DFF" w14:textId="3810DD5C">
            <w:pPr>
              <w:pStyle w:val="ListParagraph"/>
              <w:ind w:left="0"/>
              <w:rPr>
                <w:i/>
                <w:iCs/>
                <w:color w:val="0000FF"/>
                <w:szCs w:val="20"/>
                <w:u w:val="single"/>
              </w:rPr>
            </w:pPr>
            <w:hyperlink w:history="1" r:id="rId25">
              <w:r w:rsidR="00F31F11">
                <w:rPr>
                  <w:rStyle w:val="Hyperlink"/>
                  <w:i/>
                </w:rPr>
                <w:t>Valeria.Atzori@eesc.europa.eu</w:t>
              </w:r>
            </w:hyperlink>
          </w:p>
        </w:tc>
      </w:tr>
    </w:tbl>
    <w:p w:rsidR="00F359DE" w:rsidRDefault="00F359DE" w14:paraId="7C4B0511" w14:textId="4DF985A9">
      <w:pPr>
        <w:spacing w:after="160" w:line="259" w:lineRule="auto"/>
        <w:jc w:val="left"/>
      </w:pPr>
    </w:p>
    <w:p w:rsidR="00F359DE" w:rsidRDefault="00F359DE" w14:paraId="788974F0" w14:textId="77777777">
      <w:pPr>
        <w:spacing w:after="160" w:line="259" w:lineRule="auto"/>
        <w:jc w:val="left"/>
      </w:pPr>
      <w:r>
        <w:br w:type="page"/>
      </w:r>
    </w:p>
    <w:p w:rsidRPr="009B70E7" w:rsidR="004D7AC0" w:rsidP="00133EE7" w:rsidRDefault="004D7AC0" w14:paraId="3F8FA026" w14:textId="77777777">
      <w:pPr>
        <w:pStyle w:val="Heading1"/>
        <w:spacing w:line="240" w:lineRule="auto"/>
        <w:rPr>
          <w:b/>
        </w:rPr>
      </w:pPr>
      <w:bookmarkStart w:name="_Toc75527083" w:id="14"/>
      <w:bookmarkStart w:name="_Toc131175944" w:id="15"/>
      <w:r>
        <w:rPr>
          <w:b/>
        </w:rPr>
        <w:lastRenderedPageBreak/>
        <w:t>INTERNE MARKT, PRODUCTIE EN CONSUMPTIE</w:t>
      </w:r>
      <w:bookmarkEnd w:id="14"/>
      <w:bookmarkEnd w:id="15"/>
    </w:p>
    <w:p w:rsidR="004D7AC0" w:rsidRDefault="004D7AC0" w14:paraId="03FF9505" w14:textId="6FCC94D6"/>
    <w:p w:rsidRPr="00D70F4B" w:rsidR="00721B7D" w:rsidP="00133EE7" w:rsidRDefault="00721B7D" w14:paraId="0A2BF896" w14:textId="3C91B3F7">
      <w:pPr>
        <w:pStyle w:val="ListParagraph"/>
        <w:keepNext/>
        <w:numPr>
          <w:ilvl w:val="0"/>
          <w:numId w:val="2"/>
        </w:numPr>
        <w:spacing w:line="240" w:lineRule="auto"/>
        <w:ind w:left="567" w:hanging="567"/>
      </w:pPr>
      <w:r>
        <w:rPr>
          <w:b/>
          <w:i/>
          <w:sz w:val="28"/>
        </w:rPr>
        <w:t>Ex-postevaluatie van Horizon 2020</w:t>
      </w:r>
    </w:p>
    <w:p w:rsidRPr="009B70E7" w:rsidR="00721B7D" w:rsidP="00721B7D" w:rsidRDefault="00721B7D" w14:paraId="53EC364F" w14:textId="77777777">
      <w:pPr>
        <w:keepN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920"/>
      </w:tblGrid>
      <w:tr w:rsidRPr="007E7A4F" w:rsidR="00721B7D" w:rsidTr="00133EE7" w14:paraId="2A8EDF11" w14:textId="77777777">
        <w:tc>
          <w:tcPr>
            <w:tcW w:w="2518" w:type="dxa"/>
          </w:tcPr>
          <w:p w:rsidRPr="009B70E7" w:rsidR="00721B7D" w:rsidP="00726054" w:rsidRDefault="00721B7D" w14:paraId="27EC47CC" w14:textId="77777777">
            <w:pPr>
              <w:pStyle w:val="ListParagraph"/>
              <w:ind w:left="0"/>
              <w:rPr>
                <w:b/>
              </w:rPr>
            </w:pPr>
            <w:r>
              <w:rPr>
                <w:b/>
              </w:rPr>
              <w:t>Rapporteur</w:t>
            </w:r>
          </w:p>
        </w:tc>
        <w:tc>
          <w:tcPr>
            <w:tcW w:w="5920" w:type="dxa"/>
          </w:tcPr>
          <w:p w:rsidRPr="007E7A4F" w:rsidR="00721B7D" w:rsidP="00726054" w:rsidRDefault="00721B7D" w14:paraId="2E8B2172" w14:textId="31FC8EEE">
            <w:pPr>
              <w:pStyle w:val="ListParagraph"/>
              <w:ind w:left="-108"/>
            </w:pPr>
            <w:proofErr w:type="spellStart"/>
            <w:r>
              <w:t>Gonçalo</w:t>
            </w:r>
            <w:proofErr w:type="spellEnd"/>
            <w:r>
              <w:t xml:space="preserve"> LOBO XAVIER (groep Werkgevers – PT)</w:t>
            </w:r>
          </w:p>
        </w:tc>
      </w:tr>
      <w:tr w:rsidRPr="00133EE7" w:rsidR="00721B7D" w:rsidTr="00133EE7" w14:paraId="54A67D2F" w14:textId="77777777">
        <w:tc>
          <w:tcPr>
            <w:tcW w:w="2518" w:type="dxa"/>
          </w:tcPr>
          <w:p w:rsidRPr="00133EE7" w:rsidR="00721B7D" w:rsidP="00133EE7" w:rsidRDefault="00721B7D" w14:paraId="4610620C" w14:textId="77777777">
            <w:pPr>
              <w:pStyle w:val="ListParagraph"/>
              <w:spacing w:line="240" w:lineRule="auto"/>
              <w:ind w:left="0"/>
              <w:rPr>
                <w:b/>
                <w:sz w:val="18"/>
                <w:szCs w:val="18"/>
              </w:rPr>
            </w:pPr>
          </w:p>
        </w:tc>
        <w:tc>
          <w:tcPr>
            <w:tcW w:w="5920" w:type="dxa"/>
          </w:tcPr>
          <w:p w:rsidRPr="00133EE7" w:rsidR="00721B7D" w:rsidP="00133EE7" w:rsidRDefault="00721B7D" w14:paraId="7D8E3C26" w14:textId="77777777">
            <w:pPr>
              <w:tabs>
                <w:tab w:val="center" w:pos="284"/>
              </w:tabs>
              <w:spacing w:line="240" w:lineRule="auto"/>
              <w:ind w:left="266" w:hanging="374"/>
              <w:rPr>
                <w:sz w:val="18"/>
                <w:szCs w:val="18"/>
              </w:rPr>
            </w:pPr>
          </w:p>
        </w:tc>
      </w:tr>
      <w:tr w:rsidRPr="009B70E7" w:rsidR="00721B7D" w:rsidTr="00133EE7" w14:paraId="614ABB45" w14:textId="77777777">
        <w:tc>
          <w:tcPr>
            <w:tcW w:w="2518" w:type="dxa"/>
          </w:tcPr>
          <w:p w:rsidRPr="009B70E7" w:rsidR="00721B7D" w:rsidP="00726054" w:rsidRDefault="00721B7D" w14:paraId="121D45D3" w14:textId="77777777">
            <w:pPr>
              <w:pStyle w:val="ListParagraph"/>
              <w:ind w:left="0"/>
              <w:rPr>
                <w:b/>
              </w:rPr>
            </w:pPr>
            <w:r>
              <w:rPr>
                <w:b/>
              </w:rPr>
              <w:t xml:space="preserve">Referentiedocumenten </w:t>
            </w:r>
          </w:p>
        </w:tc>
        <w:tc>
          <w:tcPr>
            <w:tcW w:w="5920" w:type="dxa"/>
          </w:tcPr>
          <w:p w:rsidRPr="009B70E7" w:rsidR="00721B7D" w:rsidP="00726054" w:rsidRDefault="00721B7D" w14:paraId="080C69A7" w14:textId="37C05D63">
            <w:pPr>
              <w:tabs>
                <w:tab w:val="center" w:pos="284"/>
              </w:tabs>
              <w:ind w:left="266" w:hanging="374"/>
            </w:pPr>
            <w:r>
              <w:t>Evaluatieverslag</w:t>
            </w:r>
          </w:p>
          <w:p w:rsidRPr="009B70E7" w:rsidR="00721B7D" w:rsidP="00726054" w:rsidRDefault="00721B7D" w14:paraId="5F3DCF68" w14:textId="0F2D9FED">
            <w:pPr>
              <w:pStyle w:val="ListParagraph"/>
              <w:ind w:left="-108"/>
            </w:pPr>
            <w:r>
              <w:t>EESC-2022-03850-00-00-RE</w:t>
            </w:r>
          </w:p>
        </w:tc>
      </w:tr>
    </w:tbl>
    <w:p w:rsidRPr="00133EE7" w:rsidR="00721B7D" w:rsidP="00133EE7" w:rsidRDefault="00721B7D" w14:paraId="0AFF34E4" w14:textId="77777777">
      <w:pPr>
        <w:pStyle w:val="ListParagraph"/>
        <w:spacing w:line="240" w:lineRule="auto"/>
        <w:ind w:left="0" w:firstLine="142"/>
        <w:rPr>
          <w:bCs/>
          <w:sz w:val="18"/>
          <w:szCs w:val="18"/>
        </w:rPr>
      </w:pPr>
    </w:p>
    <w:p w:rsidRPr="0018231C" w:rsidR="00721B7D" w:rsidP="00133EE7" w:rsidRDefault="00721B7D" w14:paraId="7B9CB4BD" w14:textId="77777777">
      <w:pPr>
        <w:pStyle w:val="ListParagraph"/>
        <w:spacing w:line="240" w:lineRule="auto"/>
        <w:ind w:left="0"/>
        <w:rPr>
          <w:b/>
        </w:rPr>
      </w:pPr>
      <w:r>
        <w:rPr>
          <w:b/>
        </w:rPr>
        <w:t>Hoofdpunten</w:t>
      </w:r>
    </w:p>
    <w:p w:rsidRPr="0018231C" w:rsidR="00721B7D" w:rsidP="00721B7D" w:rsidRDefault="00721B7D" w14:paraId="45CEB36A" w14:textId="77777777">
      <w:pPr>
        <w:pStyle w:val="ListParagraph"/>
        <w:ind w:left="0"/>
        <w:rPr>
          <w:lang w:val="fr-FR"/>
        </w:rPr>
      </w:pPr>
    </w:p>
    <w:p w:rsidR="00721B7D" w:rsidP="00133EE7" w:rsidRDefault="00721B7D" w14:paraId="25C5D3FC" w14:textId="77777777">
      <w:pPr>
        <w:pStyle w:val="ListParagraph"/>
        <w:spacing w:line="240" w:lineRule="auto"/>
        <w:ind w:left="0"/>
      </w:pPr>
      <w:r>
        <w:t>Het EESC:</w:t>
      </w:r>
    </w:p>
    <w:p w:rsidR="00721B7D" w:rsidP="00133EE7" w:rsidRDefault="00721B7D" w14:paraId="3162224B" w14:textId="61AEC0EA">
      <w:pPr>
        <w:pStyle w:val="ListParagraph"/>
        <w:spacing w:line="240" w:lineRule="auto"/>
        <w:ind w:left="0"/>
        <w:rPr>
          <w:lang w:val="fr-FR"/>
        </w:rPr>
      </w:pPr>
    </w:p>
    <w:p w:rsidRPr="0018231C" w:rsidR="00721B7D" w:rsidP="00721B7D" w:rsidRDefault="00721B7D" w14:paraId="082BA9A7" w14:textId="2669EB59">
      <w:pPr>
        <w:pStyle w:val="ListParagraph"/>
        <w:ind w:left="0"/>
      </w:pPr>
      <w:r>
        <w:t xml:space="preserve">Wat betreft </w:t>
      </w:r>
      <w:r>
        <w:rPr>
          <w:b/>
        </w:rPr>
        <w:t>effectiviteit</w:t>
      </w:r>
      <w:r>
        <w:t>:</w:t>
      </w:r>
    </w:p>
    <w:p w:rsidR="00721B7D" w:rsidP="00721B7D" w:rsidRDefault="00721B7D" w14:paraId="0A30CE21" w14:textId="77777777">
      <w:pPr>
        <w:numPr>
          <w:ilvl w:val="0"/>
          <w:numId w:val="3"/>
        </w:numPr>
        <w:overflowPunct w:val="0"/>
        <w:autoSpaceDE w:val="0"/>
        <w:autoSpaceDN w:val="0"/>
        <w:adjustRightInd w:val="0"/>
        <w:ind w:left="357" w:hanging="357"/>
        <w:textAlignment w:val="baseline"/>
      </w:pPr>
      <w:r>
        <w:t xml:space="preserve">beschouwt de </w:t>
      </w:r>
      <w:r>
        <w:rPr>
          <w:b/>
        </w:rPr>
        <w:t>impact van Horizon 2020</w:t>
      </w:r>
      <w:r>
        <w:t xml:space="preserve"> (H2020) als </w:t>
      </w:r>
      <w:r>
        <w:rPr>
          <w:b/>
        </w:rPr>
        <w:t>positief</w:t>
      </w:r>
      <w:r>
        <w:t xml:space="preserve">. Het oordeel is dat het programma veel beter is dan zijn voorgangers en een </w:t>
      </w:r>
      <w:r>
        <w:rPr>
          <w:b/>
          <w:bCs/>
        </w:rPr>
        <w:t>grotere maatschappelijke impact</w:t>
      </w:r>
      <w:r>
        <w:t xml:space="preserve"> heeft;</w:t>
      </w:r>
    </w:p>
    <w:p w:rsidR="00721B7D" w:rsidP="00721B7D" w:rsidRDefault="00721B7D" w14:paraId="0B2DB4B9" w14:textId="77777777">
      <w:pPr>
        <w:numPr>
          <w:ilvl w:val="0"/>
          <w:numId w:val="3"/>
        </w:numPr>
        <w:overflowPunct w:val="0"/>
        <w:autoSpaceDE w:val="0"/>
        <w:autoSpaceDN w:val="0"/>
        <w:adjustRightInd w:val="0"/>
        <w:ind w:left="357" w:hanging="357"/>
        <w:textAlignment w:val="baseline"/>
      </w:pPr>
      <w:r>
        <w:t>wijst op de geringe betrokkenheid van kleine en middelgrote ondernemingen (kmo’s) en de belemmeringen voor hun deelname, waarbij het kmo-instrument moeilijk te benutten is; vindt dan ook dat kmo’s nauwer moeten worden betrokken bij toekomstige programma’s en vlotter moeten kunnen deelnemen;</w:t>
      </w:r>
    </w:p>
    <w:p w:rsidR="00721B7D" w:rsidP="00721B7D" w:rsidRDefault="00721B7D" w14:paraId="6C6673F5" w14:textId="4ADE6413">
      <w:pPr>
        <w:numPr>
          <w:ilvl w:val="0"/>
          <w:numId w:val="3"/>
        </w:numPr>
        <w:overflowPunct w:val="0"/>
        <w:autoSpaceDE w:val="0"/>
        <w:autoSpaceDN w:val="0"/>
        <w:adjustRightInd w:val="0"/>
        <w:ind w:left="357" w:hanging="357"/>
        <w:textAlignment w:val="baseline"/>
      </w:pPr>
      <w:r>
        <w:t>onderstreept dat starheid en bureaucratie worden genoemd als belemmeringen en tekortkomingen van H2020;</w:t>
      </w:r>
    </w:p>
    <w:p w:rsidR="00721B7D" w:rsidP="00721B7D" w:rsidRDefault="00721B7D" w14:paraId="0622E90D" w14:textId="77777777">
      <w:pPr>
        <w:numPr>
          <w:ilvl w:val="0"/>
          <w:numId w:val="3"/>
        </w:numPr>
        <w:overflowPunct w:val="0"/>
        <w:autoSpaceDE w:val="0"/>
        <w:autoSpaceDN w:val="0"/>
        <w:adjustRightInd w:val="0"/>
        <w:ind w:left="357" w:hanging="357"/>
        <w:textAlignment w:val="baseline"/>
      </w:pPr>
      <w:r>
        <w:t>pleit voor snellere toetsingsprocedures en eenvoudigere evaluatieprocedures en wijst erop dat ze tegelijkertijd transparanter en consistenter moeten worden;</w:t>
      </w:r>
    </w:p>
    <w:p w:rsidR="00721B7D" w:rsidP="00721B7D" w:rsidRDefault="00721B7D" w14:paraId="209B71CB" w14:textId="0EF7342C">
      <w:pPr>
        <w:numPr>
          <w:ilvl w:val="0"/>
          <w:numId w:val="3"/>
        </w:numPr>
        <w:overflowPunct w:val="0"/>
        <w:autoSpaceDE w:val="0"/>
        <w:autoSpaceDN w:val="0"/>
        <w:adjustRightInd w:val="0"/>
        <w:ind w:left="357" w:hanging="357"/>
        <w:textAlignment w:val="baseline"/>
      </w:pPr>
      <w:r>
        <w:t xml:space="preserve">is van mening dat </w:t>
      </w:r>
      <w:proofErr w:type="spellStart"/>
      <w:r>
        <w:t>synergieën</w:t>
      </w:r>
      <w:proofErr w:type="spellEnd"/>
      <w:r>
        <w:t xml:space="preserve"> met regionale en nationale financieringsprogramma’s moeten worden verbeterd;</w:t>
      </w:r>
    </w:p>
    <w:p w:rsidR="00721B7D" w:rsidP="00721B7D" w:rsidRDefault="00721B7D" w14:paraId="1E30215B" w14:textId="4B2D3B46">
      <w:pPr>
        <w:numPr>
          <w:ilvl w:val="0"/>
          <w:numId w:val="3"/>
        </w:numPr>
        <w:overflowPunct w:val="0"/>
        <w:autoSpaceDE w:val="0"/>
        <w:autoSpaceDN w:val="0"/>
        <w:adjustRightInd w:val="0"/>
        <w:ind w:left="357" w:hanging="357"/>
        <w:textAlignment w:val="baseline"/>
      </w:pPr>
      <w:r>
        <w:t>stelt voor dat budget en werkprogramma’s ruim van te voren beschikbaar worden gesteld, teneinde de voorspelbaarheid te vergroten.</w:t>
      </w:r>
    </w:p>
    <w:p w:rsidRPr="00133EE7" w:rsidR="00721B7D" w:rsidP="00133EE7" w:rsidRDefault="00721B7D" w14:paraId="2147D734" w14:textId="77777777">
      <w:pPr>
        <w:overflowPunct w:val="0"/>
        <w:autoSpaceDE w:val="0"/>
        <w:autoSpaceDN w:val="0"/>
        <w:adjustRightInd w:val="0"/>
        <w:spacing w:line="240" w:lineRule="auto"/>
        <w:textAlignment w:val="baseline"/>
        <w:rPr>
          <w:sz w:val="20"/>
          <w:szCs w:val="20"/>
        </w:rPr>
      </w:pPr>
    </w:p>
    <w:p w:rsidR="00721B7D" w:rsidP="00721B7D" w:rsidRDefault="00721B7D" w14:paraId="40CAEF94" w14:textId="302BD36D">
      <w:pPr>
        <w:overflowPunct w:val="0"/>
        <w:autoSpaceDE w:val="0"/>
        <w:autoSpaceDN w:val="0"/>
        <w:adjustRightInd w:val="0"/>
        <w:textAlignment w:val="baseline"/>
      </w:pPr>
      <w:bookmarkStart w:name="_Hlk130740501" w:id="16"/>
      <w:r>
        <w:t xml:space="preserve">Wat betreft </w:t>
      </w:r>
      <w:r>
        <w:rPr>
          <w:b/>
        </w:rPr>
        <w:t>relevantie</w:t>
      </w:r>
      <w:r>
        <w:t>:</w:t>
      </w:r>
    </w:p>
    <w:p w:rsidR="00721B7D" w:rsidP="00721B7D" w:rsidRDefault="00721B7D" w14:paraId="377C5D47" w14:textId="607B8643">
      <w:pPr>
        <w:numPr>
          <w:ilvl w:val="0"/>
          <w:numId w:val="3"/>
        </w:numPr>
        <w:overflowPunct w:val="0"/>
        <w:autoSpaceDE w:val="0"/>
        <w:autoSpaceDN w:val="0"/>
        <w:adjustRightInd w:val="0"/>
        <w:ind w:left="357" w:hanging="357"/>
        <w:textAlignment w:val="baseline"/>
      </w:pPr>
      <w:r>
        <w:t xml:space="preserve">acht H2020 </w:t>
      </w:r>
      <w:r>
        <w:rPr>
          <w:b/>
        </w:rPr>
        <w:t>uiterst relevant</w:t>
      </w:r>
      <w:r>
        <w:t xml:space="preserve">, aangezien de deelname aan dergelijke programma’s bijdraagt tot de </w:t>
      </w:r>
      <w:r>
        <w:rPr>
          <w:b/>
        </w:rPr>
        <w:t>opbouw van politiek en wetenschappelijk kapitaal</w:t>
      </w:r>
      <w:r>
        <w:t xml:space="preserve"> en positief uitwerkt op de reputatie. H2020 heeft ook de oprichting van strategische partnerschappen binnen nieuwe of bestaande netwerken mogelijk gemaakt;</w:t>
      </w:r>
    </w:p>
    <w:p w:rsidRPr="00721B7D" w:rsidR="00721B7D" w:rsidP="00721B7D" w:rsidRDefault="00721B7D" w14:paraId="06A6888B" w14:textId="68B36D55">
      <w:pPr>
        <w:numPr>
          <w:ilvl w:val="0"/>
          <w:numId w:val="3"/>
        </w:numPr>
        <w:overflowPunct w:val="0"/>
        <w:autoSpaceDE w:val="0"/>
        <w:autoSpaceDN w:val="0"/>
        <w:adjustRightInd w:val="0"/>
        <w:ind w:left="357" w:hanging="357"/>
        <w:textAlignment w:val="baseline"/>
      </w:pPr>
      <w:r>
        <w:t xml:space="preserve">ziet het feit </w:t>
      </w:r>
      <w:r>
        <w:rPr>
          <w:b/>
        </w:rPr>
        <w:t>dat Horizon 2020 er niet in is geslaagd de kloof tussen de landen van de EU15 en de EU13 te dichten</w:t>
      </w:r>
      <w:r>
        <w:t xml:space="preserve">, als de </w:t>
      </w:r>
      <w:r>
        <w:rPr>
          <w:b/>
        </w:rPr>
        <w:t>voornaamste tekortkoming</w:t>
      </w:r>
      <w:r>
        <w:t xml:space="preserve"> van H2020.</w:t>
      </w:r>
      <w:bookmarkEnd w:id="16"/>
    </w:p>
    <w:p w:rsidRPr="00133EE7" w:rsidR="00721B7D" w:rsidP="00133EE7" w:rsidRDefault="00721B7D" w14:paraId="467642E6" w14:textId="77777777">
      <w:pPr>
        <w:overflowPunct w:val="0"/>
        <w:autoSpaceDE w:val="0"/>
        <w:autoSpaceDN w:val="0"/>
        <w:adjustRightInd w:val="0"/>
        <w:spacing w:line="240" w:lineRule="auto"/>
        <w:textAlignment w:val="baseline"/>
        <w:rPr>
          <w:sz w:val="20"/>
          <w:szCs w:val="20"/>
        </w:rPr>
      </w:pPr>
    </w:p>
    <w:p w:rsidR="00721B7D" w:rsidP="00721B7D" w:rsidRDefault="00721B7D" w14:paraId="77D20E77" w14:textId="54601474">
      <w:pPr>
        <w:overflowPunct w:val="0"/>
        <w:autoSpaceDE w:val="0"/>
        <w:autoSpaceDN w:val="0"/>
        <w:adjustRightInd w:val="0"/>
        <w:textAlignment w:val="baseline"/>
      </w:pPr>
      <w:r>
        <w:t xml:space="preserve">Wat betreft </w:t>
      </w:r>
      <w:r>
        <w:rPr>
          <w:b/>
        </w:rPr>
        <w:t>betrokkenheid van het maatschappelijk middenveld</w:t>
      </w:r>
      <w:r>
        <w:t>:</w:t>
      </w:r>
    </w:p>
    <w:p w:rsidRPr="00721B7D" w:rsidR="00721B7D" w:rsidP="00721B7D" w:rsidRDefault="00721B7D" w14:paraId="5081F1BA" w14:textId="74049739">
      <w:pPr>
        <w:numPr>
          <w:ilvl w:val="0"/>
          <w:numId w:val="3"/>
        </w:numPr>
        <w:overflowPunct w:val="0"/>
        <w:autoSpaceDE w:val="0"/>
        <w:autoSpaceDN w:val="0"/>
        <w:adjustRightInd w:val="0"/>
        <w:ind w:left="357" w:hanging="357"/>
        <w:textAlignment w:val="baseline"/>
      </w:pPr>
      <w:r>
        <w:t xml:space="preserve">benadrukt dat de </w:t>
      </w:r>
      <w:r>
        <w:rPr>
          <w:b/>
        </w:rPr>
        <w:t>betrokkenheid van het maatschappelijk middenveld</w:t>
      </w:r>
      <w:r>
        <w:t xml:space="preserve"> in een vroeg stadium helpt </w:t>
      </w:r>
      <w:r>
        <w:rPr>
          <w:b/>
        </w:rPr>
        <w:t>maatschappelijke uitdagingen aan te pakken</w:t>
      </w:r>
      <w:r>
        <w:t xml:space="preserve"> en alle partijen ten goede komt;</w:t>
      </w:r>
    </w:p>
    <w:p w:rsidRPr="00721B7D" w:rsidR="00721B7D" w:rsidP="00721B7D" w:rsidRDefault="00721B7D" w14:paraId="6F2A6E99" w14:textId="147399EC">
      <w:pPr>
        <w:numPr>
          <w:ilvl w:val="0"/>
          <w:numId w:val="3"/>
        </w:numPr>
        <w:overflowPunct w:val="0"/>
        <w:autoSpaceDE w:val="0"/>
        <w:autoSpaceDN w:val="0"/>
        <w:adjustRightInd w:val="0"/>
        <w:ind w:left="357" w:hanging="357"/>
        <w:textAlignment w:val="baseline"/>
      </w:pPr>
      <w:r>
        <w:t xml:space="preserve">betoogt dat het ondanks de verschillen tussen de lidstaten duidelijk is dat </w:t>
      </w:r>
      <w:r>
        <w:rPr>
          <w:b/>
        </w:rPr>
        <w:t>maatschappelijke organisaties in alle fasen van het innovatieproces waarde kunnen toevoegen</w:t>
      </w:r>
      <w:r>
        <w:t>;</w:t>
      </w:r>
    </w:p>
    <w:p w:rsidRPr="007E7A4F" w:rsidR="00721B7D" w:rsidP="00721B7D" w:rsidRDefault="00721B7D" w14:paraId="31E4A610" w14:textId="2A482004">
      <w:pPr>
        <w:numPr>
          <w:ilvl w:val="0"/>
          <w:numId w:val="3"/>
        </w:numPr>
        <w:overflowPunct w:val="0"/>
        <w:autoSpaceDE w:val="0"/>
        <w:autoSpaceDN w:val="0"/>
        <w:adjustRightInd w:val="0"/>
        <w:ind w:left="357" w:hanging="357"/>
        <w:textAlignment w:val="baseline"/>
      </w:pPr>
      <w:r>
        <w:t xml:space="preserve">roept op tot een serieuze </w:t>
      </w:r>
      <w:r>
        <w:rPr>
          <w:b/>
        </w:rPr>
        <w:t>effectbeoordeling</w:t>
      </w:r>
      <w:r>
        <w:t xml:space="preserve"> van H2020 en pleit voor meer investeringen in </w:t>
      </w:r>
      <w:r>
        <w:rPr>
          <w:b/>
        </w:rPr>
        <w:t>communicatie</w:t>
      </w:r>
      <w:r>
        <w:t>, aangezien de betrokkenheid van het maatschappelijk middenveld en steun voor de financiering van onderzoek en innovatie als cruciaal worden beschouwd.</w:t>
      </w:r>
    </w:p>
    <w:p w:rsidRPr="00133EE7" w:rsidR="00721B7D" w:rsidP="00721B7D" w:rsidRDefault="00721B7D" w14:paraId="3DD0E781" w14:textId="085ACB3C">
      <w:pPr>
        <w:overflowPunct w:val="0"/>
        <w:autoSpaceDE w:val="0"/>
        <w:autoSpaceDN w:val="0"/>
        <w:adjustRightInd w:val="0"/>
        <w:textAlignment w:val="baseline"/>
        <w:rPr>
          <w:sz w:val="20"/>
          <w:szCs w:val="20"/>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721B7D" w:rsidTr="00726054" w14:paraId="48480C8D" w14:textId="77777777">
        <w:tc>
          <w:tcPr>
            <w:tcW w:w="1418" w:type="dxa"/>
          </w:tcPr>
          <w:p w:rsidRPr="00164813" w:rsidR="00721B7D" w:rsidP="00726054" w:rsidRDefault="00721B7D" w14:paraId="124E23BF" w14:textId="77777777">
            <w:pPr>
              <w:contextualSpacing/>
              <w:rPr>
                <w:i/>
              </w:rPr>
            </w:pPr>
            <w:r>
              <w:rPr>
                <w:b/>
                <w:i/>
              </w:rPr>
              <w:t>Contactpersoon</w:t>
            </w:r>
          </w:p>
        </w:tc>
        <w:tc>
          <w:tcPr>
            <w:tcW w:w="5670" w:type="dxa"/>
          </w:tcPr>
          <w:p w:rsidRPr="00164813" w:rsidR="00721B7D" w:rsidP="00726054" w:rsidRDefault="00721B7D" w14:paraId="5ABE0EBB" w14:textId="22479A14">
            <w:pPr>
              <w:contextualSpacing/>
              <w:rPr>
                <w:i/>
              </w:rPr>
            </w:pPr>
            <w:r>
              <w:rPr>
                <w:i/>
              </w:rPr>
              <w:t xml:space="preserve">Silvia </w:t>
            </w:r>
            <w:proofErr w:type="spellStart"/>
            <w:r>
              <w:rPr>
                <w:i/>
              </w:rPr>
              <w:t>Staffa</w:t>
            </w:r>
            <w:proofErr w:type="spellEnd"/>
            <w:r>
              <w:rPr>
                <w:i/>
              </w:rPr>
              <w:t xml:space="preserve"> / Igor </w:t>
            </w:r>
            <w:proofErr w:type="spellStart"/>
            <w:r>
              <w:rPr>
                <w:i/>
              </w:rPr>
              <w:t>Caldeira</w:t>
            </w:r>
            <w:proofErr w:type="spellEnd"/>
          </w:p>
        </w:tc>
      </w:tr>
      <w:tr w:rsidRPr="00164813" w:rsidR="00721B7D" w:rsidTr="00726054" w14:paraId="3C68F61C" w14:textId="77777777">
        <w:tc>
          <w:tcPr>
            <w:tcW w:w="1418" w:type="dxa"/>
          </w:tcPr>
          <w:p w:rsidRPr="00164813" w:rsidR="00721B7D" w:rsidP="00726054" w:rsidRDefault="00721B7D" w14:paraId="0F16574A" w14:textId="77777777">
            <w:pPr>
              <w:ind w:left="601"/>
              <w:contextualSpacing/>
              <w:rPr>
                <w:i/>
              </w:rPr>
            </w:pPr>
            <w:r>
              <w:rPr>
                <w:i/>
              </w:rPr>
              <w:t>Tel.</w:t>
            </w:r>
          </w:p>
        </w:tc>
        <w:tc>
          <w:tcPr>
            <w:tcW w:w="5670" w:type="dxa"/>
          </w:tcPr>
          <w:p w:rsidRPr="00164813" w:rsidR="00721B7D" w:rsidP="00726054" w:rsidRDefault="00721B7D" w14:paraId="671F7218" w14:textId="0CC719A5">
            <w:pPr>
              <w:contextualSpacing/>
              <w:rPr>
                <w:i/>
              </w:rPr>
            </w:pPr>
            <w:r>
              <w:rPr>
                <w:i/>
              </w:rPr>
              <w:t>00 32 2 546 83 78 / 00 32 2 546 21 73</w:t>
            </w:r>
          </w:p>
        </w:tc>
      </w:tr>
      <w:tr w:rsidRPr="00164813" w:rsidR="00721B7D" w:rsidTr="00726054" w14:paraId="530D1789" w14:textId="77777777">
        <w:tc>
          <w:tcPr>
            <w:tcW w:w="1418" w:type="dxa"/>
          </w:tcPr>
          <w:p w:rsidRPr="00164813" w:rsidR="00721B7D" w:rsidP="00726054" w:rsidRDefault="00721B7D" w14:paraId="21B65F86" w14:textId="77777777">
            <w:pPr>
              <w:ind w:left="601"/>
              <w:contextualSpacing/>
              <w:rPr>
                <w:i/>
              </w:rPr>
            </w:pPr>
            <w:r>
              <w:rPr>
                <w:i/>
              </w:rPr>
              <w:t>E-mail</w:t>
            </w:r>
          </w:p>
        </w:tc>
        <w:tc>
          <w:tcPr>
            <w:tcW w:w="5670" w:type="dxa"/>
          </w:tcPr>
          <w:p w:rsidRPr="003F78A9" w:rsidR="00721B7D" w:rsidP="00245CC6" w:rsidRDefault="003D1DE5" w14:paraId="6C7B58DD" w14:textId="6ADB733A">
            <w:pPr>
              <w:ind w:right="-114"/>
              <w:contextualSpacing/>
              <w:rPr>
                <w:i/>
                <w:iCs/>
              </w:rPr>
            </w:pPr>
            <w:hyperlink w:history="1" r:id="rId26">
              <w:r w:rsidR="00F31F11">
                <w:rPr>
                  <w:rStyle w:val="Hyperlink"/>
                  <w:i/>
                </w:rPr>
                <w:t>Silvia.Staffa@eesc.europa.eu</w:t>
              </w:r>
            </w:hyperlink>
            <w:r w:rsidR="00F31F11">
              <w:t xml:space="preserve">, </w:t>
            </w:r>
            <w:hyperlink w:history="1" r:id="rId27">
              <w:r w:rsidR="00F31F11">
                <w:rPr>
                  <w:rStyle w:val="Hyperlink"/>
                  <w:i/>
                </w:rPr>
                <w:t>Igor.Caldeira@eesc.europa.eu</w:t>
              </w:r>
            </w:hyperlink>
          </w:p>
        </w:tc>
      </w:tr>
    </w:tbl>
    <w:p w:rsidRPr="00133EE7" w:rsidR="00726054" w:rsidP="00133EE7" w:rsidRDefault="00726054" w14:paraId="14D83260" w14:textId="29108BB0">
      <w:pPr>
        <w:spacing w:line="240" w:lineRule="auto"/>
        <w:jc w:val="left"/>
        <w:rPr>
          <w:sz w:val="14"/>
          <w:szCs w:val="14"/>
        </w:rPr>
      </w:pPr>
      <w:r w:rsidRPr="00133EE7">
        <w:rPr>
          <w:sz w:val="14"/>
          <w:szCs w:val="14"/>
        </w:rPr>
        <w:br w:type="page"/>
      </w:r>
    </w:p>
    <w:p w:rsidRPr="00D70F4B" w:rsidR="00164813" w:rsidP="00E4355F" w:rsidRDefault="00627D71" w14:paraId="1DADE393" w14:textId="197415F9">
      <w:pPr>
        <w:pStyle w:val="ListParagraph"/>
        <w:keepNext/>
        <w:numPr>
          <w:ilvl w:val="0"/>
          <w:numId w:val="2"/>
        </w:numPr>
        <w:ind w:left="567" w:hanging="567"/>
      </w:pPr>
      <w:bookmarkStart w:name="_Hlk125970424" w:id="17"/>
      <w:bookmarkStart w:name="_Hlk130740055" w:id="18"/>
      <w:r>
        <w:rPr>
          <w:b/>
          <w:i/>
          <w:sz w:val="28"/>
        </w:rPr>
        <w:lastRenderedPageBreak/>
        <w:t>Strategisch prognoseverslag 2022</w:t>
      </w:r>
    </w:p>
    <w:p w:rsidRPr="009B70E7" w:rsidR="00D70F4B" w:rsidP="00D70F4B" w:rsidRDefault="00D70F4B" w14:paraId="6AF37578" w14:textId="77777777">
      <w:pPr>
        <w:keepN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920"/>
      </w:tblGrid>
      <w:tr w:rsidRPr="007E7A4F" w:rsidR="00164813" w:rsidTr="00133EE7" w14:paraId="1383CB57" w14:textId="77777777">
        <w:tc>
          <w:tcPr>
            <w:tcW w:w="2518" w:type="dxa"/>
          </w:tcPr>
          <w:p w:rsidRPr="009B70E7" w:rsidR="00164813" w:rsidP="00B83E7B" w:rsidRDefault="00164813" w14:paraId="33004117" w14:textId="0CA5448D">
            <w:pPr>
              <w:pStyle w:val="ListParagraph"/>
              <w:ind w:left="0"/>
              <w:rPr>
                <w:b/>
              </w:rPr>
            </w:pPr>
            <w:r>
              <w:rPr>
                <w:b/>
              </w:rPr>
              <w:t>Rapporteur</w:t>
            </w:r>
          </w:p>
        </w:tc>
        <w:tc>
          <w:tcPr>
            <w:tcW w:w="5920" w:type="dxa"/>
          </w:tcPr>
          <w:p w:rsidRPr="007E7A4F" w:rsidR="00164813" w:rsidP="00B83E7B" w:rsidRDefault="00627D71" w14:paraId="2BCDDC29" w14:textId="47928BD9">
            <w:pPr>
              <w:pStyle w:val="ListParagraph"/>
              <w:ind w:left="-108"/>
            </w:pPr>
            <w:r>
              <w:t>Angelo PAGLIARA (groep Werknemers – IT)</w:t>
            </w:r>
          </w:p>
        </w:tc>
      </w:tr>
      <w:tr w:rsidRPr="009B70E7" w:rsidR="00627D71" w:rsidTr="00133EE7" w14:paraId="7ADC324C" w14:textId="77777777">
        <w:tc>
          <w:tcPr>
            <w:tcW w:w="2518" w:type="dxa"/>
          </w:tcPr>
          <w:p w:rsidRPr="009B70E7" w:rsidR="00627D71" w:rsidP="00B83E7B" w:rsidRDefault="00627D71" w14:paraId="4D59D9BA" w14:textId="77777777">
            <w:pPr>
              <w:pStyle w:val="ListParagraph"/>
              <w:ind w:left="0"/>
              <w:rPr>
                <w:b/>
              </w:rPr>
            </w:pPr>
          </w:p>
        </w:tc>
        <w:tc>
          <w:tcPr>
            <w:tcW w:w="5920" w:type="dxa"/>
          </w:tcPr>
          <w:p w:rsidR="00627D71" w:rsidP="00B83E7B" w:rsidRDefault="00627D71" w14:paraId="0B028605" w14:textId="77777777">
            <w:pPr>
              <w:tabs>
                <w:tab w:val="center" w:pos="284"/>
              </w:tabs>
              <w:ind w:left="266" w:hanging="374"/>
            </w:pPr>
          </w:p>
        </w:tc>
      </w:tr>
      <w:tr w:rsidRPr="009B70E7" w:rsidR="00164813" w:rsidTr="00133EE7" w14:paraId="132333E4" w14:textId="77777777">
        <w:tc>
          <w:tcPr>
            <w:tcW w:w="2518" w:type="dxa"/>
          </w:tcPr>
          <w:p w:rsidRPr="009B70E7" w:rsidR="00164813" w:rsidP="00B83E7B" w:rsidRDefault="00164813" w14:paraId="2A306C51" w14:textId="14B20638">
            <w:pPr>
              <w:pStyle w:val="ListParagraph"/>
              <w:ind w:left="0"/>
              <w:rPr>
                <w:b/>
              </w:rPr>
            </w:pPr>
            <w:r>
              <w:rPr>
                <w:b/>
              </w:rPr>
              <w:t xml:space="preserve">Referentiedocumenten </w:t>
            </w:r>
          </w:p>
        </w:tc>
        <w:tc>
          <w:tcPr>
            <w:tcW w:w="5920" w:type="dxa"/>
          </w:tcPr>
          <w:p w:rsidRPr="009B70E7" w:rsidR="00164813" w:rsidP="00B83E7B" w:rsidRDefault="005C0454" w14:paraId="1EB81693" w14:textId="697F0F35">
            <w:pPr>
              <w:tabs>
                <w:tab w:val="center" w:pos="284"/>
              </w:tabs>
              <w:ind w:left="266" w:hanging="374"/>
            </w:pPr>
            <w:r>
              <w:t xml:space="preserve">COM(2022) 289 </w:t>
            </w:r>
            <w:proofErr w:type="spellStart"/>
            <w:r>
              <w:t>final</w:t>
            </w:r>
            <w:proofErr w:type="spellEnd"/>
          </w:p>
          <w:p w:rsidRPr="009B70E7" w:rsidR="00164813" w:rsidP="00B83E7B" w:rsidRDefault="00ED377B" w14:paraId="1746D341" w14:textId="7AF82F97">
            <w:pPr>
              <w:pStyle w:val="ListParagraph"/>
              <w:ind w:left="-108"/>
            </w:pPr>
            <w:r>
              <w:t>EESC-2022-04981-00-00-AC</w:t>
            </w:r>
          </w:p>
        </w:tc>
      </w:tr>
    </w:tbl>
    <w:p w:rsidRPr="00A00F37" w:rsidR="00164813" w:rsidP="00A00F37" w:rsidRDefault="00164813" w14:paraId="488A6C0C" w14:textId="77777777">
      <w:pPr>
        <w:pStyle w:val="ListParagraph"/>
        <w:spacing w:line="240" w:lineRule="auto"/>
        <w:ind w:left="0" w:firstLine="142"/>
        <w:rPr>
          <w:b/>
        </w:rPr>
      </w:pPr>
    </w:p>
    <w:p w:rsidRPr="0018231C" w:rsidR="00164813" w:rsidP="00E302BC" w:rsidRDefault="00164813" w14:paraId="015FE75F" w14:textId="4469FC57">
      <w:pPr>
        <w:pStyle w:val="ListParagraph"/>
        <w:spacing w:line="240" w:lineRule="auto"/>
        <w:ind w:left="0"/>
        <w:rPr>
          <w:b/>
        </w:rPr>
      </w:pPr>
      <w:r>
        <w:rPr>
          <w:b/>
        </w:rPr>
        <w:t>Hoofdpunten</w:t>
      </w:r>
    </w:p>
    <w:p w:rsidRPr="0018231C" w:rsidR="00164813" w:rsidP="00164813" w:rsidRDefault="00164813" w14:paraId="573BE746" w14:textId="77777777">
      <w:pPr>
        <w:pStyle w:val="ListParagraph"/>
        <w:ind w:left="0"/>
        <w:rPr>
          <w:lang w:val="fr-FR"/>
        </w:rPr>
      </w:pPr>
    </w:p>
    <w:p w:rsidR="00164813" w:rsidP="00E302BC" w:rsidRDefault="00164813" w14:paraId="30245860" w14:textId="77777777">
      <w:pPr>
        <w:pStyle w:val="ListParagraph"/>
        <w:spacing w:line="240" w:lineRule="auto"/>
        <w:ind w:left="0"/>
      </w:pPr>
      <w:r>
        <w:t>Het EESC:</w:t>
      </w:r>
    </w:p>
    <w:p w:rsidRPr="0018231C" w:rsidR="00164813" w:rsidP="00164813" w:rsidRDefault="00164813" w14:paraId="7D5F280C" w14:textId="77777777">
      <w:pPr>
        <w:pStyle w:val="ListParagraph"/>
        <w:ind w:left="0"/>
        <w:rPr>
          <w:lang w:val="fr-FR"/>
        </w:rPr>
      </w:pPr>
    </w:p>
    <w:p w:rsidRPr="00A3344B" w:rsidR="00A3344B" w:rsidP="00164813" w:rsidRDefault="00627D71" w14:paraId="5C624B6F" w14:textId="31A23FAC">
      <w:pPr>
        <w:numPr>
          <w:ilvl w:val="0"/>
          <w:numId w:val="3"/>
        </w:numPr>
        <w:overflowPunct w:val="0"/>
        <w:autoSpaceDE w:val="0"/>
        <w:autoSpaceDN w:val="0"/>
        <w:adjustRightInd w:val="0"/>
        <w:ind w:left="357" w:hanging="357"/>
        <w:textAlignment w:val="baseline"/>
      </w:pPr>
      <w:r>
        <w:t xml:space="preserve">moedigt de Commissie aan om </w:t>
      </w:r>
      <w:r>
        <w:rPr>
          <w:b/>
        </w:rPr>
        <w:t>door te gaan met de ontwikkeling van de agenda voor strategische prognoses en zou hier graag van meet af aan meer bij worden betrokken</w:t>
      </w:r>
      <w:r>
        <w:t>. Een grotere betrokkenheid van het EESC, als spreekbuis van de sociale partners en het maatschappelijk middenveld, zou de analytische en prognosecapaciteit verbeteren en zou helpen om trends en mogelijke oplossingen in kaart te brengen;</w:t>
      </w:r>
    </w:p>
    <w:p w:rsidR="00627D71" w:rsidP="00627D71" w:rsidRDefault="00627D71" w14:paraId="199EB6A6" w14:textId="77777777">
      <w:pPr>
        <w:numPr>
          <w:ilvl w:val="0"/>
          <w:numId w:val="3"/>
        </w:numPr>
        <w:overflowPunct w:val="0"/>
        <w:autoSpaceDE w:val="0"/>
        <w:autoSpaceDN w:val="0"/>
        <w:adjustRightInd w:val="0"/>
        <w:ind w:left="357" w:hanging="357"/>
        <w:textAlignment w:val="baseline"/>
      </w:pPr>
      <w:bookmarkStart w:name="_Hlk130223576" w:id="19"/>
      <w:r>
        <w:t xml:space="preserve">hoopt dat de agenda voor strategische prognoses en het optreden van de Europese Commissie gericht zullen zijn op de totstandkoming van </w:t>
      </w:r>
      <w:r>
        <w:rPr>
          <w:b/>
        </w:rPr>
        <w:t>een nieuw ontwikkelingsmodel dat economische, ecologische en sociale duurzaamheid nastreeft</w:t>
      </w:r>
      <w:r>
        <w:t>;</w:t>
      </w:r>
      <w:bookmarkEnd w:id="19"/>
    </w:p>
    <w:p w:rsidR="00627D71" w:rsidP="00627D71" w:rsidRDefault="00627D71" w14:paraId="1C8F5949" w14:textId="3FED424D">
      <w:pPr>
        <w:numPr>
          <w:ilvl w:val="0"/>
          <w:numId w:val="3"/>
        </w:numPr>
        <w:overflowPunct w:val="0"/>
        <w:autoSpaceDE w:val="0"/>
        <w:autoSpaceDN w:val="0"/>
        <w:adjustRightInd w:val="0"/>
        <w:ind w:left="357" w:hanging="357"/>
        <w:textAlignment w:val="baseline"/>
      </w:pPr>
      <w:r>
        <w:t>dringt erop aan dat bij komende prognoseoefeningen rekening wordt gehouden met de volgende strategische beleidsterreinen:</w:t>
      </w:r>
    </w:p>
    <w:p w:rsidR="00627D71" w:rsidP="00627D71" w:rsidRDefault="00627D71" w14:paraId="42611372" w14:textId="77777777">
      <w:pPr>
        <w:numPr>
          <w:ilvl w:val="0"/>
          <w:numId w:val="32"/>
        </w:numPr>
        <w:overflowPunct w:val="0"/>
        <w:autoSpaceDE w:val="0"/>
        <w:autoSpaceDN w:val="0"/>
        <w:adjustRightInd w:val="0"/>
        <w:textAlignment w:val="baseline"/>
      </w:pPr>
      <w:r>
        <w:t xml:space="preserve">de </w:t>
      </w:r>
      <w:proofErr w:type="spellStart"/>
      <w:r>
        <w:t>voorzieningssystemen</w:t>
      </w:r>
      <w:proofErr w:type="spellEnd"/>
      <w:r>
        <w:t xml:space="preserve"> en de veerkracht van de Europese agrovoedingssector; </w:t>
      </w:r>
    </w:p>
    <w:p w:rsidR="00627D71" w:rsidP="00627D71" w:rsidRDefault="00627D71" w14:paraId="2133D2A9" w14:textId="77777777">
      <w:pPr>
        <w:numPr>
          <w:ilvl w:val="0"/>
          <w:numId w:val="32"/>
        </w:numPr>
        <w:overflowPunct w:val="0"/>
        <w:autoSpaceDE w:val="0"/>
        <w:autoSpaceDN w:val="0"/>
        <w:adjustRightInd w:val="0"/>
        <w:textAlignment w:val="baseline"/>
      </w:pPr>
      <w:r>
        <w:t xml:space="preserve">een sterk, samenhangend en innovatief Europees industrieel systeem dat hoogwaardige banen kan genereren; </w:t>
      </w:r>
    </w:p>
    <w:p w:rsidR="00627D71" w:rsidP="00627D71" w:rsidRDefault="00627D71" w14:paraId="5C25537E" w14:textId="77777777">
      <w:pPr>
        <w:numPr>
          <w:ilvl w:val="0"/>
          <w:numId w:val="32"/>
        </w:numPr>
        <w:overflowPunct w:val="0"/>
        <w:autoSpaceDE w:val="0"/>
        <w:autoSpaceDN w:val="0"/>
        <w:adjustRightInd w:val="0"/>
        <w:textAlignment w:val="baseline"/>
      </w:pPr>
      <w:r>
        <w:t xml:space="preserve">de versterking van de strategische autonomie op energiegebied en de ondersteuning van bedrijven en werknemers, net zoals tijdens de pandemie is gedaan; </w:t>
      </w:r>
    </w:p>
    <w:p w:rsidR="00627D71" w:rsidP="00627D71" w:rsidRDefault="00627D71" w14:paraId="323F59EF" w14:textId="60C1DABB">
      <w:pPr>
        <w:numPr>
          <w:ilvl w:val="0"/>
          <w:numId w:val="32"/>
        </w:numPr>
        <w:overflowPunct w:val="0"/>
        <w:autoSpaceDE w:val="0"/>
        <w:autoSpaceDN w:val="0"/>
        <w:adjustRightInd w:val="0"/>
        <w:textAlignment w:val="baseline"/>
        <w:rPr>
          <w:bCs/>
          <w:iCs/>
        </w:rPr>
      </w:pPr>
      <w:r>
        <w:t>een duidelijker beschrijving van de risico’s en een analyse van de scenario’s voor het geval dat de gewenste doelstellingen niet worden gehaald, met name wat betreft de beschikbaarheid van grondstoffen, zeldzame aardmetalen, watervoorraden en eventueel daarmee verband houdende kwesties;</w:t>
      </w:r>
    </w:p>
    <w:p w:rsidRPr="00627D71" w:rsidR="00627D71" w:rsidP="00627D71" w:rsidRDefault="00627D71" w14:paraId="07F11F1D" w14:textId="5F707249">
      <w:pPr>
        <w:numPr>
          <w:ilvl w:val="0"/>
          <w:numId w:val="3"/>
        </w:numPr>
        <w:overflowPunct w:val="0"/>
        <w:autoSpaceDE w:val="0"/>
        <w:autoSpaceDN w:val="0"/>
        <w:adjustRightInd w:val="0"/>
        <w:ind w:left="357" w:hanging="357"/>
        <w:textAlignment w:val="baseline"/>
      </w:pPr>
      <w:r>
        <w:t xml:space="preserve">erkent dat de militaire agressie van Rusland tegen Oekraïne, de energiecrisis en de nieuwe economische en geopolitieke realiteit van </w:t>
      </w:r>
      <w:r>
        <w:rPr>
          <w:b/>
        </w:rPr>
        <w:t>invloed zullen zijn op de verwezenlijking van de dubbele transitie</w:t>
      </w:r>
      <w:r>
        <w:t>;</w:t>
      </w:r>
    </w:p>
    <w:p w:rsidRPr="00627D71" w:rsidR="00627D71" w:rsidP="00627D71" w:rsidRDefault="00627D71" w14:paraId="77DD534D" w14:textId="03B170D2">
      <w:pPr>
        <w:numPr>
          <w:ilvl w:val="0"/>
          <w:numId w:val="3"/>
        </w:numPr>
        <w:overflowPunct w:val="0"/>
        <w:autoSpaceDE w:val="0"/>
        <w:autoSpaceDN w:val="0"/>
        <w:adjustRightInd w:val="0"/>
        <w:ind w:left="357" w:hanging="357"/>
        <w:textAlignment w:val="baseline"/>
      </w:pPr>
      <w:r>
        <w:t xml:space="preserve">is ingenomen met </w:t>
      </w:r>
      <w:r>
        <w:rPr>
          <w:b/>
        </w:rPr>
        <w:t>de grotere aandacht voor de sociale dimensie</w:t>
      </w:r>
      <w:r>
        <w:t xml:space="preserve"> en herhaalt zijn verzoek aan de Commissie (in zijn advies van 2021) om in het kader van de strategische analyse specifieke prognose-instrumenten te ontwikkelen ten behoeve van de impact van de dubbele transitie op de socialezekerheidsstelsels, en bijgevolg specifieke maatregelen voor te stellen om de sociale gevolgen van de dubbele transitie te verzachten;</w:t>
      </w:r>
    </w:p>
    <w:p w:rsidRPr="00627D71" w:rsidR="00627D71" w:rsidP="00627D71" w:rsidRDefault="00627D71" w14:paraId="4941DD57" w14:textId="561EAA8A">
      <w:pPr>
        <w:numPr>
          <w:ilvl w:val="0"/>
          <w:numId w:val="3"/>
        </w:numPr>
        <w:overflowPunct w:val="0"/>
        <w:autoSpaceDE w:val="0"/>
        <w:autoSpaceDN w:val="0"/>
        <w:adjustRightInd w:val="0"/>
        <w:ind w:left="357" w:hanging="357"/>
        <w:textAlignment w:val="baseline"/>
      </w:pPr>
      <w:r>
        <w:t>is van mening dat de EU moet vasthouden aan haar waarden en met derde landen moet blijven samenwerken, het gemeenschappelijk buitenlands beleid moet versterken, gemeenschappelijke oplossingen moet zoeken en ervoor dient te zorgen dat onze samenwerking en handel gunstig zijn voor de economische en sociale rechten van de bevolking van deze landen, met het oog op de duurzaamheid op lange termijn.</w:t>
      </w:r>
    </w:p>
    <w:p w:rsidRPr="007E7A4F" w:rsidR="007E7DE3" w:rsidP="00E34279" w:rsidRDefault="007E7DE3" w14:paraId="043E47D4" w14:textId="776D7173">
      <w:pPr>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E4355F" w:rsidTr="00726054" w14:paraId="3DA9FCD8" w14:textId="77777777">
        <w:tc>
          <w:tcPr>
            <w:tcW w:w="1418" w:type="dxa"/>
          </w:tcPr>
          <w:p w:rsidRPr="00164813" w:rsidR="00E4355F" w:rsidP="00726054" w:rsidRDefault="00E4355F" w14:paraId="1C6720FA" w14:textId="77777777">
            <w:pPr>
              <w:contextualSpacing/>
              <w:rPr>
                <w:i/>
              </w:rPr>
            </w:pPr>
            <w:r>
              <w:rPr>
                <w:b/>
                <w:i/>
              </w:rPr>
              <w:t>Contactpersoon</w:t>
            </w:r>
          </w:p>
        </w:tc>
        <w:tc>
          <w:tcPr>
            <w:tcW w:w="5670" w:type="dxa"/>
          </w:tcPr>
          <w:p w:rsidRPr="00164813" w:rsidR="00E4355F" w:rsidP="00726054" w:rsidRDefault="00627D71" w14:paraId="3B68C713" w14:textId="278C2F40">
            <w:pPr>
              <w:contextualSpacing/>
              <w:rPr>
                <w:i/>
              </w:rPr>
            </w:pPr>
            <w:proofErr w:type="spellStart"/>
            <w:r>
              <w:rPr>
                <w:i/>
              </w:rPr>
              <w:t>Raúl</w:t>
            </w:r>
            <w:proofErr w:type="spellEnd"/>
            <w:r>
              <w:rPr>
                <w:i/>
              </w:rPr>
              <w:t xml:space="preserve"> Muriel </w:t>
            </w:r>
            <w:proofErr w:type="spellStart"/>
            <w:r>
              <w:rPr>
                <w:i/>
              </w:rPr>
              <w:t>Carrasco</w:t>
            </w:r>
            <w:proofErr w:type="spellEnd"/>
          </w:p>
        </w:tc>
      </w:tr>
      <w:tr w:rsidRPr="00164813" w:rsidR="00E4355F" w:rsidTr="00726054" w14:paraId="3CC1DDE1" w14:textId="77777777">
        <w:tc>
          <w:tcPr>
            <w:tcW w:w="1418" w:type="dxa"/>
          </w:tcPr>
          <w:p w:rsidRPr="00164813" w:rsidR="00E4355F" w:rsidP="00726054" w:rsidRDefault="00E4355F" w14:paraId="3D55B53F" w14:textId="77777777">
            <w:pPr>
              <w:ind w:left="601"/>
              <w:contextualSpacing/>
              <w:rPr>
                <w:i/>
              </w:rPr>
            </w:pPr>
            <w:r>
              <w:rPr>
                <w:i/>
              </w:rPr>
              <w:t>Tel.</w:t>
            </w:r>
          </w:p>
        </w:tc>
        <w:tc>
          <w:tcPr>
            <w:tcW w:w="5670" w:type="dxa"/>
          </w:tcPr>
          <w:p w:rsidRPr="00164813" w:rsidR="00E4355F" w:rsidP="00726054" w:rsidRDefault="00E4355F" w14:paraId="1C17165E" w14:textId="702F6F7C">
            <w:pPr>
              <w:contextualSpacing/>
              <w:rPr>
                <w:i/>
              </w:rPr>
            </w:pPr>
            <w:r>
              <w:rPr>
                <w:i/>
              </w:rPr>
              <w:t>00 32 2 546 82 70</w:t>
            </w:r>
          </w:p>
        </w:tc>
      </w:tr>
      <w:tr w:rsidRPr="00164813" w:rsidR="00E4355F" w:rsidTr="00726054" w14:paraId="46542E19" w14:textId="77777777">
        <w:tc>
          <w:tcPr>
            <w:tcW w:w="1418" w:type="dxa"/>
          </w:tcPr>
          <w:p w:rsidRPr="00164813" w:rsidR="00E4355F" w:rsidP="00726054" w:rsidRDefault="00E4355F" w14:paraId="7469D062" w14:textId="77777777">
            <w:pPr>
              <w:ind w:left="601"/>
              <w:contextualSpacing/>
              <w:rPr>
                <w:i/>
              </w:rPr>
            </w:pPr>
            <w:r>
              <w:rPr>
                <w:i/>
              </w:rPr>
              <w:t>E-mail</w:t>
            </w:r>
          </w:p>
        </w:tc>
        <w:tc>
          <w:tcPr>
            <w:tcW w:w="5670" w:type="dxa"/>
          </w:tcPr>
          <w:p w:rsidRPr="00CE7111" w:rsidR="00E4355F" w:rsidP="00726054" w:rsidRDefault="003D1DE5" w14:paraId="1A6C4307" w14:textId="2C79B623">
            <w:pPr>
              <w:contextualSpacing/>
              <w:rPr>
                <w:i/>
                <w:iCs/>
              </w:rPr>
            </w:pPr>
            <w:hyperlink w:history="1" r:id="rId28">
              <w:r w:rsidR="00F31F11">
                <w:rPr>
                  <w:rStyle w:val="Hyperlink"/>
                  <w:i/>
                </w:rPr>
                <w:t>Raul.Murielcarrasco@eesc.europa.eu</w:t>
              </w:r>
            </w:hyperlink>
          </w:p>
        </w:tc>
      </w:tr>
      <w:bookmarkEnd w:id="17"/>
      <w:bookmarkEnd w:id="18"/>
    </w:tbl>
    <w:p w:rsidRPr="00133EE7" w:rsidR="00353D37" w:rsidP="00133EE7" w:rsidRDefault="00353D37" w14:paraId="3C139696" w14:textId="624721DC">
      <w:pPr>
        <w:spacing w:line="240" w:lineRule="auto"/>
        <w:jc w:val="left"/>
        <w:rPr>
          <w:b/>
          <w:bCs/>
          <w:i/>
          <w:iCs/>
        </w:rPr>
      </w:pPr>
      <w:r w:rsidRPr="00133EE7">
        <w:rPr>
          <w:sz w:val="18"/>
          <w:szCs w:val="18"/>
        </w:rPr>
        <w:br w:type="page"/>
      </w:r>
    </w:p>
    <w:p w:rsidRPr="00AA5C1D" w:rsidR="00AA5C1D" w:rsidP="00AA5C1D" w:rsidRDefault="00507FBD" w14:paraId="2EE2A332" w14:textId="07214A78">
      <w:pPr>
        <w:pStyle w:val="ListParagraph"/>
        <w:numPr>
          <w:ilvl w:val="0"/>
          <w:numId w:val="2"/>
        </w:numPr>
        <w:ind w:left="567" w:hanging="567"/>
        <w:rPr>
          <w:b/>
          <w:bCs/>
          <w:i/>
          <w:iCs/>
          <w:sz w:val="28"/>
          <w:szCs w:val="28"/>
        </w:rPr>
      </w:pPr>
      <w:bookmarkStart w:name="_Hlk130281118" w:id="20"/>
      <w:r>
        <w:rPr>
          <w:b/>
          <w:i/>
          <w:sz w:val="28"/>
        </w:rPr>
        <w:lastRenderedPageBreak/>
        <w:t xml:space="preserve">Verordening </w:t>
      </w:r>
      <w:proofErr w:type="spellStart"/>
      <w:r>
        <w:rPr>
          <w:b/>
          <w:i/>
          <w:sz w:val="28"/>
        </w:rPr>
        <w:t>Interoperabel</w:t>
      </w:r>
      <w:proofErr w:type="spellEnd"/>
      <w:r>
        <w:rPr>
          <w:b/>
          <w:i/>
          <w:sz w:val="28"/>
        </w:rPr>
        <w:t xml:space="preserve"> Europa</w:t>
      </w:r>
    </w:p>
    <w:p w:rsidRPr="009B70E7" w:rsidR="00AA5C1D" w:rsidP="00AA5C1D" w:rsidRDefault="00AA5C1D" w14:paraId="0228819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920"/>
      </w:tblGrid>
      <w:tr w:rsidRPr="007E7A4F" w:rsidR="00AA5C1D" w:rsidTr="00133EE7" w14:paraId="377CFA40" w14:textId="77777777">
        <w:tc>
          <w:tcPr>
            <w:tcW w:w="2518" w:type="dxa"/>
          </w:tcPr>
          <w:p w:rsidR="00AA5C1D" w:rsidP="00726054" w:rsidRDefault="00AA5C1D" w14:paraId="5C15ED0E" w14:textId="77777777">
            <w:pPr>
              <w:pStyle w:val="ListParagraph"/>
              <w:ind w:left="0"/>
              <w:rPr>
                <w:b/>
              </w:rPr>
            </w:pPr>
            <w:r>
              <w:rPr>
                <w:b/>
              </w:rPr>
              <w:t>Rapporteur</w:t>
            </w:r>
          </w:p>
          <w:p w:rsidRPr="009B70E7" w:rsidR="00E302BC" w:rsidP="00726054" w:rsidRDefault="00E302BC" w14:paraId="6700269D" w14:textId="4C78E621">
            <w:pPr>
              <w:pStyle w:val="ListParagraph"/>
              <w:ind w:left="0"/>
              <w:rPr>
                <w:b/>
              </w:rPr>
            </w:pPr>
          </w:p>
        </w:tc>
        <w:tc>
          <w:tcPr>
            <w:tcW w:w="5920" w:type="dxa"/>
          </w:tcPr>
          <w:p w:rsidR="00AA5C1D" w:rsidP="00726054" w:rsidRDefault="00DF3ABC" w14:paraId="283EF046" w14:textId="56F38DBE">
            <w:pPr>
              <w:pStyle w:val="ListParagraph"/>
              <w:ind w:left="-108"/>
            </w:pPr>
            <w:r>
              <w:t>Vasco DE MELLO (groep Werkgevers – PT)</w:t>
            </w:r>
          </w:p>
          <w:p w:rsidRPr="007E7A4F" w:rsidR="00E302BC" w:rsidP="00726054" w:rsidRDefault="00E302BC" w14:paraId="0BD64E0D" w14:textId="678F2318">
            <w:pPr>
              <w:pStyle w:val="ListParagraph"/>
              <w:ind w:left="-108"/>
              <w:rPr>
                <w:lang w:val="fr-BE"/>
              </w:rPr>
            </w:pPr>
          </w:p>
        </w:tc>
      </w:tr>
      <w:tr w:rsidRPr="009B70E7" w:rsidR="00AA5C1D" w:rsidTr="00133EE7" w14:paraId="4E577528" w14:textId="77777777">
        <w:tc>
          <w:tcPr>
            <w:tcW w:w="2518" w:type="dxa"/>
          </w:tcPr>
          <w:p w:rsidRPr="009B70E7" w:rsidR="00AA5C1D" w:rsidP="00726054" w:rsidRDefault="00AA5C1D" w14:paraId="7CEEDB52" w14:textId="1C12C238">
            <w:pPr>
              <w:pStyle w:val="ListParagraph"/>
              <w:ind w:left="0"/>
              <w:rPr>
                <w:b/>
              </w:rPr>
            </w:pPr>
            <w:r>
              <w:rPr>
                <w:b/>
              </w:rPr>
              <w:t xml:space="preserve">Referentiedocumenten </w:t>
            </w:r>
          </w:p>
        </w:tc>
        <w:tc>
          <w:tcPr>
            <w:tcW w:w="5920" w:type="dxa"/>
          </w:tcPr>
          <w:p w:rsidRPr="009B70E7" w:rsidR="00AA5C1D" w:rsidP="00726054" w:rsidRDefault="004429E2" w14:paraId="7260D9BD" w14:textId="645CB3A4">
            <w:pPr>
              <w:tabs>
                <w:tab w:val="center" w:pos="284"/>
              </w:tabs>
              <w:ind w:left="266" w:hanging="374"/>
            </w:pPr>
            <w:r>
              <w:t xml:space="preserve">COM(2022) 710-720 </w:t>
            </w:r>
            <w:proofErr w:type="spellStart"/>
            <w:r>
              <w:t>final</w:t>
            </w:r>
            <w:proofErr w:type="spellEnd"/>
          </w:p>
          <w:p w:rsidRPr="009B70E7" w:rsidR="00AA5C1D" w:rsidP="00726054" w:rsidRDefault="00AA5C1D" w14:paraId="088E18BB" w14:textId="67CB883B">
            <w:pPr>
              <w:pStyle w:val="ListParagraph"/>
              <w:ind w:left="-108"/>
            </w:pPr>
            <w:r>
              <w:t>EESC-2022-05805-00-00-AC</w:t>
            </w:r>
          </w:p>
        </w:tc>
      </w:tr>
    </w:tbl>
    <w:p w:rsidRPr="009B70E7" w:rsidR="00AA5C1D" w:rsidP="00AA5C1D" w:rsidRDefault="00AA5C1D" w14:paraId="0C36545B" w14:textId="77777777">
      <w:pPr>
        <w:pStyle w:val="ListParagraph"/>
        <w:ind w:left="0"/>
        <w:rPr>
          <w:b/>
        </w:rPr>
      </w:pPr>
    </w:p>
    <w:p w:rsidRPr="00A00F37" w:rsidR="00AA5C1D" w:rsidP="00E302BC" w:rsidRDefault="00AA5C1D" w14:paraId="1B4ECBDA" w14:textId="320EA1A2">
      <w:pPr>
        <w:pStyle w:val="ListParagraph"/>
        <w:spacing w:line="240" w:lineRule="auto"/>
        <w:ind w:left="0"/>
        <w:rPr>
          <w:b/>
        </w:rPr>
      </w:pPr>
      <w:r>
        <w:rPr>
          <w:b/>
        </w:rPr>
        <w:t>Hoofdpunten</w:t>
      </w:r>
    </w:p>
    <w:p w:rsidRPr="0018231C" w:rsidR="00AA5C1D" w:rsidP="00AA5C1D" w:rsidRDefault="00AA5C1D" w14:paraId="38EF24CA" w14:textId="77777777">
      <w:pPr>
        <w:pStyle w:val="ListParagraph"/>
        <w:ind w:left="0"/>
        <w:rPr>
          <w:lang w:val="fr-FR"/>
        </w:rPr>
      </w:pPr>
    </w:p>
    <w:p w:rsidR="00AA5C1D" w:rsidP="00E302BC" w:rsidRDefault="00AA5C1D" w14:paraId="496334DF" w14:textId="77777777">
      <w:pPr>
        <w:pStyle w:val="ListParagraph"/>
        <w:spacing w:line="240" w:lineRule="auto"/>
        <w:ind w:left="0"/>
      </w:pPr>
      <w:r>
        <w:t>Het EESC:</w:t>
      </w:r>
    </w:p>
    <w:p w:rsidRPr="0018231C" w:rsidR="00AA5C1D" w:rsidP="00AA5C1D" w:rsidRDefault="00AA5C1D" w14:paraId="7DF02088" w14:textId="77777777">
      <w:pPr>
        <w:pStyle w:val="ListParagraph"/>
        <w:ind w:left="0"/>
        <w:rPr>
          <w:lang w:val="fr-FR"/>
        </w:rPr>
      </w:pPr>
    </w:p>
    <w:p w:rsidRPr="00A3344B" w:rsidR="00AA5C1D" w:rsidP="00AA5C1D" w:rsidRDefault="00507FBD" w14:paraId="001CF33A" w14:textId="7371C9FC">
      <w:pPr>
        <w:numPr>
          <w:ilvl w:val="0"/>
          <w:numId w:val="3"/>
        </w:numPr>
        <w:overflowPunct w:val="0"/>
        <w:autoSpaceDE w:val="0"/>
        <w:autoSpaceDN w:val="0"/>
        <w:adjustRightInd w:val="0"/>
        <w:ind w:left="357" w:hanging="357"/>
        <w:textAlignment w:val="baseline"/>
      </w:pPr>
      <w:r>
        <w:t>is van mening dat interoperabiliteit tussen overheidsdiensten een essentiële voorwaarde is voor de totstandbrenging van een digitale eengemaakte markt;</w:t>
      </w:r>
    </w:p>
    <w:p w:rsidR="00CE7111" w:rsidP="00AA5C1D" w:rsidRDefault="00507FBD" w14:paraId="5FE2D52F" w14:textId="1E473EE6">
      <w:pPr>
        <w:numPr>
          <w:ilvl w:val="0"/>
          <w:numId w:val="3"/>
        </w:numPr>
        <w:overflowPunct w:val="0"/>
        <w:autoSpaceDE w:val="0"/>
        <w:autoSpaceDN w:val="0"/>
        <w:adjustRightInd w:val="0"/>
        <w:ind w:left="357" w:hanging="357"/>
        <w:textAlignment w:val="baseline"/>
      </w:pPr>
      <w:r>
        <w:t xml:space="preserve">wijst er echter op dat </w:t>
      </w:r>
      <w:r>
        <w:rPr>
          <w:b/>
        </w:rPr>
        <w:t>dit er niet toe mag leiden dat de lidstaten</w:t>
      </w:r>
      <w:r>
        <w:t xml:space="preserve">, om dit doel te halen, </w:t>
      </w:r>
      <w:r>
        <w:rPr>
          <w:b/>
        </w:rPr>
        <w:t>hun overheidsdiensten voortaan alleen nog maar digitaal gaan aanbieden en dat mensen niet meer persoonlijk worden geholpen</w:t>
      </w:r>
      <w:r>
        <w:t xml:space="preserve">. Er moet namelijk rekening worden gehouden met de meest kwetsbare groepen burgers. Hoewel iedereen de kans moet krijgen </w:t>
      </w:r>
      <w:r>
        <w:rPr>
          <w:b/>
        </w:rPr>
        <w:t>opleidingen op het gebied van digitale vaardigheden</w:t>
      </w:r>
      <w:r>
        <w:t xml:space="preserve"> te volgen, geldt dat met name voor deze bevolkingsgroepen;</w:t>
      </w:r>
    </w:p>
    <w:p w:rsidRPr="00402A19" w:rsidR="00507FBD" w:rsidP="00AA5C1D" w:rsidRDefault="00507FBD" w14:paraId="2E44CAA8" w14:textId="3DD609F6">
      <w:pPr>
        <w:numPr>
          <w:ilvl w:val="0"/>
          <w:numId w:val="3"/>
        </w:numPr>
        <w:overflowPunct w:val="0"/>
        <w:autoSpaceDE w:val="0"/>
        <w:autoSpaceDN w:val="0"/>
        <w:adjustRightInd w:val="0"/>
        <w:ind w:left="357" w:hanging="357"/>
        <w:textAlignment w:val="baseline"/>
      </w:pPr>
      <w:r>
        <w:t xml:space="preserve">merkt op dat de ontwikkeling en het gebruik van digitale diensten er in eerste instantie toe zal leiden dat meer personeel nodig is, en dus geen inkrimping van het personeelsbestand zal teweegbrengen. </w:t>
      </w:r>
      <w:r>
        <w:rPr>
          <w:b/>
          <w:bCs/>
        </w:rPr>
        <w:t>Om de digitale transformatie te doen slagen, is voldoende personeel nodig</w:t>
      </w:r>
      <w:r>
        <w:t>;</w:t>
      </w:r>
    </w:p>
    <w:p w:rsidR="00402A19" w:rsidP="00AA5C1D" w:rsidRDefault="00402A19" w14:paraId="5748E880" w14:textId="2D8FCEF9">
      <w:pPr>
        <w:numPr>
          <w:ilvl w:val="0"/>
          <w:numId w:val="3"/>
        </w:numPr>
        <w:overflowPunct w:val="0"/>
        <w:autoSpaceDE w:val="0"/>
        <w:autoSpaceDN w:val="0"/>
        <w:adjustRightInd w:val="0"/>
        <w:ind w:left="357" w:hanging="357"/>
        <w:textAlignment w:val="baseline"/>
      </w:pPr>
      <w:r>
        <w:t>acht het van belang dat in toekomstige financieringsprogramma’s voor de interoperabiliteit van openbare diensten als voorwaarde wordt gesteld dat de beginselen en structuren van het Europees interoperabiliteitskader worden overgenomen;</w:t>
      </w:r>
    </w:p>
    <w:p w:rsidR="00402A19" w:rsidP="00AA5C1D" w:rsidRDefault="00402A19" w14:paraId="010403E6" w14:textId="0B9DAC18">
      <w:pPr>
        <w:numPr>
          <w:ilvl w:val="0"/>
          <w:numId w:val="3"/>
        </w:numPr>
        <w:overflowPunct w:val="0"/>
        <w:autoSpaceDE w:val="0"/>
        <w:autoSpaceDN w:val="0"/>
        <w:adjustRightInd w:val="0"/>
        <w:ind w:left="357" w:hanging="357"/>
        <w:textAlignment w:val="baseline"/>
      </w:pPr>
      <w:r>
        <w:t xml:space="preserve">meent dat het een goede zaak is dat dit initiatief naadloos aansluit bij de zogeheten dubbele transitie, maar waarschuwt ervoor dat </w:t>
      </w:r>
      <w:r>
        <w:rPr>
          <w:b/>
        </w:rPr>
        <w:t>sommige technologische oplossingen voor digitalisering zeer energie-intensief kunnen zijn</w:t>
      </w:r>
      <w:r>
        <w:t>;</w:t>
      </w:r>
    </w:p>
    <w:p w:rsidR="00402A19" w:rsidP="00AA5C1D" w:rsidRDefault="00402A19" w14:paraId="3ADFBCA8" w14:textId="57CD4FB7">
      <w:pPr>
        <w:numPr>
          <w:ilvl w:val="0"/>
          <w:numId w:val="3"/>
        </w:numPr>
        <w:overflowPunct w:val="0"/>
        <w:autoSpaceDE w:val="0"/>
        <w:autoSpaceDN w:val="0"/>
        <w:adjustRightInd w:val="0"/>
        <w:ind w:left="357" w:hanging="357"/>
        <w:textAlignment w:val="baseline"/>
      </w:pPr>
      <w:r>
        <w:t xml:space="preserve">is van mening dat </w:t>
      </w:r>
      <w:r>
        <w:rPr>
          <w:b/>
        </w:rPr>
        <w:t>gegevensbescherming weliswaar met de nodige omzichtigheid moet worden benaderd, maar geen belemmering mag vormen</w:t>
      </w:r>
      <w:r>
        <w:t xml:space="preserve"> voor openbare diensten of particulieren om nieuwe </w:t>
      </w:r>
      <w:proofErr w:type="spellStart"/>
      <w:r>
        <w:t>interoperabele</w:t>
      </w:r>
      <w:proofErr w:type="spellEnd"/>
      <w:r>
        <w:t xml:space="preserve"> oplossingen te bedenken;</w:t>
      </w:r>
    </w:p>
    <w:p w:rsidR="00402A19" w:rsidP="00AA5C1D" w:rsidRDefault="00402A19" w14:paraId="7A77F4D2" w14:textId="40775535">
      <w:pPr>
        <w:numPr>
          <w:ilvl w:val="0"/>
          <w:numId w:val="3"/>
        </w:numPr>
        <w:overflowPunct w:val="0"/>
        <w:autoSpaceDE w:val="0"/>
        <w:autoSpaceDN w:val="0"/>
        <w:adjustRightInd w:val="0"/>
        <w:ind w:left="357" w:hanging="357"/>
        <w:textAlignment w:val="baseline"/>
      </w:pPr>
      <w:r>
        <w:t xml:space="preserve">vindt dat er verschillende autorisatieniveaus moeten gelden voor de toegang tot gegevens om </w:t>
      </w:r>
      <w:r>
        <w:rPr>
          <w:b/>
        </w:rPr>
        <w:t>de vertrouwelijkheid van de gegevens te waarborgen</w:t>
      </w:r>
      <w:r>
        <w:t xml:space="preserve"> en ervoor te zorgen dat alleen strikt noodzakelijke gegevens openbaar worden gemaakt.</w:t>
      </w:r>
    </w:p>
    <w:p w:rsidRPr="009A3E0E" w:rsidR="00AA5C1D" w:rsidP="00AA5C1D" w:rsidRDefault="00AA5C1D" w14:paraId="11FB1396"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AA5C1D" w:rsidTr="00726054" w14:paraId="41C508F8" w14:textId="77777777">
        <w:tc>
          <w:tcPr>
            <w:tcW w:w="1418" w:type="dxa"/>
          </w:tcPr>
          <w:p w:rsidRPr="00164813" w:rsidR="00AA5C1D" w:rsidP="00726054" w:rsidRDefault="00AA5C1D" w14:paraId="682B16C4" w14:textId="247691B3">
            <w:pPr>
              <w:contextualSpacing/>
              <w:rPr>
                <w:i/>
              </w:rPr>
            </w:pPr>
            <w:r>
              <w:rPr>
                <w:b/>
                <w:i/>
              </w:rPr>
              <w:t>Contactpersoon</w:t>
            </w:r>
          </w:p>
        </w:tc>
        <w:tc>
          <w:tcPr>
            <w:tcW w:w="5670" w:type="dxa"/>
          </w:tcPr>
          <w:p w:rsidRPr="00164813" w:rsidR="00AA5C1D" w:rsidP="00726054" w:rsidRDefault="00402A19" w14:paraId="58153CA9" w14:textId="7E8AFC90">
            <w:pPr>
              <w:contextualSpacing/>
              <w:rPr>
                <w:i/>
              </w:rPr>
            </w:pPr>
            <w:proofErr w:type="spellStart"/>
            <w:r>
              <w:rPr>
                <w:i/>
              </w:rPr>
              <w:t>Raquel</w:t>
            </w:r>
            <w:proofErr w:type="spellEnd"/>
            <w:r>
              <w:rPr>
                <w:i/>
              </w:rPr>
              <w:t xml:space="preserve"> </w:t>
            </w:r>
            <w:proofErr w:type="spellStart"/>
            <w:r>
              <w:rPr>
                <w:i/>
              </w:rPr>
              <w:t>Ferreira</w:t>
            </w:r>
            <w:proofErr w:type="spellEnd"/>
            <w:r>
              <w:rPr>
                <w:i/>
              </w:rPr>
              <w:t xml:space="preserve"> da Silva</w:t>
            </w:r>
          </w:p>
        </w:tc>
      </w:tr>
      <w:tr w:rsidRPr="00164813" w:rsidR="00AA5C1D" w:rsidTr="00726054" w14:paraId="72CAC45A" w14:textId="77777777">
        <w:tc>
          <w:tcPr>
            <w:tcW w:w="1418" w:type="dxa"/>
          </w:tcPr>
          <w:p w:rsidRPr="00164813" w:rsidR="00AA5C1D" w:rsidP="00726054" w:rsidRDefault="00AA5C1D" w14:paraId="3EF5E950" w14:textId="73C04D47">
            <w:pPr>
              <w:ind w:left="601"/>
              <w:contextualSpacing/>
              <w:rPr>
                <w:i/>
              </w:rPr>
            </w:pPr>
            <w:r>
              <w:rPr>
                <w:i/>
              </w:rPr>
              <w:t>Tel.</w:t>
            </w:r>
          </w:p>
        </w:tc>
        <w:tc>
          <w:tcPr>
            <w:tcW w:w="5670" w:type="dxa"/>
          </w:tcPr>
          <w:p w:rsidRPr="00164813" w:rsidR="00AA5C1D" w:rsidP="00726054" w:rsidRDefault="00AA5C1D" w14:paraId="7B046605" w14:textId="362A5E79">
            <w:pPr>
              <w:contextualSpacing/>
              <w:rPr>
                <w:i/>
              </w:rPr>
            </w:pPr>
            <w:r>
              <w:rPr>
                <w:i/>
              </w:rPr>
              <w:t>00 32 2 546 91 13</w:t>
            </w:r>
          </w:p>
        </w:tc>
      </w:tr>
      <w:tr w:rsidRPr="00164813" w:rsidR="00AA5C1D" w:rsidTr="00726054" w14:paraId="73DA6362" w14:textId="77777777">
        <w:tc>
          <w:tcPr>
            <w:tcW w:w="1418" w:type="dxa"/>
          </w:tcPr>
          <w:p w:rsidRPr="00164813" w:rsidR="00AA5C1D" w:rsidP="00726054" w:rsidRDefault="00AA5C1D" w14:paraId="67DB9852" w14:textId="3361810C">
            <w:pPr>
              <w:ind w:left="601"/>
              <w:contextualSpacing/>
              <w:rPr>
                <w:i/>
              </w:rPr>
            </w:pPr>
            <w:r>
              <w:rPr>
                <w:i/>
              </w:rPr>
              <w:t>E-mail</w:t>
            </w:r>
          </w:p>
        </w:tc>
        <w:tc>
          <w:tcPr>
            <w:tcW w:w="5670" w:type="dxa"/>
          </w:tcPr>
          <w:p w:rsidRPr="00D93D43" w:rsidR="00D93D43" w:rsidP="009A3E0E" w:rsidRDefault="003D1DE5" w14:paraId="49BD07A0" w14:textId="02B9A5FF">
            <w:pPr>
              <w:contextualSpacing/>
              <w:rPr>
                <w:i/>
                <w:iCs/>
                <w:color w:val="0000FF"/>
                <w:u w:val="single"/>
              </w:rPr>
            </w:pPr>
            <w:hyperlink w:history="1" r:id="rId29">
              <w:r w:rsidR="00F31F11">
                <w:rPr>
                  <w:rStyle w:val="Hyperlink"/>
                  <w:i/>
                </w:rPr>
                <w:t>Raquel.Ferreiradasilva@eesc.europa.eu</w:t>
              </w:r>
            </w:hyperlink>
          </w:p>
        </w:tc>
      </w:tr>
      <w:bookmarkEnd w:id="20"/>
    </w:tbl>
    <w:p w:rsidR="00D93D43" w:rsidRDefault="00D93D43" w14:paraId="64CC52D5" w14:textId="77777777">
      <w:r>
        <w:br w:type="page"/>
      </w:r>
    </w:p>
    <w:p w:rsidRPr="009B70E7" w:rsidR="00D93D43" w:rsidP="00D93D43" w:rsidRDefault="00D93D43" w14:paraId="4B68C961" w14:textId="042EEDB4">
      <w:pPr>
        <w:pStyle w:val="ListParagraph"/>
        <w:keepNext/>
        <w:numPr>
          <w:ilvl w:val="0"/>
          <w:numId w:val="2"/>
        </w:numPr>
        <w:ind w:left="567" w:hanging="567"/>
        <w:rPr>
          <w:b/>
          <w:i/>
          <w:sz w:val="28"/>
          <w:szCs w:val="28"/>
        </w:rPr>
      </w:pPr>
      <w:bookmarkStart w:name="_Hlk130282294" w:id="21"/>
      <w:r>
        <w:rPr>
          <w:b/>
          <w:i/>
          <w:sz w:val="28"/>
        </w:rPr>
        <w:lastRenderedPageBreak/>
        <w:t>Verbetering van de convergentie van insolventieprocedures</w:t>
      </w:r>
    </w:p>
    <w:p w:rsidRPr="009B70E7" w:rsidR="00D93D43" w:rsidP="00D93D43" w:rsidRDefault="00D93D43" w14:paraId="0E02720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096"/>
      </w:tblGrid>
      <w:tr w:rsidRPr="00D61100" w:rsidR="00D93D43" w:rsidTr="00726054" w14:paraId="663B372D" w14:textId="77777777">
        <w:trPr>
          <w:cantSplit/>
          <w:trHeight w:val="284" w:hRule="exact"/>
        </w:trPr>
        <w:tc>
          <w:tcPr>
            <w:tcW w:w="1701" w:type="dxa"/>
          </w:tcPr>
          <w:p w:rsidRPr="00D61100" w:rsidR="00D93D43" w:rsidP="00726054" w:rsidRDefault="00D93D43" w14:paraId="0EDDE7BE" w14:textId="77777777">
            <w:pPr>
              <w:pStyle w:val="ListParagraph"/>
              <w:spacing w:line="240" w:lineRule="auto"/>
              <w:ind w:left="-142" w:firstLine="142"/>
              <w:rPr>
                <w:b/>
              </w:rPr>
            </w:pPr>
            <w:r>
              <w:rPr>
                <w:b/>
              </w:rPr>
              <w:t>Rapporteur</w:t>
            </w:r>
          </w:p>
          <w:p w:rsidRPr="00D61100" w:rsidR="00D93D43" w:rsidP="00726054" w:rsidRDefault="00D93D43" w14:paraId="72100C08" w14:textId="77777777">
            <w:pPr>
              <w:pStyle w:val="ListParagraph"/>
              <w:keepNext/>
              <w:ind w:left="0"/>
              <w:rPr>
                <w:b/>
              </w:rPr>
            </w:pPr>
          </w:p>
        </w:tc>
        <w:tc>
          <w:tcPr>
            <w:tcW w:w="6096" w:type="dxa"/>
          </w:tcPr>
          <w:p w:rsidRPr="00D61100" w:rsidR="00D93D43" w:rsidP="00726054" w:rsidRDefault="00D61100" w14:paraId="6CAA8EF5" w14:textId="563A6736">
            <w:pPr>
              <w:pStyle w:val="ListParagraph"/>
              <w:ind w:left="-52"/>
            </w:pPr>
            <w:r>
              <w:t>Sandra PARTHIE (groep Werkgevers – DE)</w:t>
            </w:r>
          </w:p>
        </w:tc>
      </w:tr>
      <w:tr w:rsidRPr="00D61100" w:rsidR="00D93D43" w:rsidTr="00726054" w14:paraId="6CF873E9" w14:textId="77777777">
        <w:trPr>
          <w:cantSplit/>
          <w:trHeight w:val="567" w:hRule="exact"/>
        </w:trPr>
        <w:tc>
          <w:tcPr>
            <w:tcW w:w="1701" w:type="dxa"/>
          </w:tcPr>
          <w:p w:rsidRPr="00D61100" w:rsidR="00D93D43" w:rsidP="00726054" w:rsidRDefault="00D93D43" w14:paraId="08C0A207" w14:textId="77777777">
            <w:pPr>
              <w:pStyle w:val="ListParagraph"/>
              <w:ind w:left="0"/>
              <w:rPr>
                <w:b/>
              </w:rPr>
            </w:pPr>
            <w:proofErr w:type="spellStart"/>
            <w:r>
              <w:rPr>
                <w:b/>
              </w:rPr>
              <w:t>Corapporteur</w:t>
            </w:r>
            <w:proofErr w:type="spellEnd"/>
          </w:p>
        </w:tc>
        <w:tc>
          <w:tcPr>
            <w:tcW w:w="6096" w:type="dxa"/>
          </w:tcPr>
          <w:p w:rsidRPr="00D61100" w:rsidR="00D93D43" w:rsidP="00726054" w:rsidRDefault="00D61100" w14:paraId="61149080" w14:textId="0E848375">
            <w:pPr>
              <w:pStyle w:val="ListParagraph"/>
              <w:ind w:left="-52"/>
            </w:pPr>
            <w:r>
              <w:t>Philip VON BROCKDORFF (groep Werknemers – MT)</w:t>
            </w:r>
          </w:p>
        </w:tc>
      </w:tr>
      <w:tr w:rsidRPr="00D61100" w:rsidR="00D93D43" w:rsidTr="00726054" w14:paraId="44C1DA4C" w14:textId="77777777">
        <w:tc>
          <w:tcPr>
            <w:tcW w:w="1701" w:type="dxa"/>
          </w:tcPr>
          <w:p w:rsidRPr="00D61100" w:rsidR="00D93D43" w:rsidP="00726054" w:rsidRDefault="00D93D43" w14:paraId="1283A3B0" w14:textId="77777777">
            <w:pPr>
              <w:pStyle w:val="ListParagraph"/>
              <w:ind w:left="0"/>
              <w:rPr>
                <w:b/>
              </w:rPr>
            </w:pPr>
            <w:r>
              <w:rPr>
                <w:b/>
              </w:rPr>
              <w:t xml:space="preserve">Referentiedocumenten </w:t>
            </w:r>
          </w:p>
        </w:tc>
        <w:tc>
          <w:tcPr>
            <w:tcW w:w="6096" w:type="dxa"/>
          </w:tcPr>
          <w:p w:rsidRPr="00D61100" w:rsidR="00D93D43" w:rsidP="00726054" w:rsidRDefault="00D93D43" w14:paraId="5F2B5C18" w14:textId="6C32BC03">
            <w:pPr>
              <w:pStyle w:val="ListParagraph"/>
              <w:ind w:left="-52"/>
            </w:pPr>
            <w:r>
              <w:t xml:space="preserve">COM(2022) 702 </w:t>
            </w:r>
            <w:proofErr w:type="spellStart"/>
            <w:r>
              <w:t>final</w:t>
            </w:r>
            <w:proofErr w:type="spellEnd"/>
          </w:p>
          <w:p w:rsidRPr="00D61100" w:rsidR="00D93D43" w:rsidP="00726054" w:rsidRDefault="00D93D43" w14:paraId="1D78F7A9" w14:textId="5C17C23B">
            <w:pPr>
              <w:pStyle w:val="ListParagraph"/>
              <w:ind w:left="-52"/>
            </w:pPr>
            <w:r>
              <w:t>EESC-2022-05781-00-00-AC</w:t>
            </w:r>
          </w:p>
        </w:tc>
      </w:tr>
    </w:tbl>
    <w:p w:rsidRPr="00D61100" w:rsidR="00D93D43" w:rsidP="00D93D43" w:rsidRDefault="00D93D43" w14:paraId="5BE06F86" w14:textId="77777777">
      <w:pPr>
        <w:pStyle w:val="ListParagraph"/>
        <w:spacing w:line="240" w:lineRule="auto"/>
        <w:ind w:left="-142" w:firstLine="284"/>
        <w:rPr>
          <w:b/>
        </w:rPr>
      </w:pPr>
    </w:p>
    <w:p w:rsidRPr="00D61100" w:rsidR="00D93D43" w:rsidP="00D93D43" w:rsidRDefault="00D93D43" w14:paraId="4C234052" w14:textId="77777777">
      <w:pPr>
        <w:pStyle w:val="ListParagraph"/>
        <w:spacing w:line="240" w:lineRule="auto"/>
        <w:ind w:left="0"/>
        <w:rPr>
          <w:b/>
        </w:rPr>
      </w:pPr>
      <w:r>
        <w:rPr>
          <w:b/>
        </w:rPr>
        <w:t>Hoofdpunten</w:t>
      </w:r>
    </w:p>
    <w:p w:rsidRPr="00D61100" w:rsidR="00D93D43" w:rsidP="00D93D43" w:rsidRDefault="00D93D43" w14:paraId="7F675F0E" w14:textId="77777777">
      <w:pPr>
        <w:pStyle w:val="ListParagraph"/>
        <w:ind w:left="0"/>
      </w:pPr>
    </w:p>
    <w:p w:rsidRPr="00D61100" w:rsidR="00D93D43" w:rsidP="00D93D43" w:rsidRDefault="00D93D43" w14:paraId="3BB6910D" w14:textId="77777777">
      <w:pPr>
        <w:pStyle w:val="ListParagraph"/>
        <w:spacing w:line="240" w:lineRule="auto"/>
        <w:ind w:left="0"/>
        <w:rPr>
          <w:bCs/>
        </w:rPr>
      </w:pPr>
      <w:r>
        <w:t>Het EESC:</w:t>
      </w:r>
    </w:p>
    <w:p w:rsidRPr="00D61100" w:rsidR="00D93D43" w:rsidP="00D93D43" w:rsidRDefault="00D93D43" w14:paraId="65E76807" w14:textId="77777777">
      <w:pPr>
        <w:pStyle w:val="ListParagraph"/>
        <w:ind w:left="0"/>
      </w:pPr>
    </w:p>
    <w:p w:rsidR="00D61100" w:rsidP="00D61100" w:rsidRDefault="00D61100" w14:paraId="5C89D3C1" w14:textId="77777777">
      <w:pPr>
        <w:pStyle w:val="ListParagraph"/>
        <w:numPr>
          <w:ilvl w:val="0"/>
          <w:numId w:val="3"/>
        </w:numPr>
        <w:ind w:left="357" w:hanging="357"/>
      </w:pPr>
      <w:r>
        <w:t xml:space="preserve">benadrukt dat </w:t>
      </w:r>
      <w:r>
        <w:rPr>
          <w:b/>
        </w:rPr>
        <w:t>een goed opgezette insolventieregeling levensvatbare ondernemingen moet helpen om draaiend te blijven</w:t>
      </w:r>
      <w:r>
        <w:t xml:space="preserve"> en moet voorkomen dat zij voortijdig worden vereffend. Daarbij moet worden gestreefd naar een goed evenwicht tussen voortijdige insolventie en procedures die te laat worden opgestart;</w:t>
      </w:r>
    </w:p>
    <w:p w:rsidRPr="00D61100" w:rsidR="00D61100" w:rsidP="00D61100" w:rsidRDefault="00D61100" w14:paraId="53B7A304" w14:textId="77777777">
      <w:pPr>
        <w:pStyle w:val="ListParagraph"/>
        <w:numPr>
          <w:ilvl w:val="0"/>
          <w:numId w:val="3"/>
        </w:numPr>
        <w:ind w:left="357" w:hanging="357"/>
      </w:pPr>
      <w:r>
        <w:t xml:space="preserve">betwijfelt of het voorstel, dat wordt gepresenteerd als een belangrijke stap om relevante hiaten bij de verdere ontwikkeling van de kapitaalmarktenunie te dichten, wel aan deze verwachtingen kan voldoen. Het </w:t>
      </w:r>
      <w:r>
        <w:rPr>
          <w:b/>
        </w:rPr>
        <w:t>voorstel voorziet niet in een geharmoniseerde definitie van insolventiegronden noch wordt een rangorde van vorderingen bepaald</w:t>
      </w:r>
      <w:r>
        <w:t>, terwijl beide essentieel zijn om de nationale insolventieregels efficiënter en minder versnipperd te maken;</w:t>
      </w:r>
    </w:p>
    <w:p w:rsidRPr="00D61100" w:rsidR="00D61100" w:rsidP="00D61100" w:rsidRDefault="00D61100" w14:paraId="73F012B5" w14:textId="644AD3A1">
      <w:pPr>
        <w:pStyle w:val="ListParagraph"/>
        <w:numPr>
          <w:ilvl w:val="0"/>
          <w:numId w:val="3"/>
        </w:numPr>
        <w:ind w:left="357" w:hanging="357"/>
      </w:pPr>
      <w:r>
        <w:t xml:space="preserve">dringt er bij Commissie, Parlement en Raad op aan </w:t>
      </w:r>
      <w:r>
        <w:rPr>
          <w:b/>
        </w:rPr>
        <w:t>zich nog eens te buigen over het in artikel 27 vervatte voorstel om tegenpartijen</w:t>
      </w:r>
      <w:r>
        <w:t xml:space="preserve">, bijvoorbeeld leveranciers van een bedrijf waartegen een insolventieprocedure wordt ingeleid, </w:t>
      </w:r>
      <w:r>
        <w:rPr>
          <w:b/>
        </w:rPr>
        <w:t>te verplichten nog uit te voeren overeenkomsten te ondertekenen, die vervolgens zonder toestemming van de tegenpartij worden overgedragen aan de overnemer van de onderneming</w:t>
      </w:r>
      <w:r>
        <w:t>;</w:t>
      </w:r>
    </w:p>
    <w:p w:rsidRPr="00D61100" w:rsidR="00D61100" w:rsidP="00D61100" w:rsidRDefault="00D61100" w14:paraId="0F4996BB" w14:textId="783A32E7">
      <w:pPr>
        <w:pStyle w:val="ListParagraph"/>
        <w:numPr>
          <w:ilvl w:val="0"/>
          <w:numId w:val="3"/>
        </w:numPr>
        <w:ind w:left="357" w:hanging="357"/>
      </w:pPr>
      <w:r>
        <w:t xml:space="preserve">is verheugd dat er een </w:t>
      </w:r>
      <w:r>
        <w:rPr>
          <w:b/>
        </w:rPr>
        <w:t>speciale procedure wordt ingevoerd om de vereffening van micro-ondernemingen gemakkelijker en sneller te laten verlopen</w:t>
      </w:r>
      <w:r>
        <w:t>, zodat de insolventieprocedure voor deze ondernemingen kostenefficiënter wordt;</w:t>
      </w:r>
    </w:p>
    <w:p w:rsidR="00D61100" w:rsidP="00D61100" w:rsidRDefault="00D61100" w14:paraId="07FC72FE" w14:textId="784ABC99">
      <w:pPr>
        <w:pStyle w:val="ListParagraph"/>
        <w:numPr>
          <w:ilvl w:val="0"/>
          <w:numId w:val="3"/>
        </w:numPr>
        <w:ind w:left="357" w:hanging="357"/>
      </w:pPr>
      <w:r>
        <w:t xml:space="preserve">beveelt aan </w:t>
      </w:r>
      <w:r>
        <w:rPr>
          <w:b/>
        </w:rPr>
        <w:t>een beroep te doen op</w:t>
      </w:r>
      <w:r>
        <w:t xml:space="preserve"> andere bevoegde actoren dan nationale rechtbanken, </w:t>
      </w:r>
      <w:r>
        <w:rPr>
          <w:b/>
        </w:rPr>
        <w:t>zoals insolventiefunctionarissen, om de lasten voor de rechterlijke macht te helpen verlichten</w:t>
      </w:r>
      <w:r>
        <w:t>;</w:t>
      </w:r>
    </w:p>
    <w:p w:rsidRPr="00D61100" w:rsidR="00D93D43" w:rsidP="00D61100" w:rsidRDefault="00D61100" w14:paraId="6A09ADC8" w14:textId="3160D470">
      <w:pPr>
        <w:pStyle w:val="ListParagraph"/>
        <w:numPr>
          <w:ilvl w:val="0"/>
          <w:numId w:val="3"/>
        </w:numPr>
        <w:ind w:left="357" w:hanging="357"/>
      </w:pPr>
      <w:r>
        <w:t xml:space="preserve">is van mening dat efficiënte </w:t>
      </w:r>
      <w:r>
        <w:rPr>
          <w:b/>
        </w:rPr>
        <w:t>regelingen inzake insolventie en de rechten van schuldeisers en schuldenaren behoren tot de aanvullende instrumenten</w:t>
      </w:r>
      <w:r>
        <w:t xml:space="preserve"> in het arsenaal van beleidsmakers </w:t>
      </w:r>
      <w:r>
        <w:rPr>
          <w:b/>
        </w:rPr>
        <w:t xml:space="preserve">om de groei van </w:t>
      </w:r>
      <w:proofErr w:type="spellStart"/>
      <w:r>
        <w:rPr>
          <w:b/>
        </w:rPr>
        <w:t>NPL’s</w:t>
      </w:r>
      <w:proofErr w:type="spellEnd"/>
      <w:r>
        <w:rPr>
          <w:b/>
        </w:rPr>
        <w:t xml:space="preserve"> (niet-renderende leningen) in te dammen</w:t>
      </w:r>
      <w:r>
        <w:t xml:space="preserve"> door de kans op terugbetaling van leningen te vergroten en door NPL-niveaus sneller aan te passen.</w:t>
      </w:r>
    </w:p>
    <w:p w:rsidRPr="00D61100" w:rsidR="00D93D43" w:rsidP="00D93D43" w:rsidRDefault="00D93D43" w14:paraId="105CC593"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D61100" w:rsidR="00D93D43" w:rsidTr="00726054" w14:paraId="5761D3A4" w14:textId="77777777">
        <w:tc>
          <w:tcPr>
            <w:tcW w:w="1418" w:type="dxa"/>
          </w:tcPr>
          <w:p w:rsidRPr="00D61100" w:rsidR="00D93D43" w:rsidP="00726054" w:rsidRDefault="00D93D43" w14:paraId="52144BCD" w14:textId="77777777">
            <w:pPr>
              <w:pStyle w:val="ListParagraph"/>
              <w:ind w:left="0"/>
              <w:rPr>
                <w:i/>
              </w:rPr>
            </w:pPr>
            <w:r>
              <w:rPr>
                <w:b/>
                <w:i/>
              </w:rPr>
              <w:t>Contactpersoon</w:t>
            </w:r>
          </w:p>
        </w:tc>
        <w:tc>
          <w:tcPr>
            <w:tcW w:w="5670" w:type="dxa"/>
          </w:tcPr>
          <w:p w:rsidRPr="00D61100" w:rsidR="00D93D43" w:rsidP="00726054" w:rsidRDefault="00D61100" w14:paraId="6FACE889" w14:textId="7361F682">
            <w:pPr>
              <w:pStyle w:val="ListParagraph"/>
              <w:ind w:left="0"/>
              <w:rPr>
                <w:i/>
              </w:rPr>
            </w:pPr>
            <w:proofErr w:type="spellStart"/>
            <w:r>
              <w:rPr>
                <w:i/>
              </w:rPr>
              <w:t>Dalila</w:t>
            </w:r>
            <w:proofErr w:type="spellEnd"/>
            <w:r>
              <w:rPr>
                <w:i/>
              </w:rPr>
              <w:t xml:space="preserve"> Bernard</w:t>
            </w:r>
          </w:p>
        </w:tc>
      </w:tr>
      <w:tr w:rsidRPr="00D61100" w:rsidR="00D93D43" w:rsidTr="00726054" w14:paraId="2D672D67" w14:textId="77777777">
        <w:tc>
          <w:tcPr>
            <w:tcW w:w="1418" w:type="dxa"/>
          </w:tcPr>
          <w:p w:rsidRPr="00D61100" w:rsidR="00D93D43" w:rsidP="00726054" w:rsidRDefault="00D93D43" w14:paraId="5F012ECA" w14:textId="77777777">
            <w:pPr>
              <w:pStyle w:val="ListParagraph"/>
              <w:ind w:left="601"/>
              <w:rPr>
                <w:i/>
              </w:rPr>
            </w:pPr>
            <w:r>
              <w:rPr>
                <w:i/>
              </w:rPr>
              <w:t>Tel.</w:t>
            </w:r>
          </w:p>
        </w:tc>
        <w:tc>
          <w:tcPr>
            <w:tcW w:w="5670" w:type="dxa"/>
          </w:tcPr>
          <w:p w:rsidRPr="00D61100" w:rsidR="00D93D43" w:rsidP="00726054" w:rsidRDefault="00D93D43" w14:paraId="4B6CF105" w14:textId="11106733">
            <w:pPr>
              <w:pStyle w:val="ListParagraph"/>
              <w:ind w:left="0"/>
              <w:rPr>
                <w:i/>
              </w:rPr>
            </w:pPr>
            <w:r>
              <w:rPr>
                <w:i/>
              </w:rPr>
              <w:t>00 32 2 546 84 38</w:t>
            </w:r>
          </w:p>
        </w:tc>
      </w:tr>
      <w:tr w:rsidRPr="001D770D" w:rsidR="00D93D43" w:rsidTr="00726054" w14:paraId="34B06F22" w14:textId="77777777">
        <w:tc>
          <w:tcPr>
            <w:tcW w:w="1418" w:type="dxa"/>
          </w:tcPr>
          <w:p w:rsidRPr="00D61100" w:rsidR="00D93D43" w:rsidP="00726054" w:rsidRDefault="00D93D43" w14:paraId="6A458110" w14:textId="77777777">
            <w:pPr>
              <w:pStyle w:val="ListParagraph"/>
              <w:ind w:left="601"/>
              <w:rPr>
                <w:i/>
              </w:rPr>
            </w:pPr>
            <w:r>
              <w:rPr>
                <w:i/>
              </w:rPr>
              <w:t>E-mail</w:t>
            </w:r>
          </w:p>
        </w:tc>
        <w:tc>
          <w:tcPr>
            <w:tcW w:w="5670" w:type="dxa"/>
          </w:tcPr>
          <w:p w:rsidRPr="002859C4" w:rsidR="00D93D43" w:rsidP="00726054" w:rsidRDefault="003D1DE5" w14:paraId="077528F2" w14:textId="141B6193">
            <w:pPr>
              <w:pStyle w:val="ListParagraph"/>
              <w:ind w:left="0"/>
              <w:rPr>
                <w:i/>
                <w:iCs/>
                <w:color w:val="0000FF"/>
                <w:u w:val="single"/>
              </w:rPr>
            </w:pPr>
            <w:hyperlink w:history="1" r:id="rId30">
              <w:r w:rsidR="00F31F11">
                <w:rPr>
                  <w:rStyle w:val="Hyperlink"/>
                  <w:i/>
                </w:rPr>
                <w:t>Dalila.Bernard@eesc.europa.eu</w:t>
              </w:r>
            </w:hyperlink>
          </w:p>
        </w:tc>
      </w:tr>
      <w:bookmarkEnd w:id="21"/>
    </w:tbl>
    <w:p w:rsidR="00D61100" w:rsidRDefault="00D61100" w14:paraId="4E3BBDCF" w14:textId="2A58C163">
      <w:pPr>
        <w:spacing w:after="160" w:line="259" w:lineRule="auto"/>
        <w:jc w:val="left"/>
        <w:rPr>
          <w:sz w:val="28"/>
        </w:rPr>
      </w:pPr>
    </w:p>
    <w:p w:rsidR="00D61100" w:rsidRDefault="00D61100" w14:paraId="29FFCA56" w14:textId="77777777">
      <w:pPr>
        <w:spacing w:after="160" w:line="259" w:lineRule="auto"/>
        <w:jc w:val="left"/>
        <w:rPr>
          <w:sz w:val="28"/>
        </w:rPr>
      </w:pPr>
      <w:r>
        <w:br w:type="page"/>
      </w:r>
    </w:p>
    <w:p w:rsidRPr="00AA5C1D" w:rsidR="00D61100" w:rsidP="00D61100" w:rsidRDefault="00D61100" w14:paraId="75586775" w14:textId="43D2ED9A">
      <w:pPr>
        <w:pStyle w:val="ListParagraph"/>
        <w:numPr>
          <w:ilvl w:val="0"/>
          <w:numId w:val="2"/>
        </w:numPr>
        <w:ind w:left="567" w:hanging="567"/>
        <w:rPr>
          <w:b/>
          <w:bCs/>
          <w:i/>
          <w:iCs/>
          <w:sz w:val="28"/>
          <w:szCs w:val="28"/>
        </w:rPr>
      </w:pPr>
      <w:bookmarkStart w:name="_Hlk130311970" w:id="22"/>
      <w:r>
        <w:rPr>
          <w:b/>
          <w:i/>
          <w:sz w:val="28"/>
        </w:rPr>
        <w:lastRenderedPageBreak/>
        <w:t>Herziening van de richtlijn en de verordening inzake modellen</w:t>
      </w:r>
    </w:p>
    <w:p w:rsidRPr="009B70E7" w:rsidR="00D61100" w:rsidP="00D61100" w:rsidRDefault="00D61100" w14:paraId="5B85E0E6"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2"/>
        <w:gridCol w:w="6096"/>
      </w:tblGrid>
      <w:tr w:rsidRPr="007E7A4F" w:rsidR="00D61100" w:rsidTr="00726054" w14:paraId="1519E60F" w14:textId="77777777">
        <w:tc>
          <w:tcPr>
            <w:tcW w:w="1701" w:type="dxa"/>
          </w:tcPr>
          <w:p w:rsidR="00D61100" w:rsidP="00726054" w:rsidRDefault="00D61100" w14:paraId="76F7073D" w14:textId="1DAB2D8C">
            <w:pPr>
              <w:pStyle w:val="ListParagraph"/>
              <w:ind w:left="0"/>
              <w:rPr>
                <w:b/>
              </w:rPr>
            </w:pPr>
            <w:r>
              <w:rPr>
                <w:b/>
              </w:rPr>
              <w:t>Rapporteur</w:t>
            </w:r>
          </w:p>
          <w:p w:rsidRPr="009B70E7" w:rsidR="00D61100" w:rsidP="00726054" w:rsidRDefault="00D61100" w14:paraId="54EEB46E" w14:textId="77777777">
            <w:pPr>
              <w:pStyle w:val="ListParagraph"/>
              <w:ind w:left="0"/>
              <w:rPr>
                <w:b/>
              </w:rPr>
            </w:pPr>
          </w:p>
        </w:tc>
        <w:tc>
          <w:tcPr>
            <w:tcW w:w="6096" w:type="dxa"/>
          </w:tcPr>
          <w:p w:rsidR="00D61100" w:rsidP="00726054" w:rsidRDefault="00D61100" w14:paraId="648CC33D" w14:textId="4F02F3B1">
            <w:pPr>
              <w:pStyle w:val="ListParagraph"/>
              <w:ind w:left="-108"/>
            </w:pPr>
            <w:r>
              <w:t>Ferre WYCKMANS (groep Werknemers – BE)</w:t>
            </w:r>
          </w:p>
          <w:p w:rsidRPr="007E7A4F" w:rsidR="00D61100" w:rsidP="00726054" w:rsidRDefault="00D61100" w14:paraId="072AEEDA" w14:textId="77777777">
            <w:pPr>
              <w:pStyle w:val="ListParagraph"/>
              <w:ind w:left="-108"/>
              <w:rPr>
                <w:lang w:val="fr-BE"/>
              </w:rPr>
            </w:pPr>
          </w:p>
        </w:tc>
      </w:tr>
      <w:tr w:rsidRPr="009B70E7" w:rsidR="00D61100" w:rsidTr="00726054" w14:paraId="4C3F50BA" w14:textId="77777777">
        <w:tc>
          <w:tcPr>
            <w:tcW w:w="1701" w:type="dxa"/>
          </w:tcPr>
          <w:p w:rsidRPr="009B70E7" w:rsidR="00D61100" w:rsidP="00726054" w:rsidRDefault="00D61100" w14:paraId="1D9B7E28" w14:textId="77777777">
            <w:pPr>
              <w:pStyle w:val="ListParagraph"/>
              <w:ind w:left="0"/>
              <w:rPr>
                <w:b/>
              </w:rPr>
            </w:pPr>
            <w:r>
              <w:rPr>
                <w:b/>
              </w:rPr>
              <w:t xml:space="preserve">Referentiedocumenten </w:t>
            </w:r>
          </w:p>
        </w:tc>
        <w:tc>
          <w:tcPr>
            <w:tcW w:w="6096" w:type="dxa"/>
          </w:tcPr>
          <w:p w:rsidRPr="009B70E7" w:rsidR="00D61100" w:rsidP="00726054" w:rsidRDefault="00D61100" w14:paraId="71437A8D" w14:textId="64613A17">
            <w:pPr>
              <w:tabs>
                <w:tab w:val="center" w:pos="284"/>
              </w:tabs>
              <w:ind w:left="266" w:hanging="374"/>
            </w:pPr>
            <w:r>
              <w:t xml:space="preserve">COM(2022) 666-667 </w:t>
            </w:r>
            <w:proofErr w:type="spellStart"/>
            <w:r>
              <w:t>final</w:t>
            </w:r>
            <w:proofErr w:type="spellEnd"/>
          </w:p>
          <w:p w:rsidRPr="009B70E7" w:rsidR="00D61100" w:rsidP="00726054" w:rsidRDefault="00D61100" w14:paraId="44C17200" w14:textId="24DB4AB1">
            <w:pPr>
              <w:pStyle w:val="ListParagraph"/>
              <w:ind w:left="-108"/>
            </w:pPr>
            <w:r>
              <w:t>EESC-2023-00101-00-00-AC</w:t>
            </w:r>
          </w:p>
        </w:tc>
      </w:tr>
    </w:tbl>
    <w:p w:rsidRPr="009B70E7" w:rsidR="00D61100" w:rsidP="00D61100" w:rsidRDefault="00D61100" w14:paraId="3408CA89" w14:textId="77777777">
      <w:pPr>
        <w:pStyle w:val="ListParagraph"/>
        <w:ind w:left="0"/>
        <w:rPr>
          <w:b/>
        </w:rPr>
      </w:pPr>
    </w:p>
    <w:p w:rsidRPr="00A00F37" w:rsidR="00D61100" w:rsidP="00D61100" w:rsidRDefault="00D61100" w14:paraId="504EB0E0" w14:textId="77777777">
      <w:pPr>
        <w:pStyle w:val="ListParagraph"/>
        <w:spacing w:line="240" w:lineRule="auto"/>
        <w:ind w:left="0"/>
        <w:rPr>
          <w:b/>
        </w:rPr>
      </w:pPr>
      <w:r>
        <w:rPr>
          <w:b/>
        </w:rPr>
        <w:t>Hoofdpunten</w:t>
      </w:r>
    </w:p>
    <w:p w:rsidRPr="0018231C" w:rsidR="00D61100" w:rsidP="00D61100" w:rsidRDefault="00D61100" w14:paraId="75E469AC" w14:textId="77777777">
      <w:pPr>
        <w:pStyle w:val="ListParagraph"/>
        <w:ind w:left="0"/>
        <w:rPr>
          <w:lang w:val="fr-FR"/>
        </w:rPr>
      </w:pPr>
    </w:p>
    <w:p w:rsidR="00D61100" w:rsidP="00D61100" w:rsidRDefault="00D61100" w14:paraId="56B6E5B1" w14:textId="77777777">
      <w:pPr>
        <w:pStyle w:val="ListParagraph"/>
        <w:spacing w:line="240" w:lineRule="auto"/>
        <w:ind w:left="0"/>
      </w:pPr>
      <w:r>
        <w:t>Het EESC:</w:t>
      </w:r>
    </w:p>
    <w:p w:rsidRPr="0018231C" w:rsidR="00D61100" w:rsidP="00D61100" w:rsidRDefault="00D61100" w14:paraId="41969B08" w14:textId="77777777">
      <w:pPr>
        <w:pStyle w:val="ListParagraph"/>
        <w:ind w:left="0"/>
        <w:rPr>
          <w:lang w:val="fr-FR"/>
        </w:rPr>
      </w:pPr>
    </w:p>
    <w:p w:rsidR="008E2CDD" w:rsidP="008E2CDD" w:rsidRDefault="008E2CDD" w14:paraId="1E32CF88" w14:textId="77777777">
      <w:pPr>
        <w:numPr>
          <w:ilvl w:val="0"/>
          <w:numId w:val="3"/>
        </w:numPr>
        <w:overflowPunct w:val="0"/>
        <w:autoSpaceDE w:val="0"/>
        <w:autoSpaceDN w:val="0"/>
        <w:adjustRightInd w:val="0"/>
        <w:ind w:left="357" w:hanging="357"/>
        <w:textAlignment w:val="baseline"/>
      </w:pPr>
      <w:r>
        <w:rPr>
          <w:b/>
        </w:rPr>
        <w:t>staat achter de nieuwe definitie van model</w:t>
      </w:r>
      <w:r>
        <w:t xml:space="preserve"> in het voorstel voor een richtlijn;</w:t>
      </w:r>
    </w:p>
    <w:p w:rsidR="008E2CDD" w:rsidP="008E2CDD" w:rsidRDefault="008E2CDD" w14:paraId="01E81CBB" w14:textId="436A1C14">
      <w:pPr>
        <w:numPr>
          <w:ilvl w:val="0"/>
          <w:numId w:val="3"/>
        </w:numPr>
        <w:overflowPunct w:val="0"/>
        <w:autoSpaceDE w:val="0"/>
        <w:autoSpaceDN w:val="0"/>
        <w:adjustRightInd w:val="0"/>
        <w:ind w:left="357" w:hanging="357"/>
        <w:textAlignment w:val="baseline"/>
      </w:pPr>
      <w:r>
        <w:t xml:space="preserve">is ingenomen met de </w:t>
      </w:r>
      <w:r>
        <w:rPr>
          <w:b/>
        </w:rPr>
        <w:t>beperking van de bescherming</w:t>
      </w:r>
      <w:r>
        <w:t xml:space="preserve"> tot de uiterlijke kenmerken zoals zichtbaar in de aanvraag voor inschrijving, aangezien de </w:t>
      </w:r>
      <w:r>
        <w:rPr>
          <w:b/>
        </w:rPr>
        <w:t>rechtszekerheid van de bescherming</w:t>
      </w:r>
      <w:r>
        <w:t xml:space="preserve"> hiermee wordt vergroot;</w:t>
      </w:r>
    </w:p>
    <w:p w:rsidR="008E2CDD" w:rsidP="008E2CDD" w:rsidRDefault="008E2CDD" w14:paraId="581AE148" w14:textId="6987D9B3">
      <w:pPr>
        <w:numPr>
          <w:ilvl w:val="0"/>
          <w:numId w:val="3"/>
        </w:numPr>
        <w:overflowPunct w:val="0"/>
        <w:autoSpaceDE w:val="0"/>
        <w:autoSpaceDN w:val="0"/>
        <w:adjustRightInd w:val="0"/>
        <w:ind w:left="357" w:hanging="357"/>
        <w:textAlignment w:val="baseline"/>
      </w:pPr>
      <w:r>
        <w:t>vindt het een goede zaak dat in het voorstel voor een verordening de oplossing wordt overgenomen die het Hof van Justitie van de EU in zijn Acacia-arrest</w:t>
      </w:r>
      <w:r w:rsidRPr="00096286">
        <w:rPr>
          <w:rStyle w:val="FootnoteReference"/>
        </w:rPr>
        <w:footnoteReference w:id="1"/>
      </w:r>
      <w:r>
        <w:t xml:space="preserve"> heeft aangedragen, waarin de interpretatie van het begrip “</w:t>
      </w:r>
      <w:r>
        <w:rPr>
          <w:b/>
        </w:rPr>
        <w:t>reparatieclausule</w:t>
      </w:r>
      <w:r>
        <w:t xml:space="preserve">” werd verduidelijkt, temeer daar deze oplossing de </w:t>
      </w:r>
      <w:r>
        <w:rPr>
          <w:b/>
        </w:rPr>
        <w:t>bescherming van de consument</w:t>
      </w:r>
      <w:r>
        <w:t xml:space="preserve"> verbetert;</w:t>
      </w:r>
    </w:p>
    <w:p w:rsidR="008E2CDD" w:rsidP="008E2CDD" w:rsidRDefault="008E2CDD" w14:paraId="03CC17A5" w14:textId="0D2B3286">
      <w:pPr>
        <w:numPr>
          <w:ilvl w:val="0"/>
          <w:numId w:val="3"/>
        </w:numPr>
        <w:overflowPunct w:val="0"/>
        <w:autoSpaceDE w:val="0"/>
        <w:autoSpaceDN w:val="0"/>
        <w:adjustRightInd w:val="0"/>
        <w:ind w:left="357" w:hanging="357"/>
        <w:textAlignment w:val="baseline"/>
      </w:pPr>
      <w:r>
        <w:rPr>
          <w:b/>
        </w:rPr>
        <w:t>meent dat het samenvoegen van de publicatietaks en de inschrijvingstaks het totale bedrag van de te betalen taksen niet zal kunnen verlagen,</w:t>
      </w:r>
      <w:r>
        <w:t xml:space="preserve"> aangezien de kosten van vernieuwing, zoals voorgesteld, drastisch toenemen;</w:t>
      </w:r>
    </w:p>
    <w:p w:rsidR="008E2CDD" w:rsidP="008E2CDD" w:rsidRDefault="008E2CDD" w14:paraId="293213CC" w14:textId="632B9876">
      <w:pPr>
        <w:numPr>
          <w:ilvl w:val="0"/>
          <w:numId w:val="3"/>
        </w:numPr>
        <w:overflowPunct w:val="0"/>
        <w:autoSpaceDE w:val="0"/>
        <w:autoSpaceDN w:val="0"/>
        <w:adjustRightInd w:val="0"/>
        <w:ind w:left="357" w:hanging="357"/>
        <w:textAlignment w:val="baseline"/>
      </w:pPr>
      <w:r>
        <w:t xml:space="preserve">pleit voor </w:t>
      </w:r>
      <w:r>
        <w:rPr>
          <w:b/>
        </w:rPr>
        <w:t>lagere bedragen voor kmo’s en individuele ontwerpers</w:t>
      </w:r>
      <w:r>
        <w:t>, eventueel in verhouding tot hun omzet;</w:t>
      </w:r>
    </w:p>
    <w:p w:rsidR="008E2CDD" w:rsidP="008E2CDD" w:rsidRDefault="008E2CDD" w14:paraId="5DE63904" w14:textId="35DF3AB2">
      <w:pPr>
        <w:numPr>
          <w:ilvl w:val="0"/>
          <w:numId w:val="3"/>
        </w:numPr>
        <w:overflowPunct w:val="0"/>
        <w:autoSpaceDE w:val="0"/>
        <w:autoSpaceDN w:val="0"/>
        <w:adjustRightInd w:val="0"/>
        <w:ind w:left="357" w:hanging="357"/>
        <w:textAlignment w:val="baseline"/>
      </w:pPr>
      <w:r>
        <w:t xml:space="preserve">is van oordeel dat </w:t>
      </w:r>
      <w:r>
        <w:rPr>
          <w:b/>
        </w:rPr>
        <w:t>de vereenvoudiging dankzij de afschaffing van de vereiste inzake “eenheid van klasse” noodzakelijk, maar niet voldoende is.</w:t>
      </w:r>
      <w:r>
        <w:t xml:space="preserve"> De gebruiksvriendelijkheid van de systemen voor het indienen van modellen op de websites van de nationale bureaus voor industriële eigendom en het Bureau voor intellectuele eigendom van de Europese Unie (EUIPO) moet immers verder worden verbeterd. Bureaus zouden gebruik kunnen maken van de </w:t>
      </w:r>
      <w:r>
        <w:rPr>
          <w:b/>
        </w:rPr>
        <w:t>expertise van octrooigemachtigden</w:t>
      </w:r>
      <w:r>
        <w:t xml:space="preserve"> om deze uitdaging aan te gaan;</w:t>
      </w:r>
    </w:p>
    <w:p w:rsidRPr="00A3344B" w:rsidR="008E2CDD" w:rsidP="008E2CDD" w:rsidRDefault="008E2CDD" w14:paraId="63BC3103" w14:textId="33F27B81">
      <w:pPr>
        <w:numPr>
          <w:ilvl w:val="0"/>
          <w:numId w:val="3"/>
        </w:numPr>
        <w:overflowPunct w:val="0"/>
        <w:autoSpaceDE w:val="0"/>
        <w:autoSpaceDN w:val="0"/>
        <w:adjustRightInd w:val="0"/>
        <w:ind w:left="357" w:hanging="357"/>
        <w:textAlignment w:val="baseline"/>
      </w:pPr>
      <w:r>
        <w:t xml:space="preserve">acht het </w:t>
      </w:r>
      <w:r>
        <w:rPr>
          <w:b/>
        </w:rPr>
        <w:t>niet passend artikel 290 VWEU toe te passen</w:t>
      </w:r>
      <w:r>
        <w:t xml:space="preserve"> om regels voor geschillen en beroep tegen EUIPO-beslissingen op te stellen.</w:t>
      </w:r>
    </w:p>
    <w:p w:rsidRPr="009A3E0E" w:rsidR="00D61100" w:rsidP="00D61100" w:rsidRDefault="00D61100" w14:paraId="199CE962"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D61100" w:rsidTr="00726054" w14:paraId="6338276E" w14:textId="77777777">
        <w:tc>
          <w:tcPr>
            <w:tcW w:w="1418" w:type="dxa"/>
          </w:tcPr>
          <w:p w:rsidRPr="00164813" w:rsidR="00D61100" w:rsidP="00726054" w:rsidRDefault="00D61100" w14:paraId="33B20202" w14:textId="77777777">
            <w:pPr>
              <w:contextualSpacing/>
              <w:rPr>
                <w:i/>
              </w:rPr>
            </w:pPr>
            <w:r>
              <w:rPr>
                <w:b/>
                <w:i/>
              </w:rPr>
              <w:t>Contactpersoon</w:t>
            </w:r>
          </w:p>
        </w:tc>
        <w:tc>
          <w:tcPr>
            <w:tcW w:w="5670" w:type="dxa"/>
          </w:tcPr>
          <w:p w:rsidRPr="00164813" w:rsidR="00D61100" w:rsidP="00726054" w:rsidRDefault="00D61100" w14:paraId="4F03E36A" w14:textId="08729E09">
            <w:pPr>
              <w:contextualSpacing/>
              <w:rPr>
                <w:i/>
              </w:rPr>
            </w:pPr>
            <w:proofErr w:type="spellStart"/>
            <w:r>
              <w:rPr>
                <w:i/>
              </w:rPr>
              <w:t>Radoslava</w:t>
            </w:r>
            <w:proofErr w:type="spellEnd"/>
            <w:r>
              <w:rPr>
                <w:i/>
              </w:rPr>
              <w:t xml:space="preserve"> </w:t>
            </w:r>
            <w:proofErr w:type="spellStart"/>
            <w:r>
              <w:rPr>
                <w:i/>
              </w:rPr>
              <w:t>Stefankova</w:t>
            </w:r>
            <w:proofErr w:type="spellEnd"/>
          </w:p>
        </w:tc>
      </w:tr>
      <w:tr w:rsidRPr="00164813" w:rsidR="00D61100" w:rsidTr="00726054" w14:paraId="2058F440" w14:textId="77777777">
        <w:tc>
          <w:tcPr>
            <w:tcW w:w="1418" w:type="dxa"/>
          </w:tcPr>
          <w:p w:rsidRPr="00164813" w:rsidR="00D61100" w:rsidP="00726054" w:rsidRDefault="00D61100" w14:paraId="7C4DA390" w14:textId="77777777">
            <w:pPr>
              <w:ind w:left="601"/>
              <w:contextualSpacing/>
              <w:rPr>
                <w:i/>
              </w:rPr>
            </w:pPr>
            <w:r>
              <w:rPr>
                <w:i/>
              </w:rPr>
              <w:t>Tel.</w:t>
            </w:r>
          </w:p>
        </w:tc>
        <w:tc>
          <w:tcPr>
            <w:tcW w:w="5670" w:type="dxa"/>
          </w:tcPr>
          <w:p w:rsidRPr="00164813" w:rsidR="00D61100" w:rsidP="00726054" w:rsidRDefault="00D61100" w14:paraId="4988CE23" w14:textId="5C2D35A3">
            <w:pPr>
              <w:contextualSpacing/>
              <w:rPr>
                <w:i/>
              </w:rPr>
            </w:pPr>
            <w:r>
              <w:rPr>
                <w:i/>
              </w:rPr>
              <w:t>00 32 2 546 81 88</w:t>
            </w:r>
          </w:p>
        </w:tc>
      </w:tr>
      <w:tr w:rsidRPr="00164813" w:rsidR="00D61100" w:rsidTr="00726054" w14:paraId="33FAA3C9" w14:textId="77777777">
        <w:tc>
          <w:tcPr>
            <w:tcW w:w="1418" w:type="dxa"/>
          </w:tcPr>
          <w:p w:rsidRPr="00164813" w:rsidR="00D61100" w:rsidP="00726054" w:rsidRDefault="00D61100" w14:paraId="0F9F056F" w14:textId="77777777">
            <w:pPr>
              <w:ind w:left="601"/>
              <w:contextualSpacing/>
              <w:rPr>
                <w:i/>
              </w:rPr>
            </w:pPr>
            <w:r>
              <w:rPr>
                <w:i/>
              </w:rPr>
              <w:t>E-mail</w:t>
            </w:r>
          </w:p>
        </w:tc>
        <w:tc>
          <w:tcPr>
            <w:tcW w:w="5670" w:type="dxa"/>
          </w:tcPr>
          <w:p w:rsidRPr="00D93D43" w:rsidR="00D61100" w:rsidP="00726054" w:rsidRDefault="008E2CDD" w14:paraId="62A0200E" w14:textId="4D40AEC8">
            <w:pPr>
              <w:contextualSpacing/>
              <w:rPr>
                <w:i/>
                <w:iCs/>
                <w:color w:val="0000FF"/>
                <w:u w:val="single"/>
              </w:rPr>
            </w:pPr>
            <w:r>
              <w:rPr>
                <w:i/>
                <w:color w:val="0000FF"/>
                <w:u w:val="single"/>
              </w:rPr>
              <w:t>Radoslava.Stefankova@eesc.europa.eu</w:t>
            </w:r>
          </w:p>
        </w:tc>
      </w:tr>
      <w:bookmarkEnd w:id="22"/>
    </w:tbl>
    <w:p w:rsidR="008E2CDD" w:rsidRDefault="008E2CDD" w14:paraId="0107FBEF" w14:textId="48DB445C">
      <w:pPr>
        <w:spacing w:after="160" w:line="259" w:lineRule="auto"/>
        <w:jc w:val="left"/>
        <w:rPr>
          <w:sz w:val="28"/>
        </w:rPr>
      </w:pPr>
    </w:p>
    <w:p w:rsidR="008E2CDD" w:rsidRDefault="008E2CDD" w14:paraId="1EDA5564" w14:textId="77777777">
      <w:pPr>
        <w:spacing w:after="160" w:line="259" w:lineRule="auto"/>
        <w:jc w:val="left"/>
        <w:rPr>
          <w:sz w:val="28"/>
        </w:rPr>
      </w:pPr>
      <w:r>
        <w:br w:type="page"/>
      </w:r>
    </w:p>
    <w:p w:rsidRPr="009B70E7" w:rsidR="002E01B5" w:rsidP="0018231C" w:rsidRDefault="004D7AC0" w14:paraId="6C52985F" w14:textId="77777777">
      <w:pPr>
        <w:pStyle w:val="Heading1"/>
        <w:keepNext/>
        <w:rPr>
          <w:b/>
        </w:rPr>
      </w:pPr>
      <w:bookmarkStart w:name="_Toc70322234" w:id="23"/>
      <w:bookmarkStart w:name="_Toc75527084" w:id="24"/>
      <w:bookmarkStart w:name="_Hlk130282883" w:id="25"/>
      <w:bookmarkStart w:name="_Toc131175945" w:id="26"/>
      <w:r>
        <w:rPr>
          <w:b/>
        </w:rPr>
        <w:lastRenderedPageBreak/>
        <w:t>LANDBOUW, PLATTELANDSONTWIKKELING EN MILIEU</w:t>
      </w:r>
      <w:bookmarkEnd w:id="23"/>
      <w:bookmarkEnd w:id="24"/>
      <w:bookmarkEnd w:id="26"/>
    </w:p>
    <w:bookmarkEnd w:id="25"/>
    <w:p w:rsidRPr="009B70E7" w:rsidR="009173E7" w:rsidP="1EBA916B" w:rsidRDefault="009173E7" w14:paraId="37AC66EE" w14:textId="77777777">
      <w:pPr>
        <w:keepNext/>
      </w:pPr>
    </w:p>
    <w:p w:rsidRPr="00343E1E" w:rsidR="00AC7690" w:rsidP="0018231C" w:rsidRDefault="00343E1E" w14:paraId="6BF57A05" w14:textId="425F4EE4">
      <w:pPr>
        <w:pStyle w:val="ListParagraph"/>
        <w:keepNext/>
        <w:numPr>
          <w:ilvl w:val="0"/>
          <w:numId w:val="2"/>
        </w:numPr>
        <w:ind w:left="567" w:hanging="567"/>
        <w:rPr>
          <w:b/>
          <w:i/>
          <w:sz w:val="28"/>
          <w:szCs w:val="28"/>
        </w:rPr>
      </w:pPr>
      <w:r>
        <w:rPr>
          <w:b/>
          <w:i/>
          <w:sz w:val="28"/>
        </w:rPr>
        <w:t>Afgedankte elektrische en elektronische apparatuur (AEEA)</w:t>
      </w:r>
    </w:p>
    <w:p w:rsidRPr="00343E1E" w:rsidR="00343E1E" w:rsidP="00343E1E" w:rsidRDefault="00343E1E" w14:paraId="5D626322" w14:textId="77777777">
      <w:pPr>
        <w:keepNext/>
        <w:rPr>
          <w:b/>
          <w:i/>
          <w:sz w:val="28"/>
          <w:szCs w:val="28"/>
        </w:rPr>
      </w:pPr>
    </w:p>
    <w:p w:rsidRPr="00343E1E" w:rsidR="00343E1E" w:rsidP="00343E1E" w:rsidRDefault="00343E1E" w14:paraId="10713B23" w14:textId="66C22DAE">
      <w:pPr>
        <w:pStyle w:val="ListParagraph"/>
        <w:ind w:left="0"/>
        <w:rPr>
          <w:b/>
          <w:i/>
          <w:sz w:val="28"/>
          <w:szCs w:val="28"/>
        </w:rPr>
      </w:pPr>
      <w:r>
        <w:rPr>
          <w:b/>
        </w:rPr>
        <w:t>Categorie C-advies</w:t>
      </w:r>
    </w:p>
    <w:p w:rsidRPr="009B70E7" w:rsidR="004D7AC0" w:rsidP="0018231C" w:rsidRDefault="004D7AC0" w14:paraId="43570F8C" w14:textId="555F0E4A">
      <w:pPr>
        <w:pStyle w:val="ListParagraph"/>
        <w:keepNext/>
        <w:ind w:left="0"/>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2"/>
        <w:gridCol w:w="6237"/>
      </w:tblGrid>
      <w:tr w:rsidRPr="00032038" w:rsidR="0005110E" w:rsidTr="00FC2BE8" w14:paraId="2F855FDD" w14:textId="77777777">
        <w:tc>
          <w:tcPr>
            <w:tcW w:w="1701" w:type="dxa"/>
          </w:tcPr>
          <w:p w:rsidRPr="00032038" w:rsidR="0005110E" w:rsidP="00726054" w:rsidRDefault="0005110E" w14:paraId="6DB55280" w14:textId="41CA7BCA">
            <w:pPr>
              <w:contextualSpacing/>
              <w:rPr>
                <w:b/>
              </w:rPr>
            </w:pPr>
            <w:r>
              <w:rPr>
                <w:b/>
              </w:rPr>
              <w:t xml:space="preserve">Referentiedocumenten </w:t>
            </w:r>
          </w:p>
        </w:tc>
        <w:tc>
          <w:tcPr>
            <w:tcW w:w="6237" w:type="dxa"/>
          </w:tcPr>
          <w:p w:rsidRPr="00032038" w:rsidR="0005110E" w:rsidP="00726054" w:rsidRDefault="001140AE" w14:paraId="602AF089" w14:textId="2D10DCEA">
            <w:pPr>
              <w:tabs>
                <w:tab w:val="center" w:pos="284"/>
              </w:tabs>
              <w:ind w:left="266" w:right="-534" w:hanging="374"/>
            </w:pPr>
            <w:r>
              <w:t xml:space="preserve">COM(2023) 63 </w:t>
            </w:r>
            <w:proofErr w:type="spellStart"/>
            <w:r>
              <w:t>final</w:t>
            </w:r>
            <w:proofErr w:type="spellEnd"/>
          </w:p>
          <w:p w:rsidRPr="00032038" w:rsidR="0005110E" w:rsidP="00726054" w:rsidRDefault="0005110E" w14:paraId="6A5A914E" w14:textId="258FA593">
            <w:pPr>
              <w:ind w:left="-108"/>
              <w:contextualSpacing/>
            </w:pPr>
            <w:r>
              <w:t>EESC-2023-00995-00-00-AC</w:t>
            </w:r>
          </w:p>
        </w:tc>
      </w:tr>
    </w:tbl>
    <w:p w:rsidRPr="002C4B6E" w:rsidR="0005110E" w:rsidP="002C4B6E" w:rsidRDefault="0005110E" w14:paraId="63F4FD2B" w14:textId="77777777">
      <w:pPr>
        <w:pStyle w:val="ListParagraph"/>
        <w:spacing w:line="240" w:lineRule="auto"/>
        <w:ind w:left="-142" w:firstLine="142"/>
        <w:rPr>
          <w:b/>
        </w:rPr>
      </w:pPr>
    </w:p>
    <w:p w:rsidRPr="00A00F37" w:rsidR="004D7AC0" w:rsidP="00FD3EB9" w:rsidRDefault="004D7AC0" w14:paraId="63F2D92D" w14:textId="5F76C7A8">
      <w:pPr>
        <w:pStyle w:val="ListParagraph"/>
        <w:spacing w:line="240" w:lineRule="auto"/>
        <w:ind w:left="0"/>
        <w:rPr>
          <w:b/>
        </w:rPr>
      </w:pPr>
      <w:r>
        <w:rPr>
          <w:b/>
        </w:rPr>
        <w:t>Hoofdpunten</w:t>
      </w:r>
    </w:p>
    <w:p w:rsidR="001513FD" w:rsidP="0018231C" w:rsidRDefault="001513FD" w14:paraId="76827606" w14:textId="77777777">
      <w:pPr>
        <w:pStyle w:val="ListParagraph"/>
        <w:keepNext/>
        <w:ind w:left="0"/>
      </w:pPr>
    </w:p>
    <w:p w:rsidR="00E54548" w:rsidP="00FD3EB9" w:rsidRDefault="00E54548" w14:paraId="05F6CCDA" w14:textId="77777777">
      <w:pPr>
        <w:pStyle w:val="ListParagraph"/>
        <w:ind w:left="0"/>
      </w:pPr>
      <w:r>
        <w:t>Het EESC:</w:t>
      </w:r>
    </w:p>
    <w:p w:rsidR="00E54548" w:rsidP="0018231C" w:rsidRDefault="00E54548" w14:paraId="681D86A8" w14:textId="77777777">
      <w:pPr>
        <w:pStyle w:val="ListParagraph"/>
        <w:keepNext/>
        <w:ind w:left="0"/>
      </w:pPr>
    </w:p>
    <w:p w:rsidRPr="00D979E8" w:rsidR="00D979E8" w:rsidP="00AB192A" w:rsidRDefault="00607A25" w14:paraId="600005EF" w14:textId="5AE73ADF">
      <w:pPr>
        <w:ind w:left="357"/>
        <w:contextualSpacing/>
      </w:pPr>
      <w:r>
        <w:t>staat volledig achter het nieuwe voorstel voor een richtlijn van het Europees Parlement en de Raad tot wijziging van Richtlijn 2012/19/EU betreffende afgedankte elektrische en elektronische apparatuur en wenst geen standpunt over het voorstel in te nemen. Bovendien is de goedkeuring gebaseerd op een eerder ingenomen standpunt ter zake in het advies over de circulaire economie, dat op 12 november 2014</w:t>
      </w:r>
      <w:r w:rsidR="00726054">
        <w:rPr>
          <w:rStyle w:val="FootnoteReference"/>
          <w:bCs/>
          <w:iCs/>
        </w:rPr>
        <w:footnoteReference w:id="2"/>
      </w:r>
      <w:r>
        <w:t xml:space="preserve"> is goedgekeurd.</w:t>
      </w:r>
    </w:p>
    <w:p w:rsidRPr="009B70E7" w:rsidR="005D55F5" w:rsidP="005D55F5" w:rsidRDefault="005D55F5" w14:paraId="7408EE4D" w14:textId="77777777">
      <w:pPr>
        <w:widowControl w:val="0"/>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1140AE" w:rsidTr="00726054" w14:paraId="0DE8B899" w14:textId="77777777">
        <w:tc>
          <w:tcPr>
            <w:tcW w:w="1418" w:type="dxa"/>
          </w:tcPr>
          <w:p w:rsidRPr="009B70E7" w:rsidR="001140AE" w:rsidP="00726054" w:rsidRDefault="001140AE" w14:paraId="0CF7DD61" w14:textId="77777777">
            <w:pPr>
              <w:pStyle w:val="ListParagraph"/>
              <w:ind w:left="0"/>
              <w:rPr>
                <w:i/>
              </w:rPr>
            </w:pPr>
            <w:r>
              <w:rPr>
                <w:b/>
                <w:i/>
              </w:rPr>
              <w:t>Contactpersoon</w:t>
            </w:r>
          </w:p>
        </w:tc>
        <w:tc>
          <w:tcPr>
            <w:tcW w:w="5670" w:type="dxa"/>
          </w:tcPr>
          <w:p w:rsidRPr="009B70E7" w:rsidR="001140AE" w:rsidP="00726054" w:rsidRDefault="00343E1E" w14:paraId="1BF4803F" w14:textId="0071BE9F">
            <w:pPr>
              <w:pStyle w:val="ListParagraph"/>
              <w:ind w:left="0"/>
              <w:rPr>
                <w:i/>
              </w:rPr>
            </w:pPr>
            <w:r>
              <w:rPr>
                <w:i/>
              </w:rPr>
              <w:t>Caroline Verhelst</w:t>
            </w:r>
          </w:p>
        </w:tc>
      </w:tr>
      <w:tr w:rsidRPr="009B70E7" w:rsidR="001140AE" w:rsidTr="00726054" w14:paraId="2B44B02A" w14:textId="77777777">
        <w:tc>
          <w:tcPr>
            <w:tcW w:w="1418" w:type="dxa"/>
          </w:tcPr>
          <w:p w:rsidRPr="009B70E7" w:rsidR="001140AE" w:rsidP="00726054" w:rsidRDefault="001140AE" w14:paraId="33FE728A" w14:textId="77777777">
            <w:pPr>
              <w:pStyle w:val="ListParagraph"/>
              <w:ind w:left="601"/>
              <w:rPr>
                <w:i/>
              </w:rPr>
            </w:pPr>
            <w:r>
              <w:rPr>
                <w:i/>
              </w:rPr>
              <w:t>Tel.</w:t>
            </w:r>
          </w:p>
        </w:tc>
        <w:tc>
          <w:tcPr>
            <w:tcW w:w="5670" w:type="dxa"/>
          </w:tcPr>
          <w:p w:rsidRPr="009B70E7" w:rsidR="001140AE" w:rsidP="00726054" w:rsidRDefault="001140AE" w14:paraId="437CF15F" w14:textId="7DA18C63">
            <w:pPr>
              <w:pStyle w:val="ListParagraph"/>
              <w:ind w:left="0"/>
              <w:rPr>
                <w:i/>
              </w:rPr>
            </w:pPr>
            <w:r>
              <w:rPr>
                <w:i/>
              </w:rPr>
              <w:t>00 32 2 546 94 97</w:t>
            </w:r>
          </w:p>
        </w:tc>
      </w:tr>
      <w:tr w:rsidRPr="005D55F5" w:rsidR="001140AE" w:rsidTr="00726054" w14:paraId="06C6BD47" w14:textId="77777777">
        <w:tc>
          <w:tcPr>
            <w:tcW w:w="1418" w:type="dxa"/>
          </w:tcPr>
          <w:p w:rsidRPr="009B70E7" w:rsidR="001140AE" w:rsidP="00726054" w:rsidRDefault="001140AE" w14:paraId="05270F42" w14:textId="77777777">
            <w:pPr>
              <w:pStyle w:val="ListParagraph"/>
              <w:ind w:left="601"/>
              <w:rPr>
                <w:i/>
              </w:rPr>
            </w:pPr>
            <w:r>
              <w:rPr>
                <w:i/>
              </w:rPr>
              <w:t>E-mail</w:t>
            </w:r>
          </w:p>
        </w:tc>
        <w:tc>
          <w:tcPr>
            <w:tcW w:w="5670" w:type="dxa"/>
          </w:tcPr>
          <w:p w:rsidRPr="00607A25" w:rsidR="001140AE" w:rsidRDefault="003D1DE5" w14:paraId="5D4A4F08" w14:textId="23159372">
            <w:pPr>
              <w:pStyle w:val="ListParagraph"/>
              <w:ind w:left="0"/>
              <w:rPr>
                <w:i/>
                <w:iCs/>
              </w:rPr>
            </w:pPr>
            <w:hyperlink w:history="1" r:id="rId31">
              <w:r w:rsidR="00F31F11">
                <w:rPr>
                  <w:rStyle w:val="Hyperlink"/>
                  <w:i/>
                </w:rPr>
                <w:t>Caroline.Verhelst@eesc.europa.eu</w:t>
              </w:r>
            </w:hyperlink>
          </w:p>
        </w:tc>
      </w:tr>
    </w:tbl>
    <w:p w:rsidR="00726054" w:rsidRDefault="00726054" w14:paraId="39A4AA15" w14:textId="14C0E20A">
      <w:pPr>
        <w:spacing w:after="160" w:line="259" w:lineRule="auto"/>
        <w:jc w:val="left"/>
        <w:rPr>
          <w:sz w:val="28"/>
          <w:szCs w:val="28"/>
        </w:rPr>
      </w:pPr>
    </w:p>
    <w:p w:rsidR="00726054" w:rsidRDefault="00726054" w14:paraId="46AC4CE2" w14:textId="77777777">
      <w:pPr>
        <w:spacing w:after="160" w:line="259" w:lineRule="auto"/>
        <w:jc w:val="left"/>
        <w:rPr>
          <w:sz w:val="28"/>
          <w:szCs w:val="28"/>
        </w:rPr>
      </w:pPr>
      <w:r>
        <w:br w:type="page"/>
      </w:r>
    </w:p>
    <w:p w:rsidRPr="009B70E7" w:rsidR="00607A25" w:rsidP="00607A25" w:rsidRDefault="00607A25" w14:paraId="61F052EF" w14:textId="0F4580BE">
      <w:pPr>
        <w:pStyle w:val="ListParagraph"/>
        <w:keepNext/>
        <w:numPr>
          <w:ilvl w:val="0"/>
          <w:numId w:val="2"/>
        </w:numPr>
        <w:ind w:left="567" w:hanging="567"/>
        <w:rPr>
          <w:b/>
          <w:i/>
          <w:sz w:val="28"/>
          <w:szCs w:val="28"/>
        </w:rPr>
      </w:pPr>
      <w:bookmarkStart w:name="_Hlk130283063" w:id="27"/>
      <w:r>
        <w:rPr>
          <w:b/>
          <w:i/>
          <w:sz w:val="28"/>
        </w:rPr>
        <w:lastRenderedPageBreak/>
        <w:t>Herziening van het actieplan van de EU tegen de illegale handel in wilde dieren en planten</w:t>
      </w:r>
    </w:p>
    <w:p w:rsidRPr="009B70E7" w:rsidR="00607A25" w:rsidP="00607A25" w:rsidRDefault="00607A25" w14:paraId="5BAA7CC1"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521"/>
      </w:tblGrid>
      <w:tr w:rsidRPr="00D61100" w:rsidR="00607A25" w:rsidTr="00607A25" w14:paraId="3188CF57" w14:textId="77777777">
        <w:trPr>
          <w:cantSplit/>
          <w:trHeight w:val="284" w:hRule="exact"/>
        </w:trPr>
        <w:tc>
          <w:tcPr>
            <w:tcW w:w="1701" w:type="dxa"/>
          </w:tcPr>
          <w:p w:rsidRPr="00D61100" w:rsidR="00607A25" w:rsidP="00726054" w:rsidRDefault="00607A25" w14:paraId="3680E177" w14:textId="77777777">
            <w:pPr>
              <w:pStyle w:val="ListParagraph"/>
              <w:spacing w:line="240" w:lineRule="auto"/>
              <w:ind w:left="-142" w:firstLine="142"/>
              <w:rPr>
                <w:b/>
              </w:rPr>
            </w:pPr>
            <w:r>
              <w:rPr>
                <w:b/>
              </w:rPr>
              <w:t>Rapporteur</w:t>
            </w:r>
          </w:p>
          <w:p w:rsidRPr="00D61100" w:rsidR="00607A25" w:rsidP="00726054" w:rsidRDefault="00607A25" w14:paraId="0956548C" w14:textId="77777777">
            <w:pPr>
              <w:pStyle w:val="ListParagraph"/>
              <w:keepNext/>
              <w:ind w:left="0"/>
              <w:rPr>
                <w:b/>
              </w:rPr>
            </w:pPr>
          </w:p>
        </w:tc>
        <w:tc>
          <w:tcPr>
            <w:tcW w:w="6521" w:type="dxa"/>
          </w:tcPr>
          <w:p w:rsidRPr="00D61100" w:rsidR="00607A25" w:rsidP="00726054" w:rsidRDefault="00607A25" w14:paraId="4FF628D2" w14:textId="47974206">
            <w:pPr>
              <w:pStyle w:val="ListParagraph"/>
              <w:ind w:left="-52"/>
            </w:pPr>
            <w:proofErr w:type="spellStart"/>
            <w:r>
              <w:t>Özlem</w:t>
            </w:r>
            <w:proofErr w:type="spellEnd"/>
            <w:r>
              <w:t xml:space="preserve"> YILDIRIM (groep Werknemers – FR)</w:t>
            </w:r>
          </w:p>
        </w:tc>
      </w:tr>
      <w:tr w:rsidRPr="00D61100" w:rsidR="00607A25" w:rsidTr="00607A25" w14:paraId="3289290C" w14:textId="77777777">
        <w:trPr>
          <w:cantSplit/>
          <w:trHeight w:val="567" w:hRule="exact"/>
        </w:trPr>
        <w:tc>
          <w:tcPr>
            <w:tcW w:w="1701" w:type="dxa"/>
          </w:tcPr>
          <w:p w:rsidRPr="00D61100" w:rsidR="00607A25" w:rsidP="00726054" w:rsidRDefault="00607A25" w14:paraId="68870848" w14:textId="77777777">
            <w:pPr>
              <w:pStyle w:val="ListParagraph"/>
              <w:ind w:left="0"/>
              <w:rPr>
                <w:b/>
              </w:rPr>
            </w:pPr>
            <w:proofErr w:type="spellStart"/>
            <w:r>
              <w:rPr>
                <w:b/>
              </w:rPr>
              <w:t>Corapporteur</w:t>
            </w:r>
            <w:proofErr w:type="spellEnd"/>
          </w:p>
        </w:tc>
        <w:tc>
          <w:tcPr>
            <w:tcW w:w="6521" w:type="dxa"/>
          </w:tcPr>
          <w:p w:rsidRPr="00D61100" w:rsidR="00607A25" w:rsidP="00607A25" w:rsidRDefault="00607A25" w14:paraId="1F559D88" w14:textId="7F0DC42E">
            <w:pPr>
              <w:pStyle w:val="ListParagraph"/>
              <w:ind w:left="-52" w:right="-336"/>
            </w:pPr>
            <w:proofErr w:type="spellStart"/>
            <w:r>
              <w:t>Cillian</w:t>
            </w:r>
            <w:proofErr w:type="spellEnd"/>
            <w:r>
              <w:t xml:space="preserve"> LOHAN (groep Maatschappelijke Organisaties – IE)</w:t>
            </w:r>
          </w:p>
        </w:tc>
      </w:tr>
      <w:tr w:rsidRPr="00D61100" w:rsidR="00607A25" w:rsidTr="00607A25" w14:paraId="4628FC30" w14:textId="77777777">
        <w:tc>
          <w:tcPr>
            <w:tcW w:w="1701" w:type="dxa"/>
          </w:tcPr>
          <w:p w:rsidRPr="00D61100" w:rsidR="00607A25" w:rsidP="00726054" w:rsidRDefault="00607A25" w14:paraId="52F88581" w14:textId="77777777">
            <w:pPr>
              <w:pStyle w:val="ListParagraph"/>
              <w:ind w:left="0"/>
              <w:rPr>
                <w:b/>
              </w:rPr>
            </w:pPr>
            <w:r>
              <w:rPr>
                <w:b/>
              </w:rPr>
              <w:t xml:space="preserve">Referentiedocumenten </w:t>
            </w:r>
          </w:p>
        </w:tc>
        <w:tc>
          <w:tcPr>
            <w:tcW w:w="6521" w:type="dxa"/>
          </w:tcPr>
          <w:p w:rsidRPr="00D61100" w:rsidR="00607A25" w:rsidP="00726054" w:rsidRDefault="00607A25" w14:paraId="23267F08" w14:textId="54D2340C">
            <w:pPr>
              <w:pStyle w:val="ListParagraph"/>
              <w:ind w:left="-52"/>
            </w:pPr>
            <w:r>
              <w:t xml:space="preserve">COM(2022) 581 </w:t>
            </w:r>
            <w:proofErr w:type="spellStart"/>
            <w:r>
              <w:t>final</w:t>
            </w:r>
            <w:proofErr w:type="spellEnd"/>
          </w:p>
          <w:p w:rsidRPr="00D61100" w:rsidR="00607A25" w:rsidP="00726054" w:rsidRDefault="00607A25" w14:paraId="16E40F3B" w14:textId="3536CD22">
            <w:pPr>
              <w:pStyle w:val="ListParagraph"/>
              <w:ind w:left="-52"/>
            </w:pPr>
            <w:r>
              <w:t>EESC-2022-05701-00-00-AC</w:t>
            </w:r>
          </w:p>
        </w:tc>
      </w:tr>
    </w:tbl>
    <w:p w:rsidRPr="00D61100" w:rsidR="00607A25" w:rsidP="00607A25" w:rsidRDefault="00607A25" w14:paraId="2D5F884B" w14:textId="77777777">
      <w:pPr>
        <w:pStyle w:val="ListParagraph"/>
        <w:spacing w:line="240" w:lineRule="auto"/>
        <w:ind w:left="-142" w:firstLine="284"/>
        <w:rPr>
          <w:b/>
        </w:rPr>
      </w:pPr>
    </w:p>
    <w:p w:rsidRPr="00D61100" w:rsidR="00607A25" w:rsidP="00607A25" w:rsidRDefault="00607A25" w14:paraId="44FC6A54" w14:textId="77777777">
      <w:pPr>
        <w:pStyle w:val="ListParagraph"/>
        <w:spacing w:line="240" w:lineRule="auto"/>
        <w:ind w:left="0"/>
        <w:rPr>
          <w:b/>
        </w:rPr>
      </w:pPr>
      <w:r>
        <w:rPr>
          <w:b/>
        </w:rPr>
        <w:t>Hoofdpunten</w:t>
      </w:r>
    </w:p>
    <w:p w:rsidRPr="00D61100" w:rsidR="00607A25" w:rsidP="00607A25" w:rsidRDefault="00607A25" w14:paraId="2288047D" w14:textId="77777777">
      <w:pPr>
        <w:pStyle w:val="ListParagraph"/>
        <w:ind w:left="0"/>
      </w:pPr>
    </w:p>
    <w:p w:rsidRPr="00D61100" w:rsidR="00607A25" w:rsidP="00607A25" w:rsidRDefault="00607A25" w14:paraId="5720FF6F" w14:textId="77777777">
      <w:pPr>
        <w:pStyle w:val="ListParagraph"/>
        <w:spacing w:line="240" w:lineRule="auto"/>
        <w:ind w:left="0"/>
        <w:rPr>
          <w:bCs/>
        </w:rPr>
      </w:pPr>
      <w:r>
        <w:t>Het EESC:</w:t>
      </w:r>
    </w:p>
    <w:p w:rsidRPr="00D61100" w:rsidR="00607A25" w:rsidP="00607A25" w:rsidRDefault="00607A25" w14:paraId="27F41EDE" w14:textId="77777777">
      <w:pPr>
        <w:pStyle w:val="ListParagraph"/>
        <w:ind w:left="0"/>
      </w:pPr>
    </w:p>
    <w:p w:rsidR="00607A25" w:rsidP="00607A25" w:rsidRDefault="00607A25" w14:paraId="5B50E072" w14:textId="188B539C">
      <w:pPr>
        <w:pStyle w:val="ListParagraph"/>
        <w:numPr>
          <w:ilvl w:val="0"/>
          <w:numId w:val="3"/>
        </w:numPr>
        <w:ind w:left="357" w:hanging="357"/>
      </w:pPr>
      <w:r>
        <w:t xml:space="preserve">is ermee ingenomen dat de Commissie zich ertoe heeft verbonden om financiële en personele middelen ter beteugeling van de illegale handel in wilde dieren en planten te verschaffen door het mogelijk te maken dat er daarvoor geld beschikbaar komt uit de EU-fondsen. Belangrijk is wel dat wordt </w:t>
      </w:r>
      <w:r>
        <w:rPr>
          <w:b/>
        </w:rPr>
        <w:t>afgesproken welk percentage van deze middelen volledig zal worden besteed aan de bestrijding van de illegale handel in wilde dieren en planten</w:t>
      </w:r>
      <w:r>
        <w:t xml:space="preserve"> (ook aan de desbetreffende opleiding van personeel in de lidstaten) en dat de </w:t>
      </w:r>
      <w:r>
        <w:rPr>
          <w:b/>
        </w:rPr>
        <w:t>toegewezen middelen worden gerapporteerd, gecontroleerd en geëvalueerd als onderdeel van de uitvoering van het actieplan op nationaal niveau</w:t>
      </w:r>
      <w:r>
        <w:t>;</w:t>
      </w:r>
    </w:p>
    <w:p w:rsidR="00607A25" w:rsidP="00607A25" w:rsidRDefault="00607A25" w14:paraId="287E129A" w14:textId="261AA67D">
      <w:pPr>
        <w:pStyle w:val="ListParagraph"/>
        <w:numPr>
          <w:ilvl w:val="0"/>
          <w:numId w:val="3"/>
        </w:numPr>
        <w:ind w:left="357" w:hanging="357"/>
      </w:pPr>
      <w:r>
        <w:t xml:space="preserve">onderstreept het belang van doeltreffende en afschrikkende sanctiemechanismen tegen de illegale handel in wilde dieren en planten. Het </w:t>
      </w:r>
      <w:r>
        <w:rPr>
          <w:b/>
        </w:rPr>
        <w:t xml:space="preserve">huidige niveau van de sancties dat </w:t>
      </w:r>
      <w:r>
        <w:t>door de Raad in de context van de richtlijn milieucriminaliteit</w:t>
      </w:r>
      <w:r>
        <w:rPr>
          <w:b/>
        </w:rPr>
        <w:t xml:space="preserve"> is voorgesteld, is te laag en zou moeten worden verhoogd</w:t>
      </w:r>
      <w:r>
        <w:t xml:space="preserve"> om het EU-actieplan tegen de illegale handel in wilde dieren en planten te laten slagen;</w:t>
      </w:r>
    </w:p>
    <w:p w:rsidRPr="00D61100" w:rsidR="007425D2" w:rsidP="00607A25" w:rsidRDefault="007425D2" w14:paraId="6771CAAC" w14:textId="6004C159">
      <w:pPr>
        <w:pStyle w:val="ListParagraph"/>
        <w:numPr>
          <w:ilvl w:val="0"/>
          <w:numId w:val="3"/>
        </w:numPr>
        <w:ind w:left="357" w:hanging="357"/>
      </w:pPr>
      <w:r>
        <w:rPr>
          <w:b/>
        </w:rPr>
        <w:t>pleit ervoor dat er</w:t>
      </w:r>
      <w:r>
        <w:t xml:space="preserve"> in alle lidstaten </w:t>
      </w:r>
      <w:r>
        <w:rPr>
          <w:b/>
        </w:rPr>
        <w:t>homogene structuren worden opgezet</w:t>
      </w:r>
      <w:r>
        <w:t xml:space="preserve">, bij voorkeur in de vorm van </w:t>
      </w:r>
      <w:r>
        <w:rPr>
          <w:b/>
        </w:rPr>
        <w:t>“</w:t>
      </w:r>
      <w:proofErr w:type="spellStart"/>
      <w:r>
        <w:rPr>
          <w:b/>
        </w:rPr>
        <w:t>inter</w:t>
      </w:r>
      <w:proofErr w:type="spellEnd"/>
      <w:r>
        <w:rPr>
          <w:b/>
        </w:rPr>
        <w:t xml:space="preserve">-agency </w:t>
      </w:r>
      <w:proofErr w:type="spellStart"/>
      <w:r>
        <w:rPr>
          <w:b/>
        </w:rPr>
        <w:t>committees</w:t>
      </w:r>
      <w:proofErr w:type="spellEnd"/>
      <w:r>
        <w:rPr>
          <w:b/>
        </w:rPr>
        <w:t>” (comités van verschillende instanties) en gespecialiseerde eenheden of medewerkers die zijn opgeleid om illegale handel in wilde dieren en planten te bestrijden</w:t>
      </w:r>
      <w:r>
        <w:t>, alsook speciale kanalen voor communicatie en samenwerking met de sociale partners en het maatschappelijk middenveld.</w:t>
      </w:r>
    </w:p>
    <w:p w:rsidRPr="00133EE7" w:rsidR="00607A25" w:rsidP="00607A25" w:rsidRDefault="00607A25" w14:paraId="079C680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9B70E7" w:rsidR="00607A25" w:rsidTr="00726054" w14:paraId="67590D80" w14:textId="77777777">
        <w:tc>
          <w:tcPr>
            <w:tcW w:w="1418" w:type="dxa"/>
          </w:tcPr>
          <w:p w:rsidRPr="009B70E7" w:rsidR="00607A25" w:rsidP="00726054" w:rsidRDefault="00607A25" w14:paraId="390EC3C3" w14:textId="77777777">
            <w:pPr>
              <w:pStyle w:val="ListParagraph"/>
              <w:ind w:left="0"/>
              <w:rPr>
                <w:i/>
              </w:rPr>
            </w:pPr>
            <w:r>
              <w:rPr>
                <w:b/>
                <w:i/>
              </w:rPr>
              <w:t>Contactpersoon</w:t>
            </w:r>
          </w:p>
        </w:tc>
        <w:tc>
          <w:tcPr>
            <w:tcW w:w="5670" w:type="dxa"/>
          </w:tcPr>
          <w:p w:rsidRPr="009B70E7" w:rsidR="00607A25" w:rsidP="00726054" w:rsidRDefault="00607A25" w14:paraId="0678E796" w14:textId="40D76153">
            <w:pPr>
              <w:pStyle w:val="ListParagraph"/>
              <w:ind w:left="0"/>
              <w:rPr>
                <w:i/>
              </w:rPr>
            </w:pPr>
            <w:r>
              <w:rPr>
                <w:i/>
              </w:rPr>
              <w:t>Caroline Verhelst</w:t>
            </w:r>
          </w:p>
        </w:tc>
      </w:tr>
      <w:tr w:rsidRPr="009B70E7" w:rsidR="00607A25" w:rsidTr="00726054" w14:paraId="3238896C" w14:textId="77777777">
        <w:tc>
          <w:tcPr>
            <w:tcW w:w="1418" w:type="dxa"/>
          </w:tcPr>
          <w:p w:rsidRPr="009B70E7" w:rsidR="00607A25" w:rsidP="00726054" w:rsidRDefault="00607A25" w14:paraId="5E67E78D" w14:textId="77777777">
            <w:pPr>
              <w:pStyle w:val="ListParagraph"/>
              <w:ind w:left="601"/>
              <w:rPr>
                <w:i/>
              </w:rPr>
            </w:pPr>
            <w:r>
              <w:rPr>
                <w:i/>
              </w:rPr>
              <w:t>Tel.</w:t>
            </w:r>
          </w:p>
        </w:tc>
        <w:tc>
          <w:tcPr>
            <w:tcW w:w="5670" w:type="dxa"/>
          </w:tcPr>
          <w:p w:rsidRPr="009B70E7" w:rsidR="00607A25" w:rsidP="00726054" w:rsidRDefault="00607A25" w14:paraId="532AF652" w14:textId="77777777">
            <w:pPr>
              <w:pStyle w:val="ListParagraph"/>
              <w:ind w:left="0"/>
              <w:rPr>
                <w:i/>
              </w:rPr>
            </w:pPr>
            <w:r>
              <w:rPr>
                <w:i/>
              </w:rPr>
              <w:t>00 32 2 546 94 97</w:t>
            </w:r>
          </w:p>
        </w:tc>
      </w:tr>
      <w:tr w:rsidRPr="00607A25" w:rsidR="00607A25" w:rsidTr="00726054" w14:paraId="314120D5" w14:textId="77777777">
        <w:tc>
          <w:tcPr>
            <w:tcW w:w="1418" w:type="dxa"/>
          </w:tcPr>
          <w:p w:rsidRPr="009B70E7" w:rsidR="00607A25" w:rsidP="00726054" w:rsidRDefault="00607A25" w14:paraId="3DFCC1B6" w14:textId="77777777">
            <w:pPr>
              <w:pStyle w:val="ListParagraph"/>
              <w:ind w:left="601"/>
              <w:rPr>
                <w:i/>
              </w:rPr>
            </w:pPr>
            <w:r>
              <w:rPr>
                <w:i/>
              </w:rPr>
              <w:t>E-mail</w:t>
            </w:r>
          </w:p>
        </w:tc>
        <w:tc>
          <w:tcPr>
            <w:tcW w:w="5670" w:type="dxa"/>
          </w:tcPr>
          <w:p w:rsidRPr="00607A25" w:rsidR="00607A25" w:rsidP="00726054" w:rsidRDefault="003D1DE5" w14:paraId="24A035EA" w14:textId="77777777">
            <w:pPr>
              <w:pStyle w:val="ListParagraph"/>
              <w:ind w:left="0"/>
              <w:rPr>
                <w:i/>
                <w:iCs/>
              </w:rPr>
            </w:pPr>
            <w:hyperlink w:history="1" r:id="rId32">
              <w:r w:rsidR="00F31F11">
                <w:rPr>
                  <w:rStyle w:val="Hyperlink"/>
                  <w:i/>
                </w:rPr>
                <w:t>Caroline.Verhelst@eesc.europa.eu</w:t>
              </w:r>
            </w:hyperlink>
          </w:p>
        </w:tc>
      </w:tr>
      <w:bookmarkEnd w:id="27"/>
    </w:tbl>
    <w:p w:rsidR="009A3E0E" w:rsidP="000247C5" w:rsidRDefault="009A3E0E" w14:paraId="7ED77355" w14:textId="2C65368A">
      <w:pPr>
        <w:spacing w:after="160" w:line="259" w:lineRule="auto"/>
        <w:jc w:val="left"/>
      </w:pPr>
    </w:p>
    <w:p w:rsidR="00726054" w:rsidRDefault="00726054" w14:paraId="41EA065A" w14:textId="1CE3B325">
      <w:pPr>
        <w:spacing w:after="160" w:line="259" w:lineRule="auto"/>
        <w:jc w:val="left"/>
      </w:pPr>
      <w:r>
        <w:br w:type="page"/>
      </w:r>
    </w:p>
    <w:p w:rsidRPr="0044618A" w:rsidR="00726054" w:rsidP="000247C5" w:rsidRDefault="00726054" w14:paraId="665C4CF5" w14:textId="77777777">
      <w:pPr>
        <w:spacing w:after="160" w:line="259" w:lineRule="auto"/>
        <w:jc w:val="left"/>
        <w:rPr>
          <w:sz w:val="6"/>
        </w:rPr>
      </w:pPr>
    </w:p>
    <w:p w:rsidRPr="00AA5C1D" w:rsidR="00175EC3" w:rsidP="00133EE7" w:rsidRDefault="00175EC3" w14:paraId="39C0CA49" w14:textId="3ACA0BDF">
      <w:pPr>
        <w:pStyle w:val="ListParagraph"/>
        <w:numPr>
          <w:ilvl w:val="0"/>
          <w:numId w:val="2"/>
        </w:numPr>
        <w:spacing w:line="240" w:lineRule="auto"/>
        <w:ind w:left="567" w:hanging="567"/>
        <w:rPr>
          <w:b/>
          <w:bCs/>
          <w:i/>
          <w:iCs/>
          <w:sz w:val="28"/>
          <w:szCs w:val="28"/>
        </w:rPr>
      </w:pPr>
      <w:bookmarkStart w:name="_Hlk130312364" w:id="28"/>
      <w:r>
        <w:rPr>
          <w:b/>
          <w:i/>
          <w:sz w:val="28"/>
        </w:rPr>
        <w:t>Certificering koolstofverwijderingen</w:t>
      </w:r>
    </w:p>
    <w:p w:rsidRPr="009B70E7" w:rsidR="00175EC3" w:rsidP="00175EC3" w:rsidRDefault="00175EC3" w14:paraId="341D1A01"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662"/>
      </w:tblGrid>
      <w:tr w:rsidRPr="007E7A4F" w:rsidR="00175EC3" w:rsidTr="00133EE7" w14:paraId="07A73764" w14:textId="77777777">
        <w:tc>
          <w:tcPr>
            <w:tcW w:w="2518" w:type="dxa"/>
          </w:tcPr>
          <w:p w:rsidR="00175EC3" w:rsidP="00133EE7" w:rsidRDefault="00175EC3" w14:paraId="25BCF5E6" w14:textId="6F763563">
            <w:pPr>
              <w:pStyle w:val="ListParagraph"/>
              <w:spacing w:line="240" w:lineRule="auto"/>
              <w:ind w:left="0"/>
              <w:rPr>
                <w:b/>
              </w:rPr>
            </w:pPr>
            <w:r>
              <w:rPr>
                <w:b/>
              </w:rPr>
              <w:t>Rapporteur</w:t>
            </w:r>
          </w:p>
          <w:p w:rsidRPr="00133EE7" w:rsidR="00175EC3" w:rsidP="00133EE7" w:rsidRDefault="00175EC3" w14:paraId="5D3237B8" w14:textId="77777777">
            <w:pPr>
              <w:pStyle w:val="ListParagraph"/>
              <w:spacing w:line="240" w:lineRule="auto"/>
              <w:ind w:left="0"/>
              <w:rPr>
                <w:b/>
                <w:sz w:val="14"/>
                <w:szCs w:val="14"/>
              </w:rPr>
            </w:pPr>
          </w:p>
        </w:tc>
        <w:tc>
          <w:tcPr>
            <w:tcW w:w="6662" w:type="dxa"/>
          </w:tcPr>
          <w:p w:rsidR="00175EC3" w:rsidP="00133EE7" w:rsidRDefault="00175EC3" w14:paraId="6A906C67" w14:textId="20B3F5E7">
            <w:pPr>
              <w:pStyle w:val="ListParagraph"/>
              <w:spacing w:line="240" w:lineRule="auto"/>
              <w:ind w:left="-108"/>
            </w:pPr>
            <w:proofErr w:type="spellStart"/>
            <w:r>
              <w:t>Stoyan</w:t>
            </w:r>
            <w:proofErr w:type="spellEnd"/>
            <w:r>
              <w:t xml:space="preserve"> TCHOUKANOV (groep Maatschappelijke Organisaties – BG)</w:t>
            </w:r>
          </w:p>
          <w:p w:rsidRPr="00133EE7" w:rsidR="00175EC3" w:rsidP="00133EE7" w:rsidRDefault="00175EC3" w14:paraId="419B8E19" w14:textId="77777777">
            <w:pPr>
              <w:pStyle w:val="ListParagraph"/>
              <w:spacing w:line="240" w:lineRule="auto"/>
              <w:ind w:left="-108"/>
              <w:rPr>
                <w:sz w:val="12"/>
                <w:szCs w:val="12"/>
                <w:lang w:val="fr-BE"/>
              </w:rPr>
            </w:pPr>
          </w:p>
        </w:tc>
      </w:tr>
      <w:tr w:rsidRPr="009B70E7" w:rsidR="00175EC3" w:rsidTr="00133EE7" w14:paraId="0431A212" w14:textId="77777777">
        <w:tc>
          <w:tcPr>
            <w:tcW w:w="2518" w:type="dxa"/>
          </w:tcPr>
          <w:p w:rsidRPr="009B70E7" w:rsidR="00175EC3" w:rsidP="00726054" w:rsidRDefault="00175EC3" w14:paraId="3504B6CB" w14:textId="77777777">
            <w:pPr>
              <w:pStyle w:val="ListParagraph"/>
              <w:ind w:left="0"/>
              <w:rPr>
                <w:b/>
              </w:rPr>
            </w:pPr>
            <w:r>
              <w:rPr>
                <w:b/>
              </w:rPr>
              <w:t xml:space="preserve">Referentiedocumenten </w:t>
            </w:r>
          </w:p>
        </w:tc>
        <w:tc>
          <w:tcPr>
            <w:tcW w:w="6662" w:type="dxa"/>
          </w:tcPr>
          <w:p w:rsidRPr="009B70E7" w:rsidR="00175EC3" w:rsidP="00726054" w:rsidRDefault="00175EC3" w14:paraId="10E55DD2" w14:textId="36E2F8DB">
            <w:pPr>
              <w:tabs>
                <w:tab w:val="center" w:pos="284"/>
              </w:tabs>
              <w:ind w:left="266" w:hanging="374"/>
            </w:pPr>
            <w:r>
              <w:t xml:space="preserve">COM(2022) 672 </w:t>
            </w:r>
            <w:proofErr w:type="spellStart"/>
            <w:r>
              <w:t>final</w:t>
            </w:r>
            <w:proofErr w:type="spellEnd"/>
          </w:p>
          <w:p w:rsidRPr="009B70E7" w:rsidR="00175EC3" w:rsidP="00726054" w:rsidRDefault="00175EC3" w14:paraId="4A4CED1F" w14:textId="60BB1668">
            <w:pPr>
              <w:pStyle w:val="ListParagraph"/>
              <w:ind w:left="-108"/>
            </w:pPr>
            <w:r>
              <w:t>EESC-2022-06159-00-00-AC</w:t>
            </w:r>
          </w:p>
        </w:tc>
      </w:tr>
    </w:tbl>
    <w:p w:rsidRPr="00133EE7" w:rsidR="00175EC3" w:rsidP="00133EE7" w:rsidRDefault="00175EC3" w14:paraId="7F233DEA" w14:textId="77777777">
      <w:pPr>
        <w:pStyle w:val="ListParagraph"/>
        <w:spacing w:line="240" w:lineRule="auto"/>
        <w:ind w:left="0"/>
        <w:rPr>
          <w:bCs/>
          <w:sz w:val="14"/>
          <w:szCs w:val="14"/>
        </w:rPr>
      </w:pPr>
    </w:p>
    <w:p w:rsidRPr="00A00F37" w:rsidR="00175EC3" w:rsidP="00133EE7" w:rsidRDefault="00175EC3" w14:paraId="060B2EC0" w14:textId="77777777">
      <w:pPr>
        <w:pStyle w:val="ListParagraph"/>
        <w:spacing w:line="240" w:lineRule="auto"/>
        <w:ind w:left="0"/>
        <w:rPr>
          <w:b/>
        </w:rPr>
      </w:pPr>
      <w:r>
        <w:rPr>
          <w:b/>
        </w:rPr>
        <w:t>Hoofdpunten</w:t>
      </w:r>
    </w:p>
    <w:p w:rsidRPr="0018231C" w:rsidR="00175EC3" w:rsidP="00133EE7" w:rsidRDefault="00175EC3" w14:paraId="760D2F39" w14:textId="77777777">
      <w:pPr>
        <w:pStyle w:val="ListParagraph"/>
        <w:spacing w:line="240" w:lineRule="auto"/>
        <w:ind w:left="0"/>
        <w:rPr>
          <w:lang w:val="fr-FR"/>
        </w:rPr>
      </w:pPr>
    </w:p>
    <w:p w:rsidR="00175EC3" w:rsidP="00133EE7" w:rsidRDefault="00175EC3" w14:paraId="72D995BD" w14:textId="77777777">
      <w:pPr>
        <w:pStyle w:val="ListParagraph"/>
        <w:spacing w:line="240" w:lineRule="auto"/>
        <w:ind w:left="0"/>
      </w:pPr>
      <w:r>
        <w:t>Het EESC:</w:t>
      </w:r>
    </w:p>
    <w:p w:rsidRPr="00133EE7" w:rsidR="00175EC3" w:rsidP="00133EE7" w:rsidRDefault="00175EC3" w14:paraId="20527391" w14:textId="77777777">
      <w:pPr>
        <w:pStyle w:val="ListParagraph"/>
        <w:spacing w:line="240" w:lineRule="auto"/>
        <w:ind w:left="0"/>
        <w:rPr>
          <w:sz w:val="18"/>
          <w:szCs w:val="18"/>
          <w:lang w:val="fr-FR"/>
        </w:rPr>
      </w:pPr>
    </w:p>
    <w:p w:rsidR="00175EC3" w:rsidP="00175EC3" w:rsidRDefault="00175EC3" w14:paraId="2ACE7252" w14:textId="14CA16D4">
      <w:pPr>
        <w:numPr>
          <w:ilvl w:val="0"/>
          <w:numId w:val="3"/>
        </w:numPr>
        <w:overflowPunct w:val="0"/>
        <w:autoSpaceDE w:val="0"/>
        <w:autoSpaceDN w:val="0"/>
        <w:adjustRightInd w:val="0"/>
        <w:ind w:left="357" w:hanging="357"/>
        <w:textAlignment w:val="baseline"/>
      </w:pPr>
      <w:r>
        <w:t>is ingenomen met het voorstel van de Commissie voor een EU-certificeringskader voor koolstofverwijderingen; erkend wordt dat koolstofverwijderingen moeten worden opgevoerd en dat regeneratieve praktijken moeten worden bevorderd zonder dat de primaire nadruk op de cruciale vermindering van broeikasgasemissies ter beperking van de opwarming van de aarde verloren gaat;</w:t>
      </w:r>
    </w:p>
    <w:p w:rsidRPr="00175EC3" w:rsidR="00175EC3" w:rsidP="00175EC3" w:rsidRDefault="00175EC3" w14:paraId="6167DDE0" w14:textId="03B5A94D">
      <w:pPr>
        <w:numPr>
          <w:ilvl w:val="0"/>
          <w:numId w:val="3"/>
        </w:numPr>
        <w:overflowPunct w:val="0"/>
        <w:autoSpaceDE w:val="0"/>
        <w:autoSpaceDN w:val="0"/>
        <w:adjustRightInd w:val="0"/>
        <w:ind w:left="357" w:hanging="357"/>
        <w:textAlignment w:val="baseline"/>
      </w:pPr>
      <w:r>
        <w:t>erkent dat er momenteel in de Unie verschillende validatie- en beloningsregelingen voor koolstofverwijdering bestaan en dat een gemeenschappelijk certificeringskader duidelijkheid en betrouwbaarheid kan verschaffen waar het gaat om de wijze waarop de klimaatvoordelen van koolstofverwijderingen gemeten en geverifieerd worden. Ook is er meer duidelijkheid nodig over het verwachte tijdschema voor de volledige tenuitvoerlegging, gezien de reeks instanties en certificeringseenheden die moeten worden opgericht;</w:t>
      </w:r>
    </w:p>
    <w:p w:rsidR="00175EC3" w:rsidP="00175EC3" w:rsidRDefault="00175EC3" w14:paraId="0C87E3D8" w14:textId="2BA5B8D6">
      <w:pPr>
        <w:numPr>
          <w:ilvl w:val="0"/>
          <w:numId w:val="3"/>
        </w:numPr>
        <w:overflowPunct w:val="0"/>
        <w:autoSpaceDE w:val="0"/>
        <w:autoSpaceDN w:val="0"/>
        <w:adjustRightInd w:val="0"/>
        <w:ind w:left="357" w:hanging="357"/>
        <w:textAlignment w:val="baseline"/>
      </w:pPr>
      <w:r>
        <w:t>zou graag zien dat bij het gebruik van de verschillende koolstofverwijderingscertificaten de verwachte duur van de koolstofopslag en de omkeringsrisico’s duidelijk tot uiting komen, zodat greenwashing wordt vermeden;</w:t>
      </w:r>
    </w:p>
    <w:p w:rsidR="00175EC3" w:rsidP="00175EC3" w:rsidRDefault="00175EC3" w14:paraId="0A3EC2F3" w14:textId="0A7186A2">
      <w:pPr>
        <w:numPr>
          <w:ilvl w:val="0"/>
          <w:numId w:val="3"/>
        </w:numPr>
        <w:overflowPunct w:val="0"/>
        <w:autoSpaceDE w:val="0"/>
        <w:autoSpaceDN w:val="0"/>
        <w:adjustRightInd w:val="0"/>
        <w:ind w:left="357" w:hanging="357"/>
        <w:textAlignment w:val="baseline"/>
      </w:pPr>
      <w:r>
        <w:t>dringt aan op verdere waarborgen met betrekking tot de waarde en het gebruik van certificaten en verzoekt de Commissie richtsnoeren te verstrekken waarin wordt aangegeven welke claims kunnen worden gemaakt op basis van verschillende gevallen van gecertificeerde koolstofverwijdering;</w:t>
      </w:r>
    </w:p>
    <w:p w:rsidRPr="00175EC3" w:rsidR="00175EC3" w:rsidP="00175EC3" w:rsidRDefault="00175EC3" w14:paraId="0605AC0A" w14:textId="7294A619">
      <w:pPr>
        <w:numPr>
          <w:ilvl w:val="0"/>
          <w:numId w:val="3"/>
        </w:numPr>
        <w:overflowPunct w:val="0"/>
        <w:autoSpaceDE w:val="0"/>
        <w:autoSpaceDN w:val="0"/>
        <w:adjustRightInd w:val="0"/>
        <w:ind w:left="357" w:hanging="357"/>
        <w:textAlignment w:val="baseline"/>
      </w:pPr>
      <w:r w:rsidRPr="00133EE7">
        <w:rPr>
          <w:spacing w:val="-4"/>
        </w:rPr>
        <w:t>verzoekt de Commissie ervoor te zorgen dat de te hanteren werkwijzen wetenschappelijk zijn onderbouwd en wijst erop dat het certificeringssysteem veel te ingewikkeld en omslachtig is om een grootschalige invoering van deze praktijken – met name door kleinschalige bedrijven – te bevorderen</w:t>
      </w:r>
      <w:r>
        <w:t>;</w:t>
      </w:r>
    </w:p>
    <w:p w:rsidR="00175EC3" w:rsidP="00175EC3" w:rsidRDefault="00175EC3" w14:paraId="1EE06987" w14:textId="6CD19662">
      <w:pPr>
        <w:numPr>
          <w:ilvl w:val="0"/>
          <w:numId w:val="3"/>
        </w:numPr>
        <w:overflowPunct w:val="0"/>
        <w:autoSpaceDE w:val="0"/>
        <w:autoSpaceDN w:val="0"/>
        <w:adjustRightInd w:val="0"/>
        <w:ind w:left="357" w:hanging="357"/>
        <w:textAlignment w:val="baseline"/>
      </w:pPr>
      <w:r>
        <w:t>benadrukt dat het van essentieel belang is de kosten van monitoring, rapportage en verificatie van koolstofverwijderingsactiviteiten zo laag mogelijk te houden, om te waarborgen dat het certificeringskader breed toegankelijk is;</w:t>
      </w:r>
    </w:p>
    <w:p w:rsidR="00175EC3" w:rsidP="00175EC3" w:rsidRDefault="00175EC3" w14:paraId="037399B1" w14:textId="798C9521">
      <w:pPr>
        <w:numPr>
          <w:ilvl w:val="0"/>
          <w:numId w:val="3"/>
        </w:numPr>
        <w:overflowPunct w:val="0"/>
        <w:autoSpaceDE w:val="0"/>
        <w:autoSpaceDN w:val="0"/>
        <w:adjustRightInd w:val="0"/>
        <w:ind w:left="357" w:hanging="357"/>
        <w:textAlignment w:val="baseline"/>
      </w:pPr>
      <w:r>
        <w:t>wijst erop dat de mogelijke risico’s en neveneffecten voor de belangrijkste actoren (landbouwers, bosbouwindustrie, bouw- en houtsector) zorgvuldig moeten worden bekeken en beoordeeld voordat het certificeringskader wordt geïntegreerd in ander beleid;</w:t>
      </w:r>
    </w:p>
    <w:p w:rsidR="00175EC3" w:rsidP="00175EC3" w:rsidRDefault="00175EC3" w14:paraId="5C72CFF5" w14:textId="7CEA4782">
      <w:pPr>
        <w:numPr>
          <w:ilvl w:val="0"/>
          <w:numId w:val="3"/>
        </w:numPr>
        <w:overflowPunct w:val="0"/>
        <w:autoSpaceDE w:val="0"/>
        <w:autoSpaceDN w:val="0"/>
        <w:adjustRightInd w:val="0"/>
        <w:ind w:left="357" w:hanging="357"/>
        <w:textAlignment w:val="baseline"/>
      </w:pPr>
      <w:r>
        <w:t>vindt dat het huidige gemeenschappelijk landbouwbeleid (GLB) niet mag worden gebruikt om koolstoflandbouw of koolstofverwijderingen te financieren</w:t>
      </w:r>
      <w:r>
        <w:rPr>
          <w:rStyle w:val="FootnoteReference"/>
        </w:rPr>
        <w:footnoteReference w:id="3"/>
      </w:r>
      <w:r>
        <w:t xml:space="preserve"> en dat er aanvullende financieringsbronnen beschikbaar moeten worden gesteld;</w:t>
      </w:r>
    </w:p>
    <w:p w:rsidRPr="00A3344B" w:rsidR="00175EC3" w:rsidP="00175EC3" w:rsidRDefault="00175EC3" w14:paraId="14CAEE00" w14:textId="197C9BD4">
      <w:pPr>
        <w:numPr>
          <w:ilvl w:val="0"/>
          <w:numId w:val="3"/>
        </w:numPr>
        <w:overflowPunct w:val="0"/>
        <w:autoSpaceDE w:val="0"/>
        <w:autoSpaceDN w:val="0"/>
        <w:adjustRightInd w:val="0"/>
        <w:ind w:left="357" w:hanging="357"/>
        <w:textAlignment w:val="baseline"/>
      </w:pPr>
      <w:r>
        <w:t>vreest dat potentiële deelnemers sterk worden ontmoedigd om mee te doen doordat er zo veel onduidelijkheid is over het aspect financiering. Het is echt noodzakelijk dat men op het vlak van financiering min of meer weet waar men aan toe is. In dit verband kan gedacht worden aan het opstellen van een stappenplan om tot een gemeenschappelijk financieel instrument te komen.</w:t>
      </w:r>
    </w:p>
    <w:p w:rsidRPr="00133EE7" w:rsidR="00175EC3" w:rsidP="00133EE7" w:rsidRDefault="00175EC3" w14:paraId="48193038" w14:textId="77777777">
      <w:pPr>
        <w:spacing w:line="240" w:lineRule="auto"/>
        <w:jc w:val="left"/>
        <w:rPr>
          <w:sz w:val="16"/>
          <w:szCs w:val="16"/>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175EC3" w:rsidTr="00726054" w14:paraId="77748D3B" w14:textId="77777777">
        <w:tc>
          <w:tcPr>
            <w:tcW w:w="1418" w:type="dxa"/>
          </w:tcPr>
          <w:p w:rsidRPr="00164813" w:rsidR="00175EC3" w:rsidP="00726054" w:rsidRDefault="00175EC3" w14:paraId="095BB35B" w14:textId="77777777">
            <w:pPr>
              <w:contextualSpacing/>
              <w:rPr>
                <w:i/>
              </w:rPr>
            </w:pPr>
            <w:r>
              <w:rPr>
                <w:b/>
                <w:i/>
              </w:rPr>
              <w:t>Contactpersoon</w:t>
            </w:r>
          </w:p>
        </w:tc>
        <w:tc>
          <w:tcPr>
            <w:tcW w:w="5670" w:type="dxa"/>
          </w:tcPr>
          <w:p w:rsidRPr="00164813" w:rsidR="00175EC3" w:rsidP="00726054" w:rsidRDefault="00175EC3" w14:paraId="1DFC69D3" w14:textId="2DAD5293">
            <w:pPr>
              <w:contextualSpacing/>
              <w:rPr>
                <w:i/>
              </w:rPr>
            </w:pPr>
            <w:proofErr w:type="spellStart"/>
            <w:r>
              <w:rPr>
                <w:i/>
              </w:rPr>
              <w:t>Ulrike</w:t>
            </w:r>
            <w:proofErr w:type="spellEnd"/>
            <w:r>
              <w:rPr>
                <w:i/>
              </w:rPr>
              <w:t xml:space="preserve"> </w:t>
            </w:r>
            <w:proofErr w:type="spellStart"/>
            <w:r>
              <w:rPr>
                <w:i/>
              </w:rPr>
              <w:t>Meissner</w:t>
            </w:r>
            <w:proofErr w:type="spellEnd"/>
            <w:r>
              <w:rPr>
                <w:i/>
              </w:rPr>
              <w:t xml:space="preserve"> – Martine </w:t>
            </w:r>
            <w:proofErr w:type="spellStart"/>
            <w:r>
              <w:rPr>
                <w:i/>
              </w:rPr>
              <w:t>Delanoy</w:t>
            </w:r>
            <w:proofErr w:type="spellEnd"/>
          </w:p>
        </w:tc>
      </w:tr>
      <w:tr w:rsidRPr="00164813" w:rsidR="00175EC3" w:rsidTr="00726054" w14:paraId="31ABA2EF" w14:textId="77777777">
        <w:tc>
          <w:tcPr>
            <w:tcW w:w="1418" w:type="dxa"/>
          </w:tcPr>
          <w:p w:rsidRPr="00164813" w:rsidR="00175EC3" w:rsidP="00726054" w:rsidRDefault="00175EC3" w14:paraId="4D5AF882" w14:textId="77777777">
            <w:pPr>
              <w:ind w:left="601"/>
              <w:contextualSpacing/>
              <w:rPr>
                <w:i/>
              </w:rPr>
            </w:pPr>
            <w:r>
              <w:rPr>
                <w:i/>
              </w:rPr>
              <w:t>Tel.</w:t>
            </w:r>
          </w:p>
        </w:tc>
        <w:tc>
          <w:tcPr>
            <w:tcW w:w="5670" w:type="dxa"/>
          </w:tcPr>
          <w:p w:rsidRPr="00164813" w:rsidR="00175EC3" w:rsidP="00726054" w:rsidRDefault="00175EC3" w14:paraId="35FC789B" w14:textId="2E57E56C">
            <w:pPr>
              <w:contextualSpacing/>
              <w:rPr>
                <w:i/>
              </w:rPr>
            </w:pPr>
            <w:r>
              <w:rPr>
                <w:i/>
              </w:rPr>
              <w:t>00 32 2 546 94 66 – 00 32 2 546 98 02</w:t>
            </w:r>
          </w:p>
        </w:tc>
      </w:tr>
      <w:tr w:rsidRPr="00164813" w:rsidR="00175EC3" w:rsidTr="00726054" w14:paraId="02ACBF68" w14:textId="77777777">
        <w:tc>
          <w:tcPr>
            <w:tcW w:w="1418" w:type="dxa"/>
          </w:tcPr>
          <w:p w:rsidRPr="00164813" w:rsidR="00175EC3" w:rsidP="00726054" w:rsidRDefault="00175EC3" w14:paraId="20966F63" w14:textId="77777777">
            <w:pPr>
              <w:ind w:left="601"/>
              <w:contextualSpacing/>
              <w:rPr>
                <w:i/>
              </w:rPr>
            </w:pPr>
            <w:r>
              <w:rPr>
                <w:i/>
              </w:rPr>
              <w:t>E-mail</w:t>
            </w:r>
          </w:p>
        </w:tc>
        <w:tc>
          <w:tcPr>
            <w:tcW w:w="5670" w:type="dxa"/>
          </w:tcPr>
          <w:p w:rsidRPr="00D93D43" w:rsidR="00175EC3" w:rsidP="00726054" w:rsidRDefault="00175EC3" w14:paraId="463BE428" w14:textId="2ECD529D">
            <w:pPr>
              <w:contextualSpacing/>
              <w:rPr>
                <w:i/>
                <w:iCs/>
                <w:color w:val="0000FF"/>
                <w:u w:val="single"/>
              </w:rPr>
            </w:pPr>
            <w:r>
              <w:rPr>
                <w:i/>
                <w:color w:val="0000FF"/>
                <w:u w:val="single"/>
              </w:rPr>
              <w:t>Ulrike.Meissner@eesc.europa.eu</w:t>
            </w:r>
          </w:p>
        </w:tc>
      </w:tr>
      <w:bookmarkEnd w:id="28"/>
    </w:tbl>
    <w:p w:rsidRPr="00133EE7" w:rsidR="0044618A" w:rsidP="00133EE7" w:rsidRDefault="0044618A" w14:paraId="46CC7297" w14:textId="77777777">
      <w:pPr>
        <w:spacing w:line="240" w:lineRule="auto"/>
        <w:jc w:val="left"/>
        <w:rPr>
          <w:sz w:val="8"/>
          <w:szCs w:val="8"/>
        </w:rPr>
      </w:pPr>
      <w:r w:rsidRPr="00133EE7">
        <w:rPr>
          <w:sz w:val="8"/>
          <w:szCs w:val="8"/>
        </w:rPr>
        <w:br w:type="page"/>
      </w:r>
    </w:p>
    <w:p w:rsidRPr="00AA5C1D" w:rsidR="00175EC3" w:rsidP="00175EC3" w:rsidRDefault="00175EC3" w14:paraId="4B430A1C" w14:textId="3D61A257">
      <w:pPr>
        <w:pStyle w:val="ListParagraph"/>
        <w:numPr>
          <w:ilvl w:val="0"/>
          <w:numId w:val="2"/>
        </w:numPr>
        <w:ind w:left="567" w:hanging="567"/>
        <w:rPr>
          <w:b/>
          <w:bCs/>
          <w:i/>
          <w:iCs/>
          <w:sz w:val="28"/>
          <w:szCs w:val="28"/>
        </w:rPr>
      </w:pPr>
      <w:r>
        <w:rPr>
          <w:b/>
          <w:i/>
          <w:sz w:val="28"/>
        </w:rPr>
        <w:lastRenderedPageBreak/>
        <w:t>EU-strategie voor meststoffen</w:t>
      </w:r>
    </w:p>
    <w:p w:rsidRPr="009B70E7" w:rsidR="00175EC3" w:rsidP="00175EC3" w:rsidRDefault="00175EC3" w14:paraId="65E7B068"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920"/>
      </w:tblGrid>
      <w:tr w:rsidRPr="007E7A4F" w:rsidR="00175EC3" w:rsidTr="00133EE7" w14:paraId="6E749EC9" w14:textId="77777777">
        <w:tc>
          <w:tcPr>
            <w:tcW w:w="2518" w:type="dxa"/>
          </w:tcPr>
          <w:p w:rsidR="00175EC3" w:rsidP="00133EE7" w:rsidRDefault="00175EC3" w14:paraId="046776A1" w14:textId="77777777">
            <w:pPr>
              <w:pStyle w:val="ListParagraph"/>
              <w:spacing w:line="240" w:lineRule="auto"/>
              <w:ind w:left="0"/>
              <w:rPr>
                <w:b/>
              </w:rPr>
            </w:pPr>
            <w:r>
              <w:rPr>
                <w:b/>
              </w:rPr>
              <w:t>Rapporteur</w:t>
            </w:r>
          </w:p>
          <w:p w:rsidRPr="009B70E7" w:rsidR="00175EC3" w:rsidP="00133EE7" w:rsidRDefault="00175EC3" w14:paraId="103EA0BC" w14:textId="77777777">
            <w:pPr>
              <w:pStyle w:val="ListParagraph"/>
              <w:spacing w:line="240" w:lineRule="auto"/>
              <w:ind w:left="0"/>
              <w:rPr>
                <w:b/>
              </w:rPr>
            </w:pPr>
          </w:p>
        </w:tc>
        <w:tc>
          <w:tcPr>
            <w:tcW w:w="5920" w:type="dxa"/>
          </w:tcPr>
          <w:p w:rsidR="00175EC3" w:rsidP="00133EE7" w:rsidRDefault="00175EC3" w14:paraId="4DA90026" w14:textId="14DF5862">
            <w:pPr>
              <w:pStyle w:val="ListParagraph"/>
              <w:spacing w:line="240" w:lineRule="auto"/>
              <w:ind w:left="-108"/>
            </w:pPr>
            <w:r>
              <w:t xml:space="preserve">Arnold PUECH </w:t>
            </w:r>
            <w:proofErr w:type="spellStart"/>
            <w:r>
              <w:t>d’ALISSAC</w:t>
            </w:r>
            <w:proofErr w:type="spellEnd"/>
            <w:r>
              <w:t xml:space="preserve"> (groep Werkgevers – FR)</w:t>
            </w:r>
          </w:p>
          <w:p w:rsidRPr="007E7A4F" w:rsidR="00175EC3" w:rsidP="00133EE7" w:rsidRDefault="00175EC3" w14:paraId="67777FF4" w14:textId="77777777">
            <w:pPr>
              <w:pStyle w:val="ListParagraph"/>
              <w:spacing w:line="240" w:lineRule="auto"/>
              <w:ind w:left="-108"/>
              <w:rPr>
                <w:lang w:val="fr-BE"/>
              </w:rPr>
            </w:pPr>
          </w:p>
        </w:tc>
      </w:tr>
      <w:tr w:rsidRPr="009B70E7" w:rsidR="00175EC3" w:rsidTr="00133EE7" w14:paraId="10B10D3F" w14:textId="77777777">
        <w:tc>
          <w:tcPr>
            <w:tcW w:w="2518" w:type="dxa"/>
          </w:tcPr>
          <w:p w:rsidRPr="009B70E7" w:rsidR="00175EC3" w:rsidP="00726054" w:rsidRDefault="00175EC3" w14:paraId="0AFC7B7C" w14:textId="77777777">
            <w:pPr>
              <w:pStyle w:val="ListParagraph"/>
              <w:ind w:left="0"/>
              <w:rPr>
                <w:b/>
              </w:rPr>
            </w:pPr>
            <w:r>
              <w:rPr>
                <w:b/>
              </w:rPr>
              <w:t xml:space="preserve">Referentiedocumenten </w:t>
            </w:r>
          </w:p>
        </w:tc>
        <w:tc>
          <w:tcPr>
            <w:tcW w:w="5920" w:type="dxa"/>
          </w:tcPr>
          <w:p w:rsidRPr="009B70E7" w:rsidR="00175EC3" w:rsidP="00726054" w:rsidRDefault="00175EC3" w14:paraId="1319FE45" w14:textId="6E5565A3">
            <w:pPr>
              <w:tabs>
                <w:tab w:val="center" w:pos="284"/>
              </w:tabs>
              <w:ind w:left="266" w:hanging="374"/>
            </w:pPr>
            <w:r>
              <w:t xml:space="preserve">COM(2022) 590 </w:t>
            </w:r>
            <w:proofErr w:type="spellStart"/>
            <w:r>
              <w:t>final</w:t>
            </w:r>
            <w:proofErr w:type="spellEnd"/>
          </w:p>
          <w:p w:rsidRPr="009B70E7" w:rsidR="00175EC3" w:rsidP="00726054" w:rsidRDefault="00175EC3" w14:paraId="673C55B6" w14:textId="496199F4">
            <w:pPr>
              <w:pStyle w:val="ListParagraph"/>
              <w:ind w:left="-108"/>
            </w:pPr>
            <w:r>
              <w:t>EESC-2022-05716-00-00-AC</w:t>
            </w:r>
          </w:p>
        </w:tc>
      </w:tr>
    </w:tbl>
    <w:p w:rsidRPr="00133EE7" w:rsidR="00175EC3" w:rsidP="00133EE7" w:rsidRDefault="00175EC3" w14:paraId="7355F377" w14:textId="77777777">
      <w:pPr>
        <w:pStyle w:val="ListParagraph"/>
        <w:spacing w:line="240" w:lineRule="auto"/>
        <w:ind w:left="0"/>
        <w:rPr>
          <w:bCs/>
        </w:rPr>
      </w:pPr>
    </w:p>
    <w:p w:rsidRPr="00A00F37" w:rsidR="00175EC3" w:rsidP="00175EC3" w:rsidRDefault="00175EC3" w14:paraId="436A044E" w14:textId="77777777">
      <w:pPr>
        <w:pStyle w:val="ListParagraph"/>
        <w:spacing w:line="240" w:lineRule="auto"/>
        <w:ind w:left="0"/>
        <w:rPr>
          <w:b/>
        </w:rPr>
      </w:pPr>
      <w:r>
        <w:rPr>
          <w:b/>
        </w:rPr>
        <w:t>Hoofdpunten</w:t>
      </w:r>
    </w:p>
    <w:p w:rsidRPr="0018231C" w:rsidR="00175EC3" w:rsidP="00133EE7" w:rsidRDefault="00175EC3" w14:paraId="553409B7" w14:textId="77777777">
      <w:pPr>
        <w:pStyle w:val="ListParagraph"/>
        <w:spacing w:line="240" w:lineRule="auto"/>
        <w:ind w:left="0"/>
        <w:rPr>
          <w:lang w:val="fr-FR"/>
        </w:rPr>
      </w:pPr>
    </w:p>
    <w:p w:rsidR="00175EC3" w:rsidP="00175EC3" w:rsidRDefault="00175EC3" w14:paraId="4865821A" w14:textId="77777777">
      <w:pPr>
        <w:pStyle w:val="ListParagraph"/>
        <w:spacing w:line="240" w:lineRule="auto"/>
        <w:ind w:left="0"/>
      </w:pPr>
      <w:r>
        <w:t>Het EESC:</w:t>
      </w:r>
    </w:p>
    <w:p w:rsidRPr="0018231C" w:rsidR="00175EC3" w:rsidP="00175EC3" w:rsidRDefault="00175EC3" w14:paraId="793D0A5D" w14:textId="77777777">
      <w:pPr>
        <w:pStyle w:val="ListParagraph"/>
        <w:ind w:left="0"/>
        <w:rPr>
          <w:lang w:val="fr-FR"/>
        </w:rPr>
      </w:pPr>
    </w:p>
    <w:p w:rsidR="00175EC3" w:rsidP="00175EC3" w:rsidRDefault="00175EC3" w14:paraId="622F49E6" w14:textId="77777777">
      <w:pPr>
        <w:numPr>
          <w:ilvl w:val="0"/>
          <w:numId w:val="3"/>
        </w:numPr>
        <w:overflowPunct w:val="0"/>
        <w:autoSpaceDE w:val="0"/>
        <w:autoSpaceDN w:val="0"/>
        <w:adjustRightInd w:val="0"/>
        <w:ind w:left="357" w:hanging="357"/>
        <w:textAlignment w:val="baseline"/>
      </w:pPr>
      <w:r>
        <w:t>is ingenomen met de mededeling van de Commissie over het waarborgen van de beschikbaarheid en betaalbaarheid van meststoffen, aangezien de wereldwijde meststofcrisis, die begin 2021 is losgebarsten en na de oorlog in Oekraïne alleen maar erger is geworden, bijzonder acuut is in Europa, waar de landbouwers worden geconfronteerd met zowel torenhoge prijzen als leveringstekorten. De huidige situatie vormt een bedreiging voor de Europese landbouw en de mondiale voedselzekerheid;</w:t>
      </w:r>
    </w:p>
    <w:p w:rsidR="00175EC3" w:rsidP="00175EC3" w:rsidRDefault="00175EC3" w14:paraId="2D87F0B5" w14:textId="77777777">
      <w:pPr>
        <w:numPr>
          <w:ilvl w:val="0"/>
          <w:numId w:val="3"/>
        </w:numPr>
        <w:overflowPunct w:val="0"/>
        <w:autoSpaceDE w:val="0"/>
        <w:autoSpaceDN w:val="0"/>
        <w:adjustRightInd w:val="0"/>
        <w:ind w:left="357" w:hanging="357"/>
        <w:textAlignment w:val="baseline"/>
      </w:pPr>
      <w:r>
        <w:t>benadrukt dat binnenlandse noodmaatregelen nodig zijn om de gevolgen van de meststofcrisis te beperken. Naast de mogelijkheid om door middel van staatssteun rechtstreeks steun te verlenen aan de zwaarst getroffen stikstofproducenten en landbouwers (een oplossing die op budgettaire beperkingen stuit, het risico van concurrentievervalsing met zich meebrengt en aan voorwaarden zou moeten worden gekoppeld), moeten er volgens het EESC ook corrigerende maatregelen worden genomen om de werking van de meststoffenmarkt in de EU te verbeteren, aangezien deze waarschijnlijk een grotere impact zullen hebben op landbouwers en gunstiger zullen uitvallen voor de belastingbetalers;</w:t>
      </w:r>
    </w:p>
    <w:p w:rsidR="00175EC3" w:rsidP="00175EC3" w:rsidRDefault="00175EC3" w14:paraId="036FB6E1" w14:textId="4DA24399">
      <w:pPr>
        <w:numPr>
          <w:ilvl w:val="0"/>
          <w:numId w:val="3"/>
        </w:numPr>
        <w:overflowPunct w:val="0"/>
        <w:autoSpaceDE w:val="0"/>
        <w:autoSpaceDN w:val="0"/>
        <w:adjustRightInd w:val="0"/>
        <w:ind w:left="357" w:hanging="357"/>
        <w:textAlignment w:val="baseline"/>
      </w:pPr>
      <w:r>
        <w:t xml:space="preserve">adviseert om maatregelen te nemen zoals opschorting van de EU-invoertarieven voor alle meststoffen, verbetering van de logistiek en versoepeling van de regelgeving, dit om zowel het aanbod als de prijzen van meststoffen aan te pakken door de invoer en de binnenlandse mededinging gemakkelijker te maken; </w:t>
      </w:r>
    </w:p>
    <w:p w:rsidR="00175EC3" w:rsidP="00175EC3" w:rsidRDefault="00175EC3" w14:paraId="501B0D9F" w14:textId="77777777">
      <w:pPr>
        <w:numPr>
          <w:ilvl w:val="0"/>
          <w:numId w:val="3"/>
        </w:numPr>
        <w:overflowPunct w:val="0"/>
        <w:autoSpaceDE w:val="0"/>
        <w:autoSpaceDN w:val="0"/>
        <w:adjustRightInd w:val="0"/>
        <w:ind w:left="357" w:hanging="357"/>
        <w:textAlignment w:val="baseline"/>
      </w:pPr>
      <w:r>
        <w:t xml:space="preserve">is van mening dat er maatregelen op middellange termijn nodig zijn om de EU minder afhankelijk te maken van ingevoerde minerale meststoffen en de ecologische voetafdruk van gewasbemesting te verkleinen. Deze maatregelen moeten erop gericht zijn het gebruik van meststoffen te beperken door de efficiëntie van plantaardige nutriënten te verbeteren, synthetische meststoffen gedeeltelijk te vervangen door gerecycleerde dierlijke mest en ander afval, en Europa </w:t>
      </w:r>
      <w:proofErr w:type="spellStart"/>
      <w:r>
        <w:t>zelfvoorzienender</w:t>
      </w:r>
      <w:proofErr w:type="spellEnd"/>
      <w:r>
        <w:t xml:space="preserve"> te maken als het gaat om de productie van meststoffen;</w:t>
      </w:r>
    </w:p>
    <w:p w:rsidR="006549AE" w:rsidP="006549AE" w:rsidRDefault="00175EC3" w14:paraId="0872E5BC" w14:textId="77777777">
      <w:pPr>
        <w:numPr>
          <w:ilvl w:val="0"/>
          <w:numId w:val="3"/>
        </w:numPr>
        <w:overflowPunct w:val="0"/>
        <w:autoSpaceDE w:val="0"/>
        <w:autoSpaceDN w:val="0"/>
        <w:adjustRightInd w:val="0"/>
        <w:ind w:left="357" w:hanging="357"/>
        <w:textAlignment w:val="baseline"/>
      </w:pPr>
      <w:r>
        <w:t>dringt er voorts op aan dat bij de vaststelling van nieuwe maatregelen rekening wordt gehouden met de sociale aspecten waarmee landbouwers (die zwaar worden getroffen door de meststoffenprijzen), consumenten van levensmiddelen (die worden geconfronteerd met inflatie van de voedselprijzen) en werknemers in deze sector te maken hebben;</w:t>
      </w:r>
    </w:p>
    <w:p w:rsidRPr="00A3344B" w:rsidR="00175EC3" w:rsidP="006549AE" w:rsidRDefault="00175EC3" w14:paraId="08ABDB90" w14:textId="235B810F">
      <w:pPr>
        <w:numPr>
          <w:ilvl w:val="0"/>
          <w:numId w:val="3"/>
        </w:numPr>
        <w:overflowPunct w:val="0"/>
        <w:autoSpaceDE w:val="0"/>
        <w:autoSpaceDN w:val="0"/>
        <w:adjustRightInd w:val="0"/>
        <w:ind w:left="357" w:hanging="357"/>
        <w:textAlignment w:val="baseline"/>
      </w:pPr>
      <w:r>
        <w:t>dringt er bij de EU op aan de strijd tegen de wereldwijde voedselonzekerheid op te voeren, onder meer door de transparantie, de beschikbaarheid en een doeltreffend gebruik van meststoffen te bevorderen. De mondiale handel in meststoffen moet worden vergemakkelijkt door de markten open te houden, uitvoerbeperkingen en -verboden te vermijden, de meststoffenproductie op te voeren en logistieke routes uit te breiden.</w:t>
      </w:r>
    </w:p>
    <w:p w:rsidRPr="009A3E0E" w:rsidR="00175EC3" w:rsidP="00133EE7" w:rsidRDefault="00175EC3" w14:paraId="4412E5C6" w14:textId="77777777">
      <w:pPr>
        <w:spacing w:line="240"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164813" w:rsidR="00175EC3" w:rsidTr="00726054" w14:paraId="7675E619" w14:textId="77777777">
        <w:tc>
          <w:tcPr>
            <w:tcW w:w="1418" w:type="dxa"/>
          </w:tcPr>
          <w:p w:rsidRPr="00164813" w:rsidR="00175EC3" w:rsidP="00726054" w:rsidRDefault="00175EC3" w14:paraId="2405BB31" w14:textId="77777777">
            <w:pPr>
              <w:contextualSpacing/>
              <w:rPr>
                <w:i/>
              </w:rPr>
            </w:pPr>
            <w:r>
              <w:rPr>
                <w:b/>
                <w:i/>
              </w:rPr>
              <w:t>Contactpersoon</w:t>
            </w:r>
          </w:p>
        </w:tc>
        <w:tc>
          <w:tcPr>
            <w:tcW w:w="5670" w:type="dxa"/>
          </w:tcPr>
          <w:p w:rsidRPr="00164813" w:rsidR="00175EC3" w:rsidP="00726054" w:rsidRDefault="00175EC3" w14:paraId="0AEB0D9D" w14:textId="4EF30010">
            <w:pPr>
              <w:contextualSpacing/>
              <w:rPr>
                <w:i/>
              </w:rPr>
            </w:pPr>
            <w:r>
              <w:rPr>
                <w:i/>
              </w:rPr>
              <w:t xml:space="preserve">Martine </w:t>
            </w:r>
            <w:proofErr w:type="spellStart"/>
            <w:r>
              <w:rPr>
                <w:i/>
              </w:rPr>
              <w:t>Delanoy</w:t>
            </w:r>
            <w:proofErr w:type="spellEnd"/>
          </w:p>
        </w:tc>
      </w:tr>
      <w:tr w:rsidRPr="00164813" w:rsidR="00175EC3" w:rsidTr="00726054" w14:paraId="575920BC" w14:textId="77777777">
        <w:tc>
          <w:tcPr>
            <w:tcW w:w="1418" w:type="dxa"/>
          </w:tcPr>
          <w:p w:rsidRPr="00164813" w:rsidR="00175EC3" w:rsidP="00726054" w:rsidRDefault="00175EC3" w14:paraId="2409316A" w14:textId="77777777">
            <w:pPr>
              <w:ind w:left="601"/>
              <w:contextualSpacing/>
              <w:rPr>
                <w:i/>
              </w:rPr>
            </w:pPr>
            <w:r>
              <w:rPr>
                <w:i/>
              </w:rPr>
              <w:t>Tel.</w:t>
            </w:r>
          </w:p>
        </w:tc>
        <w:tc>
          <w:tcPr>
            <w:tcW w:w="5670" w:type="dxa"/>
          </w:tcPr>
          <w:p w:rsidRPr="00164813" w:rsidR="00175EC3" w:rsidP="00726054" w:rsidRDefault="00175EC3" w14:paraId="0FB96B61" w14:textId="7066D542">
            <w:pPr>
              <w:contextualSpacing/>
              <w:rPr>
                <w:i/>
              </w:rPr>
            </w:pPr>
            <w:r>
              <w:rPr>
                <w:i/>
              </w:rPr>
              <w:t>00 32 2 546 98 02</w:t>
            </w:r>
          </w:p>
        </w:tc>
      </w:tr>
      <w:tr w:rsidRPr="00164813" w:rsidR="00175EC3" w:rsidTr="00726054" w14:paraId="715FBBC2" w14:textId="77777777">
        <w:tc>
          <w:tcPr>
            <w:tcW w:w="1418" w:type="dxa"/>
          </w:tcPr>
          <w:p w:rsidRPr="00164813" w:rsidR="00175EC3" w:rsidP="00726054" w:rsidRDefault="00175EC3" w14:paraId="1149A47E" w14:textId="77777777">
            <w:pPr>
              <w:ind w:left="601"/>
              <w:contextualSpacing/>
              <w:rPr>
                <w:i/>
              </w:rPr>
            </w:pPr>
            <w:r>
              <w:rPr>
                <w:i/>
              </w:rPr>
              <w:t>E-mail</w:t>
            </w:r>
          </w:p>
        </w:tc>
        <w:tc>
          <w:tcPr>
            <w:tcW w:w="5670" w:type="dxa"/>
          </w:tcPr>
          <w:p w:rsidRPr="00D93D43" w:rsidR="00175EC3" w:rsidP="00726054" w:rsidRDefault="00175EC3" w14:paraId="5138213B" w14:textId="212B9436">
            <w:pPr>
              <w:contextualSpacing/>
              <w:rPr>
                <w:i/>
                <w:iCs/>
                <w:color w:val="0000FF"/>
                <w:u w:val="single"/>
              </w:rPr>
            </w:pPr>
            <w:r>
              <w:rPr>
                <w:i/>
                <w:color w:val="0000FF"/>
                <w:u w:val="single"/>
              </w:rPr>
              <w:t>Martine.Delanoy@eesc.europa.eu</w:t>
            </w:r>
          </w:p>
        </w:tc>
      </w:tr>
    </w:tbl>
    <w:p w:rsidRPr="00133EE7" w:rsidR="00175EC3" w:rsidP="00133EE7" w:rsidRDefault="00175EC3" w14:paraId="32A1F0EB" w14:textId="77777777">
      <w:pPr>
        <w:spacing w:line="240" w:lineRule="auto"/>
        <w:jc w:val="left"/>
        <w:rPr>
          <w:sz w:val="18"/>
          <w:szCs w:val="18"/>
        </w:rPr>
      </w:pPr>
      <w:r w:rsidRPr="00133EE7">
        <w:rPr>
          <w:sz w:val="18"/>
          <w:szCs w:val="18"/>
        </w:rPr>
        <w:br w:type="page"/>
      </w:r>
    </w:p>
    <w:p w:rsidR="007425D2" w:rsidP="007425D2" w:rsidRDefault="007425D2" w14:paraId="6943AB74" w14:textId="2EC29BC4">
      <w:pPr>
        <w:pStyle w:val="Heading1"/>
        <w:rPr>
          <w:b/>
          <w:bCs/>
        </w:rPr>
      </w:pPr>
      <w:bookmarkStart w:name="_Toc131175946" w:id="29"/>
      <w:r>
        <w:rPr>
          <w:b/>
        </w:rPr>
        <w:lastRenderedPageBreak/>
        <w:t>EXTERNE BETREKKINGEN</w:t>
      </w:r>
      <w:bookmarkEnd w:id="29"/>
    </w:p>
    <w:p w:rsidRPr="007425D2" w:rsidR="007425D2" w:rsidP="007425D2" w:rsidRDefault="007425D2" w14:paraId="7ADE6798" w14:textId="77777777"/>
    <w:p w:rsidRPr="007425D2" w:rsidR="007425D2" w:rsidP="007425D2" w:rsidRDefault="007425D2" w14:paraId="7AFF4245" w14:textId="0E3AEEA7">
      <w:pPr>
        <w:keepNext/>
        <w:numPr>
          <w:ilvl w:val="0"/>
          <w:numId w:val="2"/>
        </w:numPr>
        <w:ind w:left="567" w:hanging="567"/>
        <w:contextualSpacing/>
        <w:rPr>
          <w:b/>
          <w:i/>
          <w:sz w:val="28"/>
          <w:szCs w:val="28"/>
        </w:rPr>
      </w:pPr>
      <w:bookmarkStart w:name="_Hlk130283861" w:id="30"/>
      <w:r>
        <w:rPr>
          <w:b/>
          <w:i/>
          <w:sz w:val="28"/>
        </w:rPr>
        <w:t>Jongerenactieplan in het kader van het externe optreden van de EU</w:t>
      </w:r>
    </w:p>
    <w:p w:rsidRPr="007425D2" w:rsidR="007425D2" w:rsidP="007425D2" w:rsidRDefault="007425D2" w14:paraId="2D9E4D26"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521"/>
      </w:tblGrid>
      <w:tr w:rsidRPr="007425D2" w:rsidR="007425D2" w:rsidTr="00726054" w14:paraId="67D925BC" w14:textId="77777777">
        <w:trPr>
          <w:cantSplit/>
          <w:trHeight w:val="284" w:hRule="exact"/>
        </w:trPr>
        <w:tc>
          <w:tcPr>
            <w:tcW w:w="1701" w:type="dxa"/>
          </w:tcPr>
          <w:p w:rsidRPr="007425D2" w:rsidR="007425D2" w:rsidP="007425D2" w:rsidRDefault="007425D2" w14:paraId="2D027CDA" w14:textId="77777777">
            <w:pPr>
              <w:spacing w:line="240" w:lineRule="auto"/>
              <w:ind w:left="-142" w:firstLine="142"/>
              <w:contextualSpacing/>
              <w:rPr>
                <w:b/>
              </w:rPr>
            </w:pPr>
            <w:r>
              <w:rPr>
                <w:b/>
              </w:rPr>
              <w:t>Rapporteur</w:t>
            </w:r>
          </w:p>
          <w:p w:rsidRPr="007425D2" w:rsidR="007425D2" w:rsidP="007425D2" w:rsidRDefault="007425D2" w14:paraId="537C8D10" w14:textId="77777777">
            <w:pPr>
              <w:keepNext/>
              <w:contextualSpacing/>
              <w:rPr>
                <w:b/>
              </w:rPr>
            </w:pPr>
          </w:p>
        </w:tc>
        <w:tc>
          <w:tcPr>
            <w:tcW w:w="6521" w:type="dxa"/>
          </w:tcPr>
          <w:p w:rsidRPr="007425D2" w:rsidR="007425D2" w:rsidP="007425D2" w:rsidRDefault="007425D2" w14:paraId="6C3C7ECB" w14:textId="289268CD">
            <w:pPr>
              <w:ind w:left="-52"/>
              <w:contextualSpacing/>
            </w:pPr>
            <w:r>
              <w:t>Michael MCLOUGHLIN (groep Maatschappelijke Organisaties – IE)</w:t>
            </w:r>
          </w:p>
        </w:tc>
      </w:tr>
      <w:tr w:rsidRPr="007425D2" w:rsidR="007425D2" w:rsidTr="00726054" w14:paraId="0222FC4D" w14:textId="77777777">
        <w:trPr>
          <w:cantSplit/>
          <w:trHeight w:val="567" w:hRule="exact"/>
        </w:trPr>
        <w:tc>
          <w:tcPr>
            <w:tcW w:w="1701" w:type="dxa"/>
          </w:tcPr>
          <w:p w:rsidRPr="007425D2" w:rsidR="007425D2" w:rsidP="007425D2" w:rsidRDefault="007425D2" w14:paraId="10897E08" w14:textId="77777777">
            <w:pPr>
              <w:contextualSpacing/>
              <w:rPr>
                <w:b/>
              </w:rPr>
            </w:pPr>
            <w:proofErr w:type="spellStart"/>
            <w:r>
              <w:rPr>
                <w:b/>
              </w:rPr>
              <w:t>Corapporteur</w:t>
            </w:r>
            <w:proofErr w:type="spellEnd"/>
          </w:p>
        </w:tc>
        <w:tc>
          <w:tcPr>
            <w:tcW w:w="6521" w:type="dxa"/>
          </w:tcPr>
          <w:p w:rsidRPr="007425D2" w:rsidR="007425D2" w:rsidP="007425D2" w:rsidRDefault="007425D2" w14:paraId="05B4BF7E" w14:textId="55171C6D">
            <w:pPr>
              <w:ind w:left="-52" w:right="-336"/>
              <w:contextualSpacing/>
            </w:pPr>
            <w:r>
              <w:t>Tatjana BABRAUSKIENĖ (groep Werknemers – LT)</w:t>
            </w:r>
          </w:p>
        </w:tc>
      </w:tr>
      <w:tr w:rsidRPr="007425D2" w:rsidR="007425D2" w:rsidTr="00726054" w14:paraId="0222A12D" w14:textId="77777777">
        <w:tc>
          <w:tcPr>
            <w:tcW w:w="1701" w:type="dxa"/>
          </w:tcPr>
          <w:p w:rsidRPr="007425D2" w:rsidR="007425D2" w:rsidP="007425D2" w:rsidRDefault="007425D2" w14:paraId="1335B9F1" w14:textId="77777777">
            <w:pPr>
              <w:contextualSpacing/>
              <w:rPr>
                <w:b/>
              </w:rPr>
            </w:pPr>
            <w:r>
              <w:rPr>
                <w:b/>
              </w:rPr>
              <w:t xml:space="preserve">Referentiedocumenten </w:t>
            </w:r>
          </w:p>
        </w:tc>
        <w:tc>
          <w:tcPr>
            <w:tcW w:w="6521" w:type="dxa"/>
          </w:tcPr>
          <w:p w:rsidRPr="007425D2" w:rsidR="007425D2" w:rsidP="007425D2" w:rsidRDefault="007425D2" w14:paraId="0F2B0D3A" w14:textId="5021CB1B">
            <w:pPr>
              <w:ind w:left="-52"/>
              <w:contextualSpacing/>
            </w:pPr>
            <w:r>
              <w:t>Initiatiefadvies</w:t>
            </w:r>
          </w:p>
          <w:p w:rsidRPr="007425D2" w:rsidR="007425D2" w:rsidP="007425D2" w:rsidRDefault="007425D2" w14:paraId="01A716CE" w14:textId="73432203">
            <w:pPr>
              <w:ind w:left="-52"/>
              <w:contextualSpacing/>
            </w:pPr>
            <w:r>
              <w:t>EESC-2022-05742-00-00-AC</w:t>
            </w:r>
          </w:p>
        </w:tc>
      </w:tr>
    </w:tbl>
    <w:p w:rsidRPr="007425D2" w:rsidR="007425D2" w:rsidP="007425D2" w:rsidRDefault="007425D2" w14:paraId="058DE1A4" w14:textId="77777777">
      <w:pPr>
        <w:spacing w:line="240" w:lineRule="auto"/>
        <w:ind w:left="-142" w:firstLine="284"/>
        <w:contextualSpacing/>
        <w:rPr>
          <w:b/>
        </w:rPr>
      </w:pPr>
    </w:p>
    <w:p w:rsidRPr="007425D2" w:rsidR="007425D2" w:rsidP="007425D2" w:rsidRDefault="007425D2" w14:paraId="2F160896" w14:textId="77777777">
      <w:pPr>
        <w:spacing w:line="240" w:lineRule="auto"/>
        <w:contextualSpacing/>
        <w:rPr>
          <w:b/>
        </w:rPr>
      </w:pPr>
      <w:r>
        <w:rPr>
          <w:b/>
        </w:rPr>
        <w:t>Hoofdpunten</w:t>
      </w:r>
    </w:p>
    <w:p w:rsidRPr="007425D2" w:rsidR="007425D2" w:rsidP="007425D2" w:rsidRDefault="007425D2" w14:paraId="7B542FF0" w14:textId="77777777">
      <w:pPr>
        <w:contextualSpacing/>
      </w:pPr>
    </w:p>
    <w:p w:rsidRPr="007425D2" w:rsidR="007425D2" w:rsidP="007425D2" w:rsidRDefault="007425D2" w14:paraId="67BFFBED" w14:textId="77777777">
      <w:pPr>
        <w:spacing w:line="240" w:lineRule="auto"/>
        <w:contextualSpacing/>
        <w:rPr>
          <w:bCs/>
        </w:rPr>
      </w:pPr>
      <w:r>
        <w:t>Het EESC:</w:t>
      </w:r>
    </w:p>
    <w:p w:rsidRPr="00A6689B" w:rsidR="007425D2" w:rsidP="007425D2" w:rsidRDefault="007425D2" w14:paraId="79A56B04" w14:textId="77777777">
      <w:pPr>
        <w:rPr>
          <w:bCs/>
          <w:iCs/>
        </w:rPr>
      </w:pPr>
    </w:p>
    <w:p w:rsidRPr="007425D2" w:rsidR="007425D2" w:rsidP="007425D2" w:rsidRDefault="007425D2" w14:paraId="24D4743C" w14:textId="0B378D4D">
      <w:pPr>
        <w:numPr>
          <w:ilvl w:val="0"/>
          <w:numId w:val="3"/>
        </w:numPr>
        <w:ind w:left="357" w:hanging="357"/>
        <w:contextualSpacing/>
      </w:pPr>
      <w:r>
        <w:t xml:space="preserve">wijst erop dat, hoewel het ingenomen is met het jongerenactieplan in het externe optreden van de EU, </w:t>
      </w:r>
      <w:r>
        <w:rPr>
          <w:b/>
        </w:rPr>
        <w:t>zich problemen kunnen voordoen bij de uitrol en uitvoering</w:t>
      </w:r>
      <w:r>
        <w:t xml:space="preserve">, waarvoor dan ook </w:t>
      </w:r>
      <w:r>
        <w:rPr>
          <w:b/>
        </w:rPr>
        <w:t>monitoring en toezicht nodig</w:t>
      </w:r>
      <w:r>
        <w:t xml:space="preserve"> zullen zijn. Het zou graag zien dat tijdens de uitvoering </w:t>
      </w:r>
      <w:r>
        <w:rPr>
          <w:b/>
        </w:rPr>
        <w:t>voortdurend aandacht wordt besteed aan de meest gemarginaliseerde jongeren</w:t>
      </w:r>
      <w:r>
        <w:t xml:space="preserve">, en dat bij alle leiderschapsactiviteiten </w:t>
      </w:r>
      <w:r>
        <w:rPr>
          <w:b/>
        </w:rPr>
        <w:t>evenveel nadruk wordt gelegd op lokale steun voor jongeren in lokale gemeenschappen</w:t>
      </w:r>
      <w:r>
        <w:t>;</w:t>
      </w:r>
    </w:p>
    <w:p w:rsidRPr="007425D2" w:rsidR="007425D2" w:rsidP="007425D2" w:rsidRDefault="007425D2" w14:paraId="057BEC34" w14:textId="264543DE">
      <w:pPr>
        <w:numPr>
          <w:ilvl w:val="0"/>
          <w:numId w:val="3"/>
        </w:numPr>
        <w:ind w:left="357" w:hanging="357"/>
        <w:contextualSpacing/>
      </w:pPr>
      <w:r>
        <w:t>wenst zijn steentje bij te dragen aan de uitvoering van het jongerenactieplan;</w:t>
      </w:r>
    </w:p>
    <w:p w:rsidRPr="007425D2" w:rsidR="007425D2" w:rsidP="007425D2" w:rsidRDefault="007425D2" w14:paraId="7E214886" w14:textId="500FA0B7">
      <w:pPr>
        <w:numPr>
          <w:ilvl w:val="0"/>
          <w:numId w:val="3"/>
        </w:numPr>
        <w:ind w:left="357" w:hanging="357"/>
        <w:contextualSpacing/>
      </w:pPr>
      <w:r>
        <w:t xml:space="preserve">is van mening dat </w:t>
      </w:r>
      <w:r>
        <w:rPr>
          <w:b/>
        </w:rPr>
        <w:t>de expertise en ervaring van jongerenorganisaties in de EU en de rest van de wereld van groot belang zijn voor de uitvoering van het plan</w:t>
      </w:r>
      <w:r>
        <w:t>, zowel voor de Europese Commissie als voor de EU-delegaties;</w:t>
      </w:r>
    </w:p>
    <w:p w:rsidRPr="00326F5F" w:rsidR="007425D2" w:rsidP="007425D2" w:rsidRDefault="00326F5F" w14:paraId="0295789B" w14:textId="37D2FAB9">
      <w:pPr>
        <w:numPr>
          <w:ilvl w:val="0"/>
          <w:numId w:val="3"/>
        </w:numPr>
        <w:ind w:left="357" w:hanging="357"/>
        <w:contextualSpacing/>
      </w:pPr>
      <w:r>
        <w:t>raadt aan om</w:t>
      </w:r>
      <w:r>
        <w:rPr>
          <w:b/>
        </w:rPr>
        <w:t xml:space="preserve"> doellanden aan te moedigen en de middelen te geven om een eigen concreet en specifiek jeugdbeleid te gaan voeren en nationale jeugdraden of soortgelijke instellingen op te zetten</w:t>
      </w:r>
      <w:r>
        <w:t>;</w:t>
      </w:r>
    </w:p>
    <w:p w:rsidRPr="00326F5F" w:rsidR="00326F5F" w:rsidP="007425D2" w:rsidRDefault="00326F5F" w14:paraId="33E951A4" w14:textId="46928664">
      <w:pPr>
        <w:numPr>
          <w:ilvl w:val="0"/>
          <w:numId w:val="3"/>
        </w:numPr>
        <w:ind w:left="357" w:hanging="357"/>
        <w:contextualSpacing/>
      </w:pPr>
      <w:r>
        <w:t xml:space="preserve">is van mening dat </w:t>
      </w:r>
      <w:r>
        <w:rPr>
          <w:b/>
        </w:rPr>
        <w:t>activiteiten op het gebied van onderwijs gericht moeten zijn op gelijkheid</w:t>
      </w:r>
      <w:r>
        <w:t>, en met name op de bescherming van jonge meisjes, en dat strategieën ervoor moeten zorgen dat de moeilijkst te bereiken groepen bij de activiteiten worden betrokken;</w:t>
      </w:r>
    </w:p>
    <w:p w:rsidRPr="007425D2" w:rsidR="00326F5F" w:rsidP="007425D2" w:rsidRDefault="00326F5F" w14:paraId="7E3A9120" w14:textId="2E244D36">
      <w:pPr>
        <w:numPr>
          <w:ilvl w:val="0"/>
          <w:numId w:val="3"/>
        </w:numPr>
        <w:ind w:left="357" w:hanging="357"/>
        <w:contextualSpacing/>
      </w:pPr>
      <w:r>
        <w:t xml:space="preserve">verwelkomt en </w:t>
      </w:r>
      <w:r>
        <w:rPr>
          <w:b/>
        </w:rPr>
        <w:t>stimuleert banden met de werkzaamheden van de Verenigde Naties (VN) en de agentschappen van deze organisatie</w:t>
      </w:r>
      <w:r>
        <w:t xml:space="preserve"> op dit gebied, met name wat betreft de agenda voor jongeren, vrede en veiligheid en eventuele </w:t>
      </w:r>
      <w:proofErr w:type="spellStart"/>
      <w:r>
        <w:t>synergieën</w:t>
      </w:r>
      <w:proofErr w:type="spellEnd"/>
      <w:r>
        <w:t xml:space="preserve"> met het VN-Comité voor de Rechten van het Kind.</w:t>
      </w:r>
    </w:p>
    <w:p w:rsidRPr="00133EE7" w:rsidR="007425D2" w:rsidP="007425D2" w:rsidRDefault="007425D2" w14:paraId="5DE84160"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7425D2" w:rsidR="007425D2" w:rsidTr="00726054" w14:paraId="15B63213" w14:textId="77777777">
        <w:tc>
          <w:tcPr>
            <w:tcW w:w="1418" w:type="dxa"/>
          </w:tcPr>
          <w:p w:rsidRPr="007425D2" w:rsidR="007425D2" w:rsidP="007425D2" w:rsidRDefault="007425D2" w14:paraId="3220F417" w14:textId="77777777">
            <w:pPr>
              <w:contextualSpacing/>
              <w:rPr>
                <w:i/>
              </w:rPr>
            </w:pPr>
            <w:r>
              <w:rPr>
                <w:b/>
                <w:i/>
              </w:rPr>
              <w:t>Contactpersoon</w:t>
            </w:r>
          </w:p>
        </w:tc>
        <w:tc>
          <w:tcPr>
            <w:tcW w:w="5670" w:type="dxa"/>
          </w:tcPr>
          <w:p w:rsidRPr="007425D2" w:rsidR="007425D2" w:rsidP="007425D2" w:rsidRDefault="00326F5F" w14:paraId="3540E5A1" w14:textId="0378C742">
            <w:pPr>
              <w:contextualSpacing/>
              <w:rPr>
                <w:i/>
              </w:rPr>
            </w:pPr>
            <w:r>
              <w:rPr>
                <w:i/>
              </w:rPr>
              <w:t xml:space="preserve">David </w:t>
            </w:r>
            <w:proofErr w:type="spellStart"/>
            <w:r>
              <w:rPr>
                <w:i/>
              </w:rPr>
              <w:t>Hoić</w:t>
            </w:r>
            <w:proofErr w:type="spellEnd"/>
          </w:p>
        </w:tc>
      </w:tr>
      <w:tr w:rsidRPr="007425D2" w:rsidR="007425D2" w:rsidTr="00726054" w14:paraId="63A5E67D" w14:textId="77777777">
        <w:tc>
          <w:tcPr>
            <w:tcW w:w="1418" w:type="dxa"/>
          </w:tcPr>
          <w:p w:rsidRPr="007425D2" w:rsidR="007425D2" w:rsidP="007425D2" w:rsidRDefault="007425D2" w14:paraId="09ABBB8D" w14:textId="77777777">
            <w:pPr>
              <w:ind w:left="601"/>
              <w:contextualSpacing/>
              <w:rPr>
                <w:i/>
              </w:rPr>
            </w:pPr>
            <w:r>
              <w:rPr>
                <w:i/>
              </w:rPr>
              <w:t>Tel.</w:t>
            </w:r>
          </w:p>
        </w:tc>
        <w:tc>
          <w:tcPr>
            <w:tcW w:w="5670" w:type="dxa"/>
          </w:tcPr>
          <w:p w:rsidRPr="007425D2" w:rsidR="007425D2" w:rsidP="007425D2" w:rsidRDefault="007425D2" w14:paraId="1C46CFFD" w14:textId="0E15E09D">
            <w:pPr>
              <w:contextualSpacing/>
              <w:rPr>
                <w:i/>
              </w:rPr>
            </w:pPr>
            <w:r>
              <w:rPr>
                <w:i/>
              </w:rPr>
              <w:t>00 32 2 546 90 69</w:t>
            </w:r>
          </w:p>
        </w:tc>
      </w:tr>
      <w:tr w:rsidRPr="007425D2" w:rsidR="007425D2" w:rsidTr="00726054" w14:paraId="05C1115B" w14:textId="77777777">
        <w:tc>
          <w:tcPr>
            <w:tcW w:w="1418" w:type="dxa"/>
          </w:tcPr>
          <w:p w:rsidRPr="007425D2" w:rsidR="007425D2" w:rsidP="007425D2" w:rsidRDefault="007425D2" w14:paraId="6E88317C" w14:textId="77777777">
            <w:pPr>
              <w:ind w:left="601"/>
              <w:contextualSpacing/>
              <w:rPr>
                <w:i/>
              </w:rPr>
            </w:pPr>
            <w:r>
              <w:rPr>
                <w:i/>
              </w:rPr>
              <w:t>E-mail</w:t>
            </w:r>
          </w:p>
        </w:tc>
        <w:tc>
          <w:tcPr>
            <w:tcW w:w="5670" w:type="dxa"/>
          </w:tcPr>
          <w:p w:rsidRPr="007425D2" w:rsidR="007425D2" w:rsidP="007425D2" w:rsidRDefault="003D1DE5" w14:paraId="79DF4759" w14:textId="57EEF6BB">
            <w:pPr>
              <w:contextualSpacing/>
              <w:rPr>
                <w:i/>
                <w:iCs/>
              </w:rPr>
            </w:pPr>
            <w:hyperlink w:history="1" r:id="rId33">
              <w:r w:rsidR="00F31F11">
                <w:rPr>
                  <w:rStyle w:val="Hyperlink"/>
                  <w:i/>
                </w:rPr>
                <w:t>David.Hoic@eesc.europa.eu</w:t>
              </w:r>
            </w:hyperlink>
          </w:p>
        </w:tc>
      </w:tr>
      <w:bookmarkEnd w:id="30"/>
    </w:tbl>
    <w:p w:rsidR="00326F5F" w:rsidRDefault="00326F5F" w14:paraId="3EB282D8" w14:textId="31FE646C">
      <w:pPr>
        <w:spacing w:after="160" w:line="259" w:lineRule="auto"/>
        <w:jc w:val="left"/>
      </w:pPr>
    </w:p>
    <w:p w:rsidR="00326F5F" w:rsidRDefault="00326F5F" w14:paraId="075F573C" w14:textId="77777777">
      <w:pPr>
        <w:spacing w:after="160" w:line="259" w:lineRule="auto"/>
        <w:jc w:val="left"/>
      </w:pPr>
      <w:r>
        <w:br w:type="page"/>
      </w:r>
    </w:p>
    <w:p w:rsidR="00895C48" w:rsidP="00326F5F" w:rsidRDefault="00326F5F" w14:paraId="57D56E89" w14:textId="0AD6D707">
      <w:pPr>
        <w:pStyle w:val="Heading1"/>
        <w:rPr>
          <w:b/>
          <w:bCs/>
        </w:rPr>
      </w:pPr>
      <w:bookmarkStart w:name="_Toc131175947" w:id="31"/>
      <w:r>
        <w:rPr>
          <w:b/>
        </w:rPr>
        <w:lastRenderedPageBreak/>
        <w:t>VERVOER, ENERGIE, INFRASTRUCTUUR EN INFORMATIEMAATSCHAPPIJ</w:t>
      </w:r>
      <w:bookmarkEnd w:id="31"/>
    </w:p>
    <w:p w:rsidRPr="00326F5F" w:rsidR="00326F5F" w:rsidP="00326F5F" w:rsidRDefault="00326F5F" w14:paraId="6F03EAAD" w14:textId="77777777"/>
    <w:p w:rsidRPr="007425D2" w:rsidR="00326F5F" w:rsidP="00326F5F" w:rsidRDefault="00326F5F" w14:paraId="224F4BE5" w14:textId="57CDCA16">
      <w:pPr>
        <w:keepNext/>
        <w:numPr>
          <w:ilvl w:val="0"/>
          <w:numId w:val="2"/>
        </w:numPr>
        <w:ind w:left="567" w:hanging="567"/>
        <w:contextualSpacing/>
        <w:rPr>
          <w:b/>
          <w:i/>
          <w:sz w:val="28"/>
          <w:szCs w:val="28"/>
        </w:rPr>
      </w:pPr>
      <w:r>
        <w:rPr>
          <w:b/>
          <w:i/>
          <w:sz w:val="28"/>
        </w:rPr>
        <w:t>Stand van de energie-unie 2022</w:t>
      </w:r>
    </w:p>
    <w:p w:rsidRPr="007425D2" w:rsidR="00326F5F" w:rsidP="00326F5F" w:rsidRDefault="00326F5F" w14:paraId="571F4BC2"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521"/>
      </w:tblGrid>
      <w:tr w:rsidRPr="007425D2" w:rsidR="00326F5F" w:rsidTr="00726054" w14:paraId="73CF3627" w14:textId="77777777">
        <w:trPr>
          <w:cantSplit/>
          <w:trHeight w:val="284" w:hRule="exact"/>
        </w:trPr>
        <w:tc>
          <w:tcPr>
            <w:tcW w:w="1701" w:type="dxa"/>
          </w:tcPr>
          <w:p w:rsidRPr="007425D2" w:rsidR="00326F5F" w:rsidP="00726054" w:rsidRDefault="00326F5F" w14:paraId="66AA3AD3" w14:textId="3B676639">
            <w:pPr>
              <w:spacing w:line="240" w:lineRule="auto"/>
              <w:ind w:left="-142" w:firstLine="142"/>
              <w:contextualSpacing/>
              <w:rPr>
                <w:b/>
              </w:rPr>
            </w:pPr>
            <w:r>
              <w:rPr>
                <w:b/>
              </w:rPr>
              <w:t>Rapporteurs</w:t>
            </w:r>
          </w:p>
          <w:p w:rsidRPr="007425D2" w:rsidR="00326F5F" w:rsidP="00726054" w:rsidRDefault="00326F5F" w14:paraId="2B9F9954" w14:textId="77777777">
            <w:pPr>
              <w:keepNext/>
              <w:contextualSpacing/>
              <w:rPr>
                <w:b/>
              </w:rPr>
            </w:pPr>
          </w:p>
        </w:tc>
        <w:tc>
          <w:tcPr>
            <w:tcW w:w="6521" w:type="dxa"/>
          </w:tcPr>
          <w:p w:rsidRPr="007425D2" w:rsidR="00326F5F" w:rsidP="00726054" w:rsidRDefault="00326F5F" w14:paraId="24C9FBD7" w14:textId="6584559F">
            <w:pPr>
              <w:ind w:left="-52"/>
              <w:contextualSpacing/>
            </w:pPr>
            <w:proofErr w:type="spellStart"/>
            <w:r>
              <w:t>Lutz</w:t>
            </w:r>
            <w:proofErr w:type="spellEnd"/>
            <w:r>
              <w:t xml:space="preserve"> RIBBE (groep Maatschappelijke Organisaties – DE)</w:t>
            </w:r>
          </w:p>
        </w:tc>
      </w:tr>
      <w:tr w:rsidRPr="007425D2" w:rsidR="00326F5F" w:rsidTr="00726054" w14:paraId="088532F3" w14:textId="77777777">
        <w:trPr>
          <w:cantSplit/>
          <w:trHeight w:val="567" w:hRule="exact"/>
        </w:trPr>
        <w:tc>
          <w:tcPr>
            <w:tcW w:w="1701" w:type="dxa"/>
          </w:tcPr>
          <w:p w:rsidRPr="007425D2" w:rsidR="00326F5F" w:rsidP="00726054" w:rsidRDefault="00326F5F" w14:paraId="6F5D6835" w14:textId="18E59A91">
            <w:pPr>
              <w:contextualSpacing/>
              <w:rPr>
                <w:b/>
              </w:rPr>
            </w:pPr>
          </w:p>
        </w:tc>
        <w:tc>
          <w:tcPr>
            <w:tcW w:w="6521" w:type="dxa"/>
          </w:tcPr>
          <w:p w:rsidR="00326F5F" w:rsidP="00726054" w:rsidRDefault="00326F5F" w14:paraId="26659F57" w14:textId="77777777">
            <w:pPr>
              <w:ind w:left="-52" w:right="-336"/>
              <w:contextualSpacing/>
            </w:pPr>
            <w:r>
              <w:t>Angelo PAGLIARA (groep Werknemers – IT)</w:t>
            </w:r>
          </w:p>
          <w:p w:rsidR="00AA6795" w:rsidP="00726054" w:rsidRDefault="00AA6795" w14:paraId="45025F06" w14:textId="3098E60F">
            <w:pPr>
              <w:ind w:left="-52" w:right="-336"/>
              <w:contextualSpacing/>
            </w:pPr>
            <w:proofErr w:type="spellStart"/>
            <w:r>
              <w:t>Marcin</w:t>
            </w:r>
            <w:proofErr w:type="spellEnd"/>
            <w:r>
              <w:t xml:space="preserve"> NOWACKI (groep Werkgevers – PL)</w:t>
            </w:r>
          </w:p>
          <w:p w:rsidR="00AA6795" w:rsidP="00726054" w:rsidRDefault="00AA6795" w14:paraId="74BE9CDF" w14:textId="77777777">
            <w:pPr>
              <w:ind w:left="-52" w:right="-336"/>
              <w:contextualSpacing/>
            </w:pPr>
          </w:p>
          <w:p w:rsidR="00AA6795" w:rsidP="00726054" w:rsidRDefault="00AA6795" w14:paraId="4BE1CD97" w14:textId="77777777">
            <w:pPr>
              <w:ind w:left="-52" w:right="-336"/>
              <w:contextualSpacing/>
            </w:pPr>
          </w:p>
          <w:p w:rsidRPr="007425D2" w:rsidR="00AA6795" w:rsidP="00726054" w:rsidRDefault="00AA6795" w14:paraId="6D73A4C6" w14:textId="0704529C">
            <w:pPr>
              <w:ind w:left="-52" w:right="-336"/>
              <w:contextualSpacing/>
            </w:pPr>
          </w:p>
        </w:tc>
      </w:tr>
      <w:tr w:rsidRPr="007425D2" w:rsidR="00AA6795" w:rsidTr="00726054" w14:paraId="26C928B9" w14:textId="77777777">
        <w:tc>
          <w:tcPr>
            <w:tcW w:w="1701" w:type="dxa"/>
          </w:tcPr>
          <w:p w:rsidRPr="007425D2" w:rsidR="00AA6795" w:rsidP="00726054" w:rsidRDefault="00AA6795" w14:paraId="2029A3BC" w14:textId="77777777">
            <w:pPr>
              <w:contextualSpacing/>
              <w:rPr>
                <w:b/>
              </w:rPr>
            </w:pPr>
          </w:p>
        </w:tc>
        <w:tc>
          <w:tcPr>
            <w:tcW w:w="6521" w:type="dxa"/>
          </w:tcPr>
          <w:p w:rsidR="00AA6795" w:rsidP="00726054" w:rsidRDefault="00AA6795" w14:paraId="787B21B6" w14:textId="77777777">
            <w:pPr>
              <w:ind w:left="-52"/>
              <w:contextualSpacing/>
            </w:pPr>
          </w:p>
        </w:tc>
      </w:tr>
      <w:tr w:rsidRPr="007425D2" w:rsidR="00326F5F" w:rsidTr="00726054" w14:paraId="6BE95774" w14:textId="77777777">
        <w:tc>
          <w:tcPr>
            <w:tcW w:w="1701" w:type="dxa"/>
          </w:tcPr>
          <w:p w:rsidRPr="007425D2" w:rsidR="00326F5F" w:rsidP="00726054" w:rsidRDefault="00326F5F" w14:paraId="790040DB" w14:textId="77777777">
            <w:pPr>
              <w:contextualSpacing/>
              <w:rPr>
                <w:b/>
              </w:rPr>
            </w:pPr>
            <w:r>
              <w:rPr>
                <w:b/>
              </w:rPr>
              <w:t xml:space="preserve">Referentiedocumenten </w:t>
            </w:r>
          </w:p>
        </w:tc>
        <w:tc>
          <w:tcPr>
            <w:tcW w:w="6521" w:type="dxa"/>
          </w:tcPr>
          <w:p w:rsidRPr="007425D2" w:rsidR="00326F5F" w:rsidP="00726054" w:rsidRDefault="00AA6795" w14:paraId="19C514B0" w14:textId="1027D77C">
            <w:pPr>
              <w:ind w:left="-52"/>
              <w:contextualSpacing/>
            </w:pPr>
            <w:r>
              <w:t xml:space="preserve">COM(2022) 547 </w:t>
            </w:r>
            <w:proofErr w:type="spellStart"/>
            <w:r>
              <w:t>final</w:t>
            </w:r>
            <w:proofErr w:type="spellEnd"/>
          </w:p>
          <w:p w:rsidRPr="007425D2" w:rsidR="00326F5F" w:rsidP="00726054" w:rsidRDefault="00326F5F" w14:paraId="38B7529E" w14:textId="24AE0806">
            <w:pPr>
              <w:ind w:left="-52"/>
              <w:contextualSpacing/>
            </w:pPr>
            <w:r>
              <w:t>EESC-2022-05991-00-00-AC</w:t>
            </w:r>
          </w:p>
        </w:tc>
      </w:tr>
    </w:tbl>
    <w:p w:rsidRPr="007425D2" w:rsidR="00326F5F" w:rsidP="00326F5F" w:rsidRDefault="00326F5F" w14:paraId="71CCF818" w14:textId="77777777">
      <w:pPr>
        <w:spacing w:line="240" w:lineRule="auto"/>
        <w:ind w:left="-142" w:firstLine="284"/>
        <w:contextualSpacing/>
        <w:rPr>
          <w:b/>
        </w:rPr>
      </w:pPr>
    </w:p>
    <w:p w:rsidRPr="007425D2" w:rsidR="00326F5F" w:rsidP="00326F5F" w:rsidRDefault="00326F5F" w14:paraId="5F56B3C4" w14:textId="77777777">
      <w:pPr>
        <w:spacing w:line="240" w:lineRule="auto"/>
        <w:contextualSpacing/>
        <w:rPr>
          <w:b/>
        </w:rPr>
      </w:pPr>
      <w:r>
        <w:rPr>
          <w:b/>
        </w:rPr>
        <w:t>Hoofdpunten</w:t>
      </w:r>
    </w:p>
    <w:p w:rsidRPr="007425D2" w:rsidR="00326F5F" w:rsidP="00326F5F" w:rsidRDefault="00326F5F" w14:paraId="1C3B5A92" w14:textId="77777777">
      <w:pPr>
        <w:contextualSpacing/>
      </w:pPr>
    </w:p>
    <w:p w:rsidRPr="007425D2" w:rsidR="00326F5F" w:rsidP="00326F5F" w:rsidRDefault="00326F5F" w14:paraId="2C0E49E3" w14:textId="77777777">
      <w:pPr>
        <w:spacing w:line="240" w:lineRule="auto"/>
        <w:contextualSpacing/>
        <w:rPr>
          <w:bCs/>
        </w:rPr>
      </w:pPr>
      <w:r>
        <w:t>Het EESC:</w:t>
      </w:r>
    </w:p>
    <w:p w:rsidRPr="00A6689B" w:rsidR="00326F5F" w:rsidP="00326F5F" w:rsidRDefault="00326F5F" w14:paraId="3B3561CE" w14:textId="77777777">
      <w:pPr>
        <w:rPr>
          <w:bCs/>
          <w:iCs/>
        </w:rPr>
      </w:pPr>
    </w:p>
    <w:p w:rsidRPr="007425D2" w:rsidR="00326F5F" w:rsidP="00326F5F" w:rsidRDefault="00AA6795" w14:paraId="09F5FB99" w14:textId="755ADD6F">
      <w:pPr>
        <w:numPr>
          <w:ilvl w:val="0"/>
          <w:numId w:val="3"/>
        </w:numPr>
        <w:ind w:left="357" w:hanging="357"/>
        <w:contextualSpacing/>
      </w:pPr>
      <w:r>
        <w:t xml:space="preserve">is van mening dat de </w:t>
      </w:r>
      <w:r>
        <w:rPr>
          <w:b/>
          <w:bCs/>
        </w:rPr>
        <w:t>centrale en actieve rol van de burgers</w:t>
      </w:r>
      <w:r>
        <w:t xml:space="preserve">, die in het middelpunt van het beleid zouden moeten staan, zowel in het document als in de bijlagen onvoldoende in aanmerking wordt genomen. De </w:t>
      </w:r>
      <w:r>
        <w:rPr>
          <w:b/>
          <w:bCs/>
        </w:rPr>
        <w:t xml:space="preserve">burgers moeten centraal staan in de energie-unie </w:t>
      </w:r>
      <w:r>
        <w:t xml:space="preserve">door hen in de markt te integreren en hen tot echte </w:t>
      </w:r>
      <w:r>
        <w:rPr>
          <w:b/>
          <w:bCs/>
        </w:rPr>
        <w:t>“</w:t>
      </w:r>
      <w:proofErr w:type="spellStart"/>
      <w:r>
        <w:rPr>
          <w:b/>
          <w:bCs/>
        </w:rPr>
        <w:t>prosumenten</w:t>
      </w:r>
      <w:proofErr w:type="spellEnd"/>
      <w:r>
        <w:rPr>
          <w:b/>
          <w:bCs/>
        </w:rPr>
        <w:t>”</w:t>
      </w:r>
      <w:r>
        <w:t xml:space="preserve"> te maken;</w:t>
      </w:r>
    </w:p>
    <w:p w:rsidR="00326F5F" w:rsidP="00326F5F" w:rsidRDefault="00AA6795" w14:paraId="76A2F7A4" w14:textId="1C0D01C4">
      <w:pPr>
        <w:numPr>
          <w:ilvl w:val="0"/>
          <w:numId w:val="3"/>
        </w:numPr>
        <w:ind w:left="357" w:hanging="357"/>
        <w:contextualSpacing/>
      </w:pPr>
      <w:r>
        <w:t xml:space="preserve">onderstreept het </w:t>
      </w:r>
      <w:r>
        <w:rPr>
          <w:b/>
          <w:bCs/>
        </w:rPr>
        <w:t>gebrek aan duidelijke Europese coördinatie tijdens de energiecrisis</w:t>
      </w:r>
      <w:r>
        <w:t xml:space="preserve"> en </w:t>
      </w:r>
      <w:r>
        <w:rPr>
          <w:b/>
          <w:bCs/>
        </w:rPr>
        <w:t>pleit</w:t>
      </w:r>
      <w:r>
        <w:t xml:space="preserve">, als onderdeel van de respons hierop, </w:t>
      </w:r>
      <w:r>
        <w:rPr>
          <w:b/>
          <w:bCs/>
        </w:rPr>
        <w:t>voor de invoering van een op het SURE-model gebaseerd instrument</w:t>
      </w:r>
      <w:r>
        <w:t xml:space="preserve"> ter ondersteuning van werknemers en bedrijven in moeilijkheden;</w:t>
      </w:r>
    </w:p>
    <w:p w:rsidRPr="007425D2" w:rsidR="00AA6795" w:rsidP="00326F5F" w:rsidRDefault="00AA6795" w14:paraId="3A09717A" w14:textId="62E21E95">
      <w:pPr>
        <w:numPr>
          <w:ilvl w:val="0"/>
          <w:numId w:val="3"/>
        </w:numPr>
        <w:ind w:left="357" w:hanging="357"/>
        <w:contextualSpacing/>
      </w:pPr>
      <w:r>
        <w:t xml:space="preserve">betreurt dat twee kwesties in het verslag </w:t>
      </w:r>
      <w:r>
        <w:rPr>
          <w:b/>
          <w:bCs/>
        </w:rPr>
        <w:t>niet naar behoren in aanmerking worden genomen</w:t>
      </w:r>
      <w:r>
        <w:t xml:space="preserve">: de </w:t>
      </w:r>
      <w:r>
        <w:rPr>
          <w:b/>
          <w:bCs/>
        </w:rPr>
        <w:t>“strategische autonomie op energiegebied”</w:t>
      </w:r>
      <w:r>
        <w:t xml:space="preserve">, die op de achtergrond blijft, omdat de aandacht uitsluitend gaat naar onafhankelijkheid van de invoer van energie uit Rusland, en </w:t>
      </w:r>
      <w:r>
        <w:rPr>
          <w:b/>
          <w:bCs/>
        </w:rPr>
        <w:t>het belang van een alomvattend beleid op het gebied van werkgelegenheid</w:t>
      </w:r>
      <w:r>
        <w:t>, vaardigheden en sociale zaken.</w:t>
      </w:r>
    </w:p>
    <w:p w:rsidRPr="00133EE7" w:rsidR="00326F5F" w:rsidP="00326F5F" w:rsidRDefault="00326F5F" w14:paraId="65034C3B"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7425D2" w:rsidR="00326F5F" w:rsidTr="00726054" w14:paraId="31C5C881" w14:textId="77777777">
        <w:tc>
          <w:tcPr>
            <w:tcW w:w="1418" w:type="dxa"/>
          </w:tcPr>
          <w:p w:rsidRPr="007425D2" w:rsidR="00326F5F" w:rsidP="00726054" w:rsidRDefault="00326F5F" w14:paraId="4A9064CD" w14:textId="77777777">
            <w:pPr>
              <w:contextualSpacing/>
              <w:rPr>
                <w:i/>
              </w:rPr>
            </w:pPr>
            <w:bookmarkStart w:name="_Hlk130285139" w:id="32"/>
            <w:r>
              <w:rPr>
                <w:b/>
                <w:i/>
              </w:rPr>
              <w:t>Contactpersoon</w:t>
            </w:r>
          </w:p>
        </w:tc>
        <w:tc>
          <w:tcPr>
            <w:tcW w:w="5670" w:type="dxa"/>
          </w:tcPr>
          <w:p w:rsidRPr="007425D2" w:rsidR="00326F5F" w:rsidP="00726054" w:rsidRDefault="00AA6795" w14:paraId="2077DF7F" w14:textId="0F595681">
            <w:pPr>
              <w:contextualSpacing/>
              <w:rPr>
                <w:i/>
              </w:rPr>
            </w:pPr>
            <w:proofErr w:type="spellStart"/>
            <w:r>
              <w:rPr>
                <w:i/>
              </w:rPr>
              <w:t>Giorgia</w:t>
            </w:r>
            <w:proofErr w:type="spellEnd"/>
            <w:r>
              <w:rPr>
                <w:i/>
              </w:rPr>
              <w:t xml:space="preserve"> </w:t>
            </w:r>
            <w:proofErr w:type="spellStart"/>
            <w:r>
              <w:rPr>
                <w:i/>
              </w:rPr>
              <w:t>Bordignon</w:t>
            </w:r>
            <w:proofErr w:type="spellEnd"/>
          </w:p>
        </w:tc>
      </w:tr>
      <w:tr w:rsidRPr="007425D2" w:rsidR="00326F5F" w:rsidTr="00726054" w14:paraId="76B4F76E" w14:textId="77777777">
        <w:tc>
          <w:tcPr>
            <w:tcW w:w="1418" w:type="dxa"/>
          </w:tcPr>
          <w:p w:rsidRPr="007425D2" w:rsidR="00326F5F" w:rsidP="00726054" w:rsidRDefault="00326F5F" w14:paraId="0BA9CDA4" w14:textId="77777777">
            <w:pPr>
              <w:ind w:left="601"/>
              <w:contextualSpacing/>
              <w:rPr>
                <w:i/>
              </w:rPr>
            </w:pPr>
            <w:r>
              <w:rPr>
                <w:i/>
              </w:rPr>
              <w:t>Tel.</w:t>
            </w:r>
          </w:p>
        </w:tc>
        <w:tc>
          <w:tcPr>
            <w:tcW w:w="5670" w:type="dxa"/>
          </w:tcPr>
          <w:p w:rsidRPr="007425D2" w:rsidR="00326F5F" w:rsidP="00726054" w:rsidRDefault="00326F5F" w14:paraId="0C42B8B7" w14:textId="633C9B70">
            <w:pPr>
              <w:contextualSpacing/>
              <w:rPr>
                <w:i/>
              </w:rPr>
            </w:pPr>
            <w:r>
              <w:rPr>
                <w:i/>
              </w:rPr>
              <w:t>00 32 2 546 85 35</w:t>
            </w:r>
          </w:p>
        </w:tc>
      </w:tr>
      <w:tr w:rsidRPr="007425D2" w:rsidR="00326F5F" w:rsidTr="00AA6795" w14:paraId="4D4929D6" w14:textId="77777777">
        <w:trPr>
          <w:trHeight w:val="74"/>
        </w:trPr>
        <w:tc>
          <w:tcPr>
            <w:tcW w:w="1418" w:type="dxa"/>
          </w:tcPr>
          <w:p w:rsidRPr="007425D2" w:rsidR="00326F5F" w:rsidP="00726054" w:rsidRDefault="00326F5F" w14:paraId="17852495" w14:textId="77777777">
            <w:pPr>
              <w:ind w:left="601"/>
              <w:contextualSpacing/>
              <w:rPr>
                <w:i/>
              </w:rPr>
            </w:pPr>
            <w:r>
              <w:rPr>
                <w:i/>
              </w:rPr>
              <w:t>E-mail</w:t>
            </w:r>
          </w:p>
        </w:tc>
        <w:tc>
          <w:tcPr>
            <w:tcW w:w="5670" w:type="dxa"/>
          </w:tcPr>
          <w:p w:rsidRPr="007425D2" w:rsidR="00326F5F" w:rsidP="00726054" w:rsidRDefault="003D1DE5" w14:paraId="69D93813" w14:textId="466C52B0">
            <w:pPr>
              <w:contextualSpacing/>
              <w:rPr>
                <w:i/>
                <w:iCs/>
              </w:rPr>
            </w:pPr>
            <w:hyperlink w:history="1" r:id="rId34">
              <w:r w:rsidR="00F31F11">
                <w:rPr>
                  <w:rStyle w:val="Hyperlink"/>
                  <w:i/>
                </w:rPr>
                <w:t>Giorgiaandrea.Bordignon@eesc.europa.eu</w:t>
              </w:r>
            </w:hyperlink>
          </w:p>
        </w:tc>
      </w:tr>
    </w:tbl>
    <w:p w:rsidRPr="00326F5F" w:rsidR="00326F5F" w:rsidP="00326F5F" w:rsidRDefault="00326F5F" w14:paraId="7AF9ED36" w14:textId="77777777"/>
    <w:bookmarkEnd w:id="32"/>
    <w:p w:rsidR="0044618A" w:rsidRDefault="0044618A" w14:paraId="61DFB908" w14:textId="225C79D8">
      <w:pPr>
        <w:spacing w:after="160" w:line="259" w:lineRule="auto"/>
        <w:jc w:val="left"/>
      </w:pPr>
      <w:r>
        <w:br w:type="page"/>
      </w:r>
    </w:p>
    <w:p w:rsidR="00326F5F" w:rsidP="00FC2BE8" w:rsidRDefault="00326F5F" w14:paraId="50BB20DE" w14:textId="77777777">
      <w:pPr>
        <w:overflowPunct w:val="0"/>
        <w:autoSpaceDE w:val="0"/>
        <w:autoSpaceDN w:val="0"/>
        <w:adjustRightInd w:val="0"/>
        <w:jc w:val="center"/>
        <w:textAlignment w:val="baseline"/>
        <w:rPr>
          <w:lang w:val="nl-BE"/>
        </w:rPr>
      </w:pPr>
    </w:p>
    <w:p w:rsidRPr="007425D2" w:rsidR="00AA6795" w:rsidP="00AA6795" w:rsidRDefault="00AA6795" w14:paraId="3E86DD44" w14:textId="4F215FD1">
      <w:pPr>
        <w:keepNext/>
        <w:numPr>
          <w:ilvl w:val="0"/>
          <w:numId w:val="2"/>
        </w:numPr>
        <w:ind w:left="567" w:hanging="567"/>
        <w:contextualSpacing/>
        <w:rPr>
          <w:b/>
          <w:i/>
          <w:sz w:val="28"/>
          <w:szCs w:val="28"/>
        </w:rPr>
      </w:pPr>
      <w:bookmarkStart w:name="_Hlk130284866" w:id="33"/>
      <w:r>
        <w:rPr>
          <w:b/>
          <w:i/>
          <w:sz w:val="28"/>
        </w:rPr>
        <w:t>Houten constructies voor CO</w:t>
      </w:r>
      <w:r>
        <w:rPr>
          <w:b/>
          <w:i/>
          <w:sz w:val="28"/>
          <w:vertAlign w:val="subscript"/>
        </w:rPr>
        <w:t>2</w:t>
      </w:r>
      <w:r>
        <w:rPr>
          <w:b/>
          <w:i/>
          <w:sz w:val="28"/>
        </w:rPr>
        <w:t>-reductie in de bouwsector</w:t>
      </w:r>
    </w:p>
    <w:p w:rsidRPr="007425D2" w:rsidR="00AA6795" w:rsidP="00AA6795" w:rsidRDefault="00AA6795" w14:paraId="56E35171"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521"/>
      </w:tblGrid>
      <w:tr w:rsidRPr="007425D2" w:rsidR="00AA6795" w:rsidTr="00726054" w14:paraId="0BD0E1DA" w14:textId="77777777">
        <w:trPr>
          <w:cantSplit/>
          <w:trHeight w:val="284" w:hRule="exact"/>
        </w:trPr>
        <w:tc>
          <w:tcPr>
            <w:tcW w:w="1701" w:type="dxa"/>
          </w:tcPr>
          <w:p w:rsidRPr="007425D2" w:rsidR="00AA6795" w:rsidP="00726054" w:rsidRDefault="00AA6795" w14:paraId="69B850C9" w14:textId="77777777">
            <w:pPr>
              <w:spacing w:line="240" w:lineRule="auto"/>
              <w:ind w:left="-142" w:firstLine="142"/>
              <w:contextualSpacing/>
              <w:rPr>
                <w:b/>
              </w:rPr>
            </w:pPr>
            <w:r>
              <w:rPr>
                <w:b/>
              </w:rPr>
              <w:t>Rapporteur</w:t>
            </w:r>
          </w:p>
          <w:p w:rsidRPr="007425D2" w:rsidR="00AA6795" w:rsidP="00726054" w:rsidRDefault="00AA6795" w14:paraId="5F002F12" w14:textId="77777777">
            <w:pPr>
              <w:keepNext/>
              <w:contextualSpacing/>
              <w:rPr>
                <w:b/>
              </w:rPr>
            </w:pPr>
          </w:p>
        </w:tc>
        <w:tc>
          <w:tcPr>
            <w:tcW w:w="6521" w:type="dxa"/>
          </w:tcPr>
          <w:p w:rsidRPr="007425D2" w:rsidR="00AA6795" w:rsidP="00726054" w:rsidRDefault="00AA6795" w14:paraId="251AAFA4" w14:textId="148135F3">
            <w:pPr>
              <w:ind w:left="-52"/>
              <w:contextualSpacing/>
            </w:pPr>
            <w:r>
              <w:t>Rudolf KOLBE (groep Maatschappelijke Organisaties – AT)</w:t>
            </w:r>
          </w:p>
        </w:tc>
      </w:tr>
      <w:tr w:rsidRPr="007425D2" w:rsidR="00AA6795" w:rsidTr="00726054" w14:paraId="742702F5" w14:textId="77777777">
        <w:trPr>
          <w:cantSplit/>
          <w:trHeight w:val="567" w:hRule="exact"/>
        </w:trPr>
        <w:tc>
          <w:tcPr>
            <w:tcW w:w="1701" w:type="dxa"/>
          </w:tcPr>
          <w:p w:rsidRPr="007425D2" w:rsidR="00AA6795" w:rsidP="00726054" w:rsidRDefault="00AA6795" w14:paraId="67750F4E" w14:textId="77777777">
            <w:pPr>
              <w:contextualSpacing/>
              <w:rPr>
                <w:b/>
              </w:rPr>
            </w:pPr>
            <w:proofErr w:type="spellStart"/>
            <w:r>
              <w:rPr>
                <w:b/>
              </w:rPr>
              <w:t>Corapporteur</w:t>
            </w:r>
            <w:proofErr w:type="spellEnd"/>
          </w:p>
        </w:tc>
        <w:tc>
          <w:tcPr>
            <w:tcW w:w="6521" w:type="dxa"/>
          </w:tcPr>
          <w:p w:rsidRPr="007425D2" w:rsidR="00AA6795" w:rsidP="00726054" w:rsidRDefault="00AA6795" w14:paraId="10D91C80" w14:textId="4DEBE497">
            <w:pPr>
              <w:ind w:left="-52" w:right="-336"/>
              <w:contextualSpacing/>
            </w:pPr>
            <w:r>
              <w:t>Sam HÄGGLUND (groep Werknemers – SE)</w:t>
            </w:r>
          </w:p>
        </w:tc>
      </w:tr>
      <w:tr w:rsidRPr="007425D2" w:rsidR="00AA6795" w:rsidTr="00726054" w14:paraId="77010C72" w14:textId="77777777">
        <w:tc>
          <w:tcPr>
            <w:tcW w:w="1701" w:type="dxa"/>
          </w:tcPr>
          <w:p w:rsidRPr="007425D2" w:rsidR="00AA6795" w:rsidP="00726054" w:rsidRDefault="00AA6795" w14:paraId="17A97481" w14:textId="77777777">
            <w:pPr>
              <w:contextualSpacing/>
              <w:rPr>
                <w:b/>
              </w:rPr>
            </w:pPr>
            <w:r>
              <w:rPr>
                <w:b/>
              </w:rPr>
              <w:t xml:space="preserve">Referentiedocumenten </w:t>
            </w:r>
          </w:p>
        </w:tc>
        <w:tc>
          <w:tcPr>
            <w:tcW w:w="6521" w:type="dxa"/>
          </w:tcPr>
          <w:p w:rsidRPr="007425D2" w:rsidR="00AA6795" w:rsidP="00726054" w:rsidRDefault="00AA6795" w14:paraId="5AE74A4F" w14:textId="3FED984A">
            <w:pPr>
              <w:ind w:left="-52"/>
              <w:contextualSpacing/>
            </w:pPr>
            <w:r>
              <w:t>Verkennend advies op verzoek van het Zweedse voorzitterschap</w:t>
            </w:r>
          </w:p>
          <w:p w:rsidRPr="007425D2" w:rsidR="00AA6795" w:rsidP="00726054" w:rsidRDefault="00AA6795" w14:paraId="761AA38B" w14:textId="1EF6A6BA">
            <w:pPr>
              <w:ind w:left="-52"/>
              <w:contextualSpacing/>
            </w:pPr>
            <w:r>
              <w:t>EESC-2022-06006-00-00-AC</w:t>
            </w:r>
          </w:p>
        </w:tc>
      </w:tr>
    </w:tbl>
    <w:p w:rsidRPr="007425D2" w:rsidR="00AA6795" w:rsidP="00AA6795" w:rsidRDefault="00AA6795" w14:paraId="7E47627A" w14:textId="77777777">
      <w:pPr>
        <w:spacing w:line="240" w:lineRule="auto"/>
        <w:ind w:left="-142" w:firstLine="284"/>
        <w:contextualSpacing/>
        <w:rPr>
          <w:b/>
        </w:rPr>
      </w:pPr>
    </w:p>
    <w:p w:rsidRPr="007425D2" w:rsidR="00AA6795" w:rsidP="00AA6795" w:rsidRDefault="00AA6795" w14:paraId="1399E646" w14:textId="77777777">
      <w:pPr>
        <w:spacing w:line="240" w:lineRule="auto"/>
        <w:contextualSpacing/>
        <w:rPr>
          <w:b/>
        </w:rPr>
      </w:pPr>
      <w:r>
        <w:rPr>
          <w:b/>
        </w:rPr>
        <w:t>Hoofdpunten</w:t>
      </w:r>
    </w:p>
    <w:p w:rsidRPr="007425D2" w:rsidR="00AA6795" w:rsidP="00AA6795" w:rsidRDefault="00AA6795" w14:paraId="1223B9F7" w14:textId="77777777">
      <w:pPr>
        <w:contextualSpacing/>
      </w:pPr>
    </w:p>
    <w:p w:rsidRPr="007425D2" w:rsidR="00AA6795" w:rsidP="00AA6795" w:rsidRDefault="00AA6795" w14:paraId="7FA1E47C" w14:textId="7CB39B3D">
      <w:pPr>
        <w:spacing w:line="240" w:lineRule="auto"/>
        <w:contextualSpacing/>
        <w:rPr>
          <w:bCs/>
        </w:rPr>
      </w:pPr>
      <w:r>
        <w:t>Het EESC:</w:t>
      </w:r>
    </w:p>
    <w:p w:rsidRPr="00A6689B" w:rsidR="00AA6795" w:rsidP="00AA6795" w:rsidRDefault="00AA6795" w14:paraId="00C76C40" w14:textId="77777777">
      <w:pPr>
        <w:rPr>
          <w:bCs/>
          <w:iCs/>
        </w:rPr>
      </w:pPr>
    </w:p>
    <w:p w:rsidRPr="00AA6795" w:rsidR="00AA6795" w:rsidP="00AA6795" w:rsidRDefault="00AA6795" w14:paraId="7D9088D2" w14:textId="5322957E">
      <w:pPr>
        <w:numPr>
          <w:ilvl w:val="0"/>
          <w:numId w:val="3"/>
        </w:numPr>
        <w:ind w:left="357" w:hanging="357"/>
        <w:contextualSpacing/>
      </w:pPr>
      <w:r>
        <w:t>vindt dat een groter gebruik van hout in de bouw, met name in openbare gebouwen, essentieel is om de koolstofemissies te verminderen en moet worden gestimuleerd door actief en verantwoord bosbeheer in de EU;</w:t>
      </w:r>
    </w:p>
    <w:p w:rsidRPr="00AA6795" w:rsidR="00AA6795" w:rsidP="00AA6795" w:rsidRDefault="00AA6795" w14:paraId="70CDEAD9" w14:textId="73B4485C">
      <w:pPr>
        <w:numPr>
          <w:ilvl w:val="0"/>
          <w:numId w:val="3"/>
        </w:numPr>
        <w:ind w:left="357" w:hanging="357"/>
        <w:contextualSpacing/>
      </w:pPr>
      <w:r>
        <w:t>is van mening dat op kwaliteit gebaseerde aanbestedingsprocedures, die ook ruimte bieden voor innovatieve oplossingen en waar duurzaamheids- en levenscycluscriteria deel van uitmaken, een voorwaarde zijn voor de verwezenlijking van de klimaatdoelstellingen en de bevordering van de houtbouw;</w:t>
      </w:r>
    </w:p>
    <w:p w:rsidRPr="00AA6795" w:rsidR="00AA6795" w:rsidP="00AA6795" w:rsidRDefault="00AA6795" w14:paraId="6648EAE1" w14:textId="18835DB1">
      <w:pPr>
        <w:numPr>
          <w:ilvl w:val="0"/>
          <w:numId w:val="3"/>
        </w:numPr>
        <w:ind w:left="357" w:hanging="357"/>
        <w:contextualSpacing/>
      </w:pPr>
      <w:r>
        <w:t>onderstreept dat het van groot belang is om minimumnormen vast te stellen voor de totale koolstofuitstoot van gebouwen en de bijbehorende verplichte koolstofrapportage in de gehele bouwsector;</w:t>
      </w:r>
    </w:p>
    <w:p w:rsidRPr="007425D2" w:rsidR="00AA6795" w:rsidP="00AA6795" w:rsidRDefault="00AA6795" w14:paraId="02AE1E5B" w14:textId="4A4771B0">
      <w:pPr>
        <w:numPr>
          <w:ilvl w:val="0"/>
          <w:numId w:val="3"/>
        </w:numPr>
        <w:ind w:left="357" w:hanging="357"/>
        <w:contextualSpacing/>
      </w:pPr>
      <w:r>
        <w:t>stelt voor om na te gaan of de uit formele, wettelijke en technische eisen voortvloeiende belemmeringen voor houtbouw noodzakelijk zijn voor de kwaliteit van bouwprojecten.</w:t>
      </w:r>
    </w:p>
    <w:p w:rsidRPr="00133EE7" w:rsidR="00AA6795" w:rsidP="00AA6795" w:rsidRDefault="00AA6795" w14:paraId="060FE390"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7425D2" w:rsidR="00AA6795" w:rsidTr="00726054" w14:paraId="0EEB5ADC" w14:textId="77777777">
        <w:tc>
          <w:tcPr>
            <w:tcW w:w="1418" w:type="dxa"/>
          </w:tcPr>
          <w:p w:rsidRPr="007425D2" w:rsidR="00AA6795" w:rsidP="00726054" w:rsidRDefault="00AA6795" w14:paraId="2A99CA2E" w14:textId="77777777">
            <w:pPr>
              <w:contextualSpacing/>
              <w:rPr>
                <w:i/>
              </w:rPr>
            </w:pPr>
            <w:r>
              <w:rPr>
                <w:b/>
                <w:i/>
              </w:rPr>
              <w:t>Contactpersoon</w:t>
            </w:r>
          </w:p>
        </w:tc>
        <w:tc>
          <w:tcPr>
            <w:tcW w:w="5670" w:type="dxa"/>
          </w:tcPr>
          <w:p w:rsidRPr="007425D2" w:rsidR="00AA6795" w:rsidP="00726054" w:rsidRDefault="00AA6795" w14:paraId="68EE0965" w14:textId="7D6A1586">
            <w:pPr>
              <w:contextualSpacing/>
              <w:rPr>
                <w:i/>
              </w:rPr>
            </w:pPr>
            <w:proofErr w:type="spellStart"/>
            <w:r>
              <w:rPr>
                <w:i/>
              </w:rPr>
              <w:t>Ágota</w:t>
            </w:r>
            <w:proofErr w:type="spellEnd"/>
            <w:r>
              <w:rPr>
                <w:i/>
              </w:rPr>
              <w:t xml:space="preserve"> </w:t>
            </w:r>
            <w:proofErr w:type="spellStart"/>
            <w:r>
              <w:rPr>
                <w:i/>
              </w:rPr>
              <w:t>Bazsik</w:t>
            </w:r>
            <w:proofErr w:type="spellEnd"/>
          </w:p>
        </w:tc>
      </w:tr>
      <w:tr w:rsidRPr="007425D2" w:rsidR="00AA6795" w:rsidTr="00726054" w14:paraId="29D1A7DE" w14:textId="77777777">
        <w:tc>
          <w:tcPr>
            <w:tcW w:w="1418" w:type="dxa"/>
          </w:tcPr>
          <w:p w:rsidRPr="007425D2" w:rsidR="00AA6795" w:rsidP="00726054" w:rsidRDefault="00AA6795" w14:paraId="7609645D" w14:textId="77777777">
            <w:pPr>
              <w:ind w:left="601"/>
              <w:contextualSpacing/>
              <w:rPr>
                <w:i/>
              </w:rPr>
            </w:pPr>
            <w:r>
              <w:rPr>
                <w:i/>
              </w:rPr>
              <w:t>Tel.</w:t>
            </w:r>
          </w:p>
        </w:tc>
        <w:tc>
          <w:tcPr>
            <w:tcW w:w="5670" w:type="dxa"/>
          </w:tcPr>
          <w:p w:rsidRPr="007425D2" w:rsidR="00AA6795" w:rsidP="00726054" w:rsidRDefault="00AA6795" w14:paraId="615C37B3" w14:textId="7DD5FE18">
            <w:pPr>
              <w:contextualSpacing/>
              <w:rPr>
                <w:i/>
              </w:rPr>
            </w:pPr>
            <w:r>
              <w:rPr>
                <w:i/>
              </w:rPr>
              <w:t>00 32 2 546 85 35</w:t>
            </w:r>
          </w:p>
        </w:tc>
      </w:tr>
      <w:tr w:rsidRPr="007425D2" w:rsidR="00AA6795" w:rsidTr="00726054" w14:paraId="3664F303" w14:textId="77777777">
        <w:tc>
          <w:tcPr>
            <w:tcW w:w="1418" w:type="dxa"/>
          </w:tcPr>
          <w:p w:rsidRPr="007425D2" w:rsidR="00AA6795" w:rsidP="00726054" w:rsidRDefault="00AA6795" w14:paraId="6B21C151" w14:textId="77777777">
            <w:pPr>
              <w:ind w:left="601"/>
              <w:contextualSpacing/>
              <w:rPr>
                <w:i/>
              </w:rPr>
            </w:pPr>
            <w:r>
              <w:rPr>
                <w:i/>
              </w:rPr>
              <w:t>E-mail</w:t>
            </w:r>
          </w:p>
        </w:tc>
        <w:tc>
          <w:tcPr>
            <w:tcW w:w="5670" w:type="dxa"/>
          </w:tcPr>
          <w:p w:rsidRPr="007425D2" w:rsidR="00AA6795" w:rsidP="00726054" w:rsidRDefault="003D1DE5" w14:paraId="0902402F" w14:textId="273ADDED">
            <w:pPr>
              <w:contextualSpacing/>
              <w:rPr>
                <w:i/>
                <w:iCs/>
              </w:rPr>
            </w:pPr>
            <w:hyperlink w:history="1" r:id="rId35">
              <w:r w:rsidR="00F31F11">
                <w:rPr>
                  <w:rStyle w:val="Hyperlink"/>
                  <w:i/>
                </w:rPr>
                <w:t>Agota.Bazsik@eesc.europa.eu</w:t>
              </w:r>
            </w:hyperlink>
          </w:p>
        </w:tc>
      </w:tr>
      <w:bookmarkEnd w:id="33"/>
    </w:tbl>
    <w:p w:rsidR="00AA6795" w:rsidP="00AA6795" w:rsidRDefault="00AA6795" w14:paraId="6557D6A4" w14:textId="22E48E05">
      <w:pPr>
        <w:overflowPunct w:val="0"/>
        <w:autoSpaceDE w:val="0"/>
        <w:autoSpaceDN w:val="0"/>
        <w:adjustRightInd w:val="0"/>
        <w:jc w:val="left"/>
        <w:textAlignment w:val="baseline"/>
        <w:rPr>
          <w:lang w:val="nl-BE"/>
        </w:rPr>
      </w:pPr>
    </w:p>
    <w:p w:rsidR="0044618A" w:rsidRDefault="0044618A" w14:paraId="35291FFF" w14:textId="00CEC798">
      <w:pPr>
        <w:spacing w:after="160" w:line="259" w:lineRule="auto"/>
        <w:jc w:val="left"/>
      </w:pPr>
      <w:r>
        <w:br w:type="page"/>
      </w:r>
    </w:p>
    <w:p w:rsidRPr="007425D2" w:rsidR="00AA6795" w:rsidP="00AA6795" w:rsidRDefault="00AA6795" w14:paraId="512E08B4" w14:textId="62643DBE">
      <w:pPr>
        <w:keepNext/>
        <w:numPr>
          <w:ilvl w:val="0"/>
          <w:numId w:val="2"/>
        </w:numPr>
        <w:ind w:left="567" w:hanging="567"/>
        <w:contextualSpacing/>
        <w:rPr>
          <w:b/>
          <w:i/>
          <w:sz w:val="28"/>
          <w:szCs w:val="28"/>
        </w:rPr>
      </w:pPr>
      <w:r>
        <w:rPr>
          <w:b/>
          <w:i/>
          <w:sz w:val="28"/>
        </w:rPr>
        <w:lastRenderedPageBreak/>
        <w:t>Digitalisering van het energiesysteem – EU-actieplan</w:t>
      </w:r>
    </w:p>
    <w:p w:rsidRPr="007425D2" w:rsidR="00AA6795" w:rsidP="00AA6795" w:rsidRDefault="00AA6795" w14:paraId="6E10AFEA"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40"/>
        <w:gridCol w:w="6521"/>
      </w:tblGrid>
      <w:tr w:rsidRPr="007425D2" w:rsidR="00AA6795" w:rsidTr="00726054" w14:paraId="4999480A" w14:textId="77777777">
        <w:trPr>
          <w:cantSplit/>
          <w:trHeight w:val="284" w:hRule="exact"/>
        </w:trPr>
        <w:tc>
          <w:tcPr>
            <w:tcW w:w="1701" w:type="dxa"/>
          </w:tcPr>
          <w:p w:rsidRPr="007425D2" w:rsidR="00AA6795" w:rsidP="00726054" w:rsidRDefault="00AA6795" w14:paraId="11398BA3" w14:textId="77777777">
            <w:pPr>
              <w:spacing w:line="240" w:lineRule="auto"/>
              <w:ind w:left="-142" w:firstLine="142"/>
              <w:contextualSpacing/>
              <w:rPr>
                <w:b/>
              </w:rPr>
            </w:pPr>
            <w:r>
              <w:rPr>
                <w:b/>
              </w:rPr>
              <w:t>Rapporteur</w:t>
            </w:r>
          </w:p>
          <w:p w:rsidRPr="007425D2" w:rsidR="00AA6795" w:rsidP="00726054" w:rsidRDefault="00AA6795" w14:paraId="67AEA7C8" w14:textId="77777777">
            <w:pPr>
              <w:keepNext/>
              <w:contextualSpacing/>
              <w:rPr>
                <w:b/>
              </w:rPr>
            </w:pPr>
          </w:p>
        </w:tc>
        <w:tc>
          <w:tcPr>
            <w:tcW w:w="6521" w:type="dxa"/>
          </w:tcPr>
          <w:p w:rsidRPr="007425D2" w:rsidR="00AA6795" w:rsidP="00726054" w:rsidRDefault="00AA6795" w14:paraId="32678D02" w14:textId="242E0371">
            <w:pPr>
              <w:ind w:left="-52"/>
              <w:contextualSpacing/>
            </w:pPr>
            <w:r>
              <w:t>Thomas KATTNIG (groep Werknemers – AT)</w:t>
            </w:r>
          </w:p>
        </w:tc>
      </w:tr>
      <w:tr w:rsidRPr="007425D2" w:rsidR="00AA6795" w:rsidTr="00726054" w14:paraId="1DBE01C4" w14:textId="77777777">
        <w:trPr>
          <w:cantSplit/>
          <w:trHeight w:val="567" w:hRule="exact"/>
        </w:trPr>
        <w:tc>
          <w:tcPr>
            <w:tcW w:w="1701" w:type="dxa"/>
          </w:tcPr>
          <w:p w:rsidRPr="007425D2" w:rsidR="00AA6795" w:rsidP="00726054" w:rsidRDefault="00AA6795" w14:paraId="186D77F5" w14:textId="77777777">
            <w:pPr>
              <w:contextualSpacing/>
              <w:rPr>
                <w:b/>
              </w:rPr>
            </w:pPr>
            <w:proofErr w:type="spellStart"/>
            <w:r>
              <w:rPr>
                <w:b/>
              </w:rPr>
              <w:t>Corapporteur</w:t>
            </w:r>
            <w:proofErr w:type="spellEnd"/>
          </w:p>
        </w:tc>
        <w:tc>
          <w:tcPr>
            <w:tcW w:w="6521" w:type="dxa"/>
          </w:tcPr>
          <w:p w:rsidRPr="007425D2" w:rsidR="00AA6795" w:rsidP="00726054" w:rsidRDefault="00AA6795" w14:paraId="3A9FC10E" w14:textId="7E177776">
            <w:pPr>
              <w:ind w:left="-52" w:right="-336"/>
              <w:contextualSpacing/>
            </w:pPr>
            <w:r>
              <w:t>Zsolt KÜKEDI (groep Maatschappelijke organisaties – HU)</w:t>
            </w:r>
          </w:p>
        </w:tc>
      </w:tr>
      <w:tr w:rsidRPr="007425D2" w:rsidR="00AA6795" w:rsidTr="00726054" w14:paraId="2848A973" w14:textId="77777777">
        <w:tc>
          <w:tcPr>
            <w:tcW w:w="1701" w:type="dxa"/>
          </w:tcPr>
          <w:p w:rsidRPr="007425D2" w:rsidR="00AA6795" w:rsidP="00726054" w:rsidRDefault="00AA6795" w14:paraId="1D568137" w14:textId="77777777">
            <w:pPr>
              <w:contextualSpacing/>
              <w:rPr>
                <w:b/>
              </w:rPr>
            </w:pPr>
            <w:r>
              <w:rPr>
                <w:b/>
              </w:rPr>
              <w:t xml:space="preserve">Referentiedocumenten </w:t>
            </w:r>
          </w:p>
        </w:tc>
        <w:tc>
          <w:tcPr>
            <w:tcW w:w="6521" w:type="dxa"/>
          </w:tcPr>
          <w:p w:rsidRPr="007425D2" w:rsidR="00AA6795" w:rsidP="00726054" w:rsidRDefault="00AA6795" w14:paraId="1AA7D9A0" w14:textId="593C3C71">
            <w:pPr>
              <w:ind w:left="-52"/>
              <w:contextualSpacing/>
            </w:pPr>
            <w:r>
              <w:t xml:space="preserve">COM(2022) 552 </w:t>
            </w:r>
            <w:proofErr w:type="spellStart"/>
            <w:r>
              <w:t>final</w:t>
            </w:r>
            <w:proofErr w:type="spellEnd"/>
          </w:p>
          <w:p w:rsidRPr="007425D2" w:rsidR="00AA6795" w:rsidP="00726054" w:rsidRDefault="00AA6795" w14:paraId="34547CE8" w14:textId="5AE24DB6">
            <w:pPr>
              <w:ind w:left="-52"/>
              <w:contextualSpacing/>
            </w:pPr>
            <w:r>
              <w:t>EESC-2022-06280-00-00-AC</w:t>
            </w:r>
          </w:p>
        </w:tc>
      </w:tr>
    </w:tbl>
    <w:p w:rsidRPr="007425D2" w:rsidR="00AA6795" w:rsidP="00AA6795" w:rsidRDefault="00AA6795" w14:paraId="06995A1A" w14:textId="77777777">
      <w:pPr>
        <w:spacing w:line="240" w:lineRule="auto"/>
        <w:ind w:left="-142" w:firstLine="284"/>
        <w:contextualSpacing/>
        <w:rPr>
          <w:b/>
        </w:rPr>
      </w:pPr>
    </w:p>
    <w:p w:rsidRPr="007425D2" w:rsidR="00AA6795" w:rsidP="00AA6795" w:rsidRDefault="00AA6795" w14:paraId="44224933" w14:textId="77777777">
      <w:pPr>
        <w:spacing w:line="240" w:lineRule="auto"/>
        <w:contextualSpacing/>
        <w:rPr>
          <w:b/>
        </w:rPr>
      </w:pPr>
      <w:r>
        <w:rPr>
          <w:b/>
        </w:rPr>
        <w:t>Hoofdpunten</w:t>
      </w:r>
    </w:p>
    <w:p w:rsidRPr="007425D2" w:rsidR="00AA6795" w:rsidP="00AA6795" w:rsidRDefault="00AA6795" w14:paraId="725EF461" w14:textId="77777777">
      <w:pPr>
        <w:contextualSpacing/>
      </w:pPr>
    </w:p>
    <w:p w:rsidRPr="007425D2" w:rsidR="00AA6795" w:rsidP="00AA6795" w:rsidRDefault="00AA6795" w14:paraId="3FD218B0" w14:textId="77777777">
      <w:pPr>
        <w:spacing w:line="240" w:lineRule="auto"/>
        <w:contextualSpacing/>
        <w:rPr>
          <w:bCs/>
        </w:rPr>
      </w:pPr>
      <w:r>
        <w:t>Het EESC:</w:t>
      </w:r>
    </w:p>
    <w:p w:rsidRPr="00A6689B" w:rsidR="00AA6795" w:rsidP="00AA6795" w:rsidRDefault="00AA6795" w14:paraId="7A09DDB1" w14:textId="77777777">
      <w:pPr>
        <w:rPr>
          <w:bCs/>
          <w:iCs/>
        </w:rPr>
      </w:pPr>
    </w:p>
    <w:p w:rsidRPr="00AA6795" w:rsidR="00AA6795" w:rsidP="00AA6795" w:rsidRDefault="00AA6795" w14:paraId="678AD39F" w14:textId="0B07347F">
      <w:pPr>
        <w:numPr>
          <w:ilvl w:val="0"/>
          <w:numId w:val="3"/>
        </w:numPr>
        <w:ind w:left="357" w:hanging="357"/>
        <w:contextualSpacing/>
      </w:pPr>
      <w:r>
        <w:t>wijst op het verband tussen de energietransitie en de digitale transformatie en benadrukt de voordelen van digitalisering op het gebied van energiebesparing, vermindering van de energie-intensiteit en een beter beheer van de energie-infrastructuur;</w:t>
      </w:r>
    </w:p>
    <w:p w:rsidRPr="00AA6795" w:rsidR="00AA6795" w:rsidP="00AA6795" w:rsidRDefault="00AA6795" w14:paraId="53E57292" w14:textId="0F3DE68A">
      <w:pPr>
        <w:numPr>
          <w:ilvl w:val="0"/>
          <w:numId w:val="3"/>
        </w:numPr>
        <w:ind w:left="357" w:hanging="357"/>
        <w:contextualSpacing/>
      </w:pPr>
      <w:r>
        <w:t>onderstreept dat het belangrijk is de rol van actieve consumenten bij de digitalisering te versterken, hen aan te moedigen en het recht te geven zoveel mogelijk slimme oplossingen te gebruiken. De instrumenten moeten gebruiksvriendelijk zijn en gericht op kwetsbare groepen en personen met een handicap: als de sociale dimensie bij de uitvoering wordt verwaarloosd, dreigt de transformatie op maatschappelijke weerstand te stuiten en daardoor te mislukken;</w:t>
      </w:r>
    </w:p>
    <w:p w:rsidRPr="007425D2" w:rsidR="00AA6795" w:rsidP="00AA6795" w:rsidRDefault="00AA6795" w14:paraId="7345200D" w14:textId="4BB2973A">
      <w:pPr>
        <w:numPr>
          <w:ilvl w:val="0"/>
          <w:numId w:val="3"/>
        </w:numPr>
        <w:ind w:left="357" w:hanging="357"/>
        <w:contextualSpacing/>
      </w:pPr>
      <w:r>
        <w:t xml:space="preserve">benadrukt het risico dat nieuwe </w:t>
      </w:r>
      <w:proofErr w:type="spellStart"/>
      <w:r>
        <w:t>datagestuurde</w:t>
      </w:r>
      <w:proofErr w:type="spellEnd"/>
      <w:r>
        <w:t xml:space="preserve"> diensten en innovatieve technologische oplossingen niet snel genoeg worden doorgevoerd als er niet genoeg geschoolde werknemers zijn. De noodzakelijke arbeidsmarkt- en onderwijsmaatregelen vereisen voldoende financiële middelen en de ontwikkeling van een actieplan om een gecoördineerde aanpak te waarborgen.</w:t>
      </w:r>
    </w:p>
    <w:p w:rsidRPr="00133EE7" w:rsidR="00AA6795" w:rsidP="00AA6795" w:rsidRDefault="00AA6795" w14:paraId="3DEB83B7"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7"/>
        <w:gridCol w:w="5670"/>
      </w:tblGrid>
      <w:tr w:rsidRPr="007425D2" w:rsidR="00AA6795" w:rsidTr="00726054" w14:paraId="5CC01660" w14:textId="77777777">
        <w:tc>
          <w:tcPr>
            <w:tcW w:w="1418" w:type="dxa"/>
          </w:tcPr>
          <w:p w:rsidRPr="007425D2" w:rsidR="00AA6795" w:rsidP="00726054" w:rsidRDefault="00AA6795" w14:paraId="66A3AA7B" w14:textId="77777777">
            <w:pPr>
              <w:contextualSpacing/>
              <w:rPr>
                <w:i/>
              </w:rPr>
            </w:pPr>
            <w:r>
              <w:rPr>
                <w:b/>
                <w:i/>
              </w:rPr>
              <w:t>Contactpersoon</w:t>
            </w:r>
          </w:p>
        </w:tc>
        <w:tc>
          <w:tcPr>
            <w:tcW w:w="5670" w:type="dxa"/>
          </w:tcPr>
          <w:p w:rsidRPr="007425D2" w:rsidR="00AA6795" w:rsidP="00726054" w:rsidRDefault="00AA6795" w14:paraId="2FD014F0" w14:textId="77777777">
            <w:pPr>
              <w:contextualSpacing/>
              <w:rPr>
                <w:i/>
              </w:rPr>
            </w:pPr>
            <w:proofErr w:type="spellStart"/>
            <w:r>
              <w:rPr>
                <w:i/>
              </w:rPr>
              <w:t>Giorgia</w:t>
            </w:r>
            <w:proofErr w:type="spellEnd"/>
            <w:r>
              <w:rPr>
                <w:i/>
              </w:rPr>
              <w:t xml:space="preserve"> </w:t>
            </w:r>
            <w:proofErr w:type="spellStart"/>
            <w:r>
              <w:rPr>
                <w:i/>
              </w:rPr>
              <w:t>Bordignon</w:t>
            </w:r>
            <w:proofErr w:type="spellEnd"/>
          </w:p>
        </w:tc>
      </w:tr>
      <w:tr w:rsidRPr="007425D2" w:rsidR="00AA6795" w:rsidTr="00726054" w14:paraId="1A7DC064" w14:textId="77777777">
        <w:tc>
          <w:tcPr>
            <w:tcW w:w="1418" w:type="dxa"/>
          </w:tcPr>
          <w:p w:rsidRPr="007425D2" w:rsidR="00AA6795" w:rsidP="00726054" w:rsidRDefault="00AA6795" w14:paraId="50273CE3" w14:textId="77777777">
            <w:pPr>
              <w:ind w:left="601"/>
              <w:contextualSpacing/>
              <w:rPr>
                <w:i/>
              </w:rPr>
            </w:pPr>
            <w:r>
              <w:rPr>
                <w:i/>
              </w:rPr>
              <w:t>Tel.</w:t>
            </w:r>
          </w:p>
        </w:tc>
        <w:tc>
          <w:tcPr>
            <w:tcW w:w="5670" w:type="dxa"/>
          </w:tcPr>
          <w:p w:rsidRPr="007425D2" w:rsidR="00AA6795" w:rsidP="00726054" w:rsidRDefault="00AA6795" w14:paraId="0C57AC68" w14:textId="77777777">
            <w:pPr>
              <w:contextualSpacing/>
              <w:rPr>
                <w:i/>
              </w:rPr>
            </w:pPr>
            <w:r>
              <w:rPr>
                <w:i/>
              </w:rPr>
              <w:t>00 32 2 546 85 35</w:t>
            </w:r>
          </w:p>
        </w:tc>
      </w:tr>
      <w:tr w:rsidRPr="007425D2" w:rsidR="00AA6795" w:rsidTr="00726054" w14:paraId="73C348B5" w14:textId="77777777">
        <w:trPr>
          <w:trHeight w:val="74"/>
        </w:trPr>
        <w:tc>
          <w:tcPr>
            <w:tcW w:w="1418" w:type="dxa"/>
          </w:tcPr>
          <w:p w:rsidRPr="007425D2" w:rsidR="00AA6795" w:rsidP="00726054" w:rsidRDefault="00AA6795" w14:paraId="654A6F0D" w14:textId="77777777">
            <w:pPr>
              <w:ind w:left="601"/>
              <w:contextualSpacing/>
              <w:rPr>
                <w:i/>
              </w:rPr>
            </w:pPr>
            <w:r>
              <w:rPr>
                <w:i/>
              </w:rPr>
              <w:t>E-mail</w:t>
            </w:r>
          </w:p>
        </w:tc>
        <w:tc>
          <w:tcPr>
            <w:tcW w:w="5670" w:type="dxa"/>
          </w:tcPr>
          <w:p w:rsidRPr="007425D2" w:rsidR="00AA6795" w:rsidP="00726054" w:rsidRDefault="003D1DE5" w14:paraId="739344CC" w14:textId="77777777">
            <w:pPr>
              <w:contextualSpacing/>
              <w:rPr>
                <w:i/>
                <w:iCs/>
              </w:rPr>
            </w:pPr>
            <w:hyperlink w:history="1" r:id="rId36">
              <w:r w:rsidR="00F31F11">
                <w:rPr>
                  <w:rStyle w:val="Hyperlink"/>
                  <w:i/>
                </w:rPr>
                <w:t>Giorgiaandrea.Bordignon@eesc.europa.eu</w:t>
              </w:r>
            </w:hyperlink>
          </w:p>
        </w:tc>
      </w:tr>
    </w:tbl>
    <w:p w:rsidRPr="00326F5F" w:rsidR="00AA6795" w:rsidP="00AA6795" w:rsidRDefault="00AA6795" w14:paraId="25C938AC" w14:textId="77777777"/>
    <w:p w:rsidRPr="00CE7111" w:rsidR="00D67CAD" w:rsidP="00FC2BE8" w:rsidRDefault="009C1329" w14:paraId="5E62A09A" w14:textId="22CE5D58">
      <w:pPr>
        <w:overflowPunct w:val="0"/>
        <w:autoSpaceDE w:val="0"/>
        <w:autoSpaceDN w:val="0"/>
        <w:adjustRightInd w:val="0"/>
        <w:jc w:val="center"/>
        <w:textAlignment w:val="baseline"/>
      </w:pPr>
      <w:r>
        <w:t>_____________</w:t>
      </w:r>
    </w:p>
    <w:sectPr w:rsidRPr="00CE7111" w:rsidR="00D67CAD" w:rsidSect="00316474">
      <w:headerReference w:type="even" r:id="rId37"/>
      <w:headerReference w:type="default" r:id="rId38"/>
      <w:footerReference w:type="even" r:id="rId39"/>
      <w:footerReference w:type="default" r:id="rId40"/>
      <w:headerReference w:type="first" r:id="rId41"/>
      <w:footerReference w:type="first" r:id="rId42"/>
      <w:pgSz w:w="11907" w:h="16839"/>
      <w:pgMar w:top="1134" w:right="1418" w:bottom="68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AB40" w14:textId="77777777" w:rsidR="00726054" w:rsidRDefault="00726054" w:rsidP="003B0516">
      <w:pPr>
        <w:spacing w:line="240" w:lineRule="auto"/>
      </w:pPr>
      <w:r>
        <w:separator/>
      </w:r>
    </w:p>
  </w:endnote>
  <w:endnote w:type="continuationSeparator" w:id="0">
    <w:p w14:paraId="005A33A7" w14:textId="77777777" w:rsidR="00726054" w:rsidRDefault="00726054"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EE94" w14:textId="77777777" w:rsidR="00316474" w:rsidRPr="00316474" w:rsidRDefault="00316474" w:rsidP="0031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121FF07" w:rsidR="00726054" w:rsidRPr="00316474" w:rsidRDefault="00316474" w:rsidP="00316474">
    <w:pPr>
      <w:pStyle w:val="Footer"/>
    </w:pPr>
    <w:r>
      <w:t xml:space="preserve">EESC-2023-01103-00-01-TCD-TRA (EN) </w:t>
    </w:r>
    <w:r>
      <w:fldChar w:fldCharType="begin"/>
    </w:r>
    <w:r>
      <w:instrText xml:space="preserve"> PAGE  \* Arabic  \* MERGEFORMAT </w:instrText>
    </w:r>
    <w:r>
      <w:fldChar w:fldCharType="separate"/>
    </w:r>
    <w:r w:rsidR="006223FA">
      <w:t>1</w:t>
    </w:r>
    <w:r>
      <w:fldChar w:fldCharType="end"/>
    </w:r>
    <w:r>
      <w:t>/</w:t>
    </w:r>
    <w:r w:rsidR="003D1DE5">
      <w:fldChar w:fldCharType="begin"/>
    </w:r>
    <w:r w:rsidR="003D1DE5">
      <w:instrText xml:space="preserve"> NUMPAGES </w:instrText>
    </w:r>
    <w:r w:rsidR="003D1DE5">
      <w:fldChar w:fldCharType="separate"/>
    </w:r>
    <w:r w:rsidR="006223FA">
      <w:t>1</w:t>
    </w:r>
    <w:r w:rsidR="003D1D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27E9" w14:textId="77777777" w:rsidR="00316474" w:rsidRPr="00316474" w:rsidRDefault="00316474" w:rsidP="003164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C15F" w14:textId="77777777" w:rsidR="00726054" w:rsidRPr="00316474" w:rsidRDefault="00726054" w:rsidP="00316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860" w14:textId="0AAD817A" w:rsidR="00726054" w:rsidRPr="00316474" w:rsidRDefault="00316474" w:rsidP="00316474">
    <w:pPr>
      <w:pStyle w:val="Footer"/>
    </w:pPr>
    <w:r>
      <w:t xml:space="preserve">EESC-2023-01103-00-01-TCD-TRA (EN) </w:t>
    </w:r>
    <w:r>
      <w:fldChar w:fldCharType="begin"/>
    </w:r>
    <w:r>
      <w:instrText xml:space="preserve"> PAGE  \* Arabic  \* MERGEFORMAT </w:instrText>
    </w:r>
    <w:r>
      <w:fldChar w:fldCharType="separate"/>
    </w:r>
    <w:r w:rsidR="008E2A2F">
      <w:t>3</w:t>
    </w:r>
    <w:r>
      <w:fldChar w:fldCharType="end"/>
    </w:r>
    <w:r>
      <w:t>/</w:t>
    </w:r>
    <w:r w:rsidR="003D1DE5">
      <w:fldChar w:fldCharType="begin"/>
    </w:r>
    <w:r w:rsidR="003D1DE5">
      <w:instrText xml:space="preserve"> NUMPAGES </w:instrText>
    </w:r>
    <w:r w:rsidR="003D1DE5">
      <w:fldChar w:fldCharType="separate"/>
    </w:r>
    <w:r w:rsidR="008E2A2F">
      <w:t>24</w:t>
    </w:r>
    <w:r w:rsidR="003D1DE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E62D" w14:textId="77777777" w:rsidR="00726054" w:rsidRPr="00316474" w:rsidRDefault="00726054" w:rsidP="0031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409E" w14:textId="77777777" w:rsidR="00726054" w:rsidRDefault="00726054" w:rsidP="003B0516">
      <w:pPr>
        <w:spacing w:line="240" w:lineRule="auto"/>
      </w:pPr>
      <w:r>
        <w:separator/>
      </w:r>
    </w:p>
  </w:footnote>
  <w:footnote w:type="continuationSeparator" w:id="0">
    <w:p w14:paraId="5E731D99" w14:textId="77777777" w:rsidR="00726054" w:rsidRDefault="00726054" w:rsidP="003B0516">
      <w:pPr>
        <w:spacing w:line="240" w:lineRule="auto"/>
      </w:pPr>
      <w:r>
        <w:continuationSeparator/>
      </w:r>
    </w:p>
  </w:footnote>
  <w:footnote w:id="1">
    <w:p w14:paraId="7AD47C4E" w14:textId="77777777" w:rsidR="00726054" w:rsidRPr="00AC7D42" w:rsidRDefault="00726054" w:rsidP="008E2CDD">
      <w:pPr>
        <w:pStyle w:val="FootnoteText"/>
      </w:pPr>
      <w:r>
        <w:rPr>
          <w:rStyle w:val="FootnoteReference"/>
        </w:rPr>
        <w:footnoteRef/>
      </w:r>
      <w:r>
        <w:tab/>
      </w:r>
      <w:hyperlink r:id="rId1" w:history="1">
        <w:r>
          <w:rPr>
            <w:rStyle w:val="Hyperlink"/>
          </w:rPr>
          <w:t>https://eur-lex.europa.eu/legal-content/NL/TXT/?uri=CELEX%3A62016CJ0397</w:t>
        </w:r>
      </w:hyperlink>
    </w:p>
  </w:footnote>
  <w:footnote w:id="2">
    <w:p w14:paraId="329A950C" w14:textId="062BDCC3" w:rsidR="00726054" w:rsidRPr="00726054" w:rsidRDefault="00726054">
      <w:pPr>
        <w:pStyle w:val="FootnoteText"/>
      </w:pPr>
      <w:r>
        <w:rPr>
          <w:rStyle w:val="FootnoteReference"/>
        </w:rPr>
        <w:footnoteRef/>
      </w:r>
      <w:r>
        <w:tab/>
        <w:t>EESC-advies</w:t>
      </w:r>
      <w:r>
        <w:rPr>
          <w:i/>
        </w:rPr>
        <w:t xml:space="preserve"> </w:t>
      </w:r>
      <w:r>
        <w:t xml:space="preserve">De circulaire economie in de EU, </w:t>
      </w:r>
      <w:hyperlink r:id="rId2" w:history="1">
        <w:r>
          <w:rPr>
            <w:rStyle w:val="Hyperlink"/>
          </w:rPr>
          <w:t>PB C 230 van 14.7.2015, blz. 91</w:t>
        </w:r>
      </w:hyperlink>
      <w:r>
        <w:t>.</w:t>
      </w:r>
    </w:p>
  </w:footnote>
  <w:footnote w:id="3">
    <w:p w14:paraId="21E34883" w14:textId="77777777" w:rsidR="00726054" w:rsidRDefault="00726054" w:rsidP="00175EC3">
      <w:pPr>
        <w:pStyle w:val="FootnoteText"/>
      </w:pPr>
      <w:r>
        <w:rPr>
          <w:rStyle w:val="FootnoteReference"/>
        </w:rPr>
        <w:footnoteRef/>
      </w:r>
      <w:r>
        <w:t xml:space="preserve"> </w:t>
      </w:r>
      <w:r>
        <w:tab/>
        <w:t xml:space="preserve">Advies van het EESC over duurzame koolstofcycli, </w:t>
      </w:r>
      <w:hyperlink r:id="rId3" w:history="1">
        <w:r>
          <w:rPr>
            <w:rStyle w:val="Hyperlink"/>
          </w:rPr>
          <w:t>PB C 323 van 26.8.2022, blz. 95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EDD1" w14:textId="77777777" w:rsidR="00316474" w:rsidRPr="00316474" w:rsidRDefault="00316474" w:rsidP="00316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DC3" w14:textId="13DC7245" w:rsidR="00316474" w:rsidRPr="00316474" w:rsidRDefault="00316474" w:rsidP="00316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EE77" w14:textId="77777777" w:rsidR="00316474" w:rsidRPr="00316474" w:rsidRDefault="00316474" w:rsidP="003164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9DF2" w14:textId="77777777" w:rsidR="00726054" w:rsidRPr="00316474" w:rsidRDefault="00726054" w:rsidP="003164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4FBA" w14:textId="55708A78" w:rsidR="00726054" w:rsidRPr="00316474" w:rsidRDefault="00726054" w:rsidP="003164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5E7F" w14:textId="77777777" w:rsidR="00726054" w:rsidRPr="00316474" w:rsidRDefault="00726054" w:rsidP="00316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4" w15:restartNumberingAfterBreak="0">
    <w:nsid w:val="0DD54DA5"/>
    <w:multiLevelType w:val="hybridMultilevel"/>
    <w:tmpl w:val="FBC688C8"/>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9F5812"/>
    <w:multiLevelType w:val="hybridMultilevel"/>
    <w:tmpl w:val="E5547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EA6E5E"/>
    <w:multiLevelType w:val="hybridMultilevel"/>
    <w:tmpl w:val="D58846A4"/>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35054DBC"/>
    <w:multiLevelType w:val="hybridMultilevel"/>
    <w:tmpl w:val="D4DA4094"/>
    <w:lvl w:ilvl="0" w:tplc="D214FC50">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1"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074854"/>
    <w:multiLevelType w:val="hybridMultilevel"/>
    <w:tmpl w:val="EAD22CB2"/>
    <w:lvl w:ilvl="0" w:tplc="0809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3D0F2895"/>
    <w:multiLevelType w:val="hybridMultilevel"/>
    <w:tmpl w:val="1CE028A2"/>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B45E7"/>
    <w:multiLevelType w:val="hybridMultilevel"/>
    <w:tmpl w:val="AE102DF4"/>
    <w:lvl w:ilvl="0" w:tplc="040C0001">
      <w:start w:val="1"/>
      <w:numFmt w:val="bullet"/>
      <w:lvlText w:val=""/>
      <w:lvlJc w:val="left"/>
      <w:pPr>
        <w:ind w:left="715" w:hanging="360"/>
      </w:pPr>
      <w:rPr>
        <w:rFonts w:ascii="Symbol" w:hAnsi="Symbol" w:hint="default"/>
      </w:rPr>
    </w:lvl>
    <w:lvl w:ilvl="1" w:tplc="040C0003">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7" w15:restartNumberingAfterBreak="0">
    <w:nsid w:val="5D5846AD"/>
    <w:multiLevelType w:val="hybridMultilevel"/>
    <w:tmpl w:val="200A6C26"/>
    <w:lvl w:ilvl="0" w:tplc="08090001">
      <w:start w:val="1"/>
      <w:numFmt w:val="bullet"/>
      <w:lvlText w:val=""/>
      <w:lvlJc w:val="left"/>
      <w:pPr>
        <w:ind w:left="720" w:hanging="360"/>
      </w:pPr>
      <w:rPr>
        <w:rFonts w:ascii="Symbol" w:hAnsi="Symbol" w:hint="default"/>
      </w:rPr>
    </w:lvl>
    <w:lvl w:ilvl="1" w:tplc="4572778E">
      <w:start w:val="1"/>
      <w:numFmt w:val="bullet"/>
      <w:lvlText w:val="-"/>
      <w:lvlJc w:val="left"/>
      <w:pPr>
        <w:ind w:left="1440" w:hanging="360"/>
      </w:pPr>
      <w:rPr>
        <w:rFonts w:ascii="Courier New" w:hAnsi="Courier New" w:hint="default"/>
      </w:rPr>
    </w:lvl>
    <w:lvl w:ilvl="2" w:tplc="4572778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83186"/>
    <w:multiLevelType w:val="hybridMultilevel"/>
    <w:tmpl w:val="A0243724"/>
    <w:lvl w:ilvl="0" w:tplc="9CD4DE18">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20"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70967A6A"/>
    <w:multiLevelType w:val="hybridMultilevel"/>
    <w:tmpl w:val="27F2B37A"/>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4"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67D7BDC"/>
    <w:multiLevelType w:val="hybridMultilevel"/>
    <w:tmpl w:val="36A26EFE"/>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1E004B"/>
    <w:multiLevelType w:val="multilevel"/>
    <w:tmpl w:val="6FEE6C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sz w:val="22"/>
        <w:szCs w:val="22"/>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2"/>
  </w:num>
  <w:num w:numId="3">
    <w:abstractNumId w:val="25"/>
  </w:num>
  <w:num w:numId="4">
    <w:abstractNumId w:val="3"/>
  </w:num>
  <w:num w:numId="5">
    <w:abstractNumId w:val="19"/>
  </w:num>
  <w:num w:numId="6">
    <w:abstractNumId w:val="11"/>
  </w:num>
  <w:num w:numId="7">
    <w:abstractNumId w:val="5"/>
  </w:num>
  <w:num w:numId="8">
    <w:abstractNumId w:val="9"/>
  </w:num>
  <w:num w:numId="9">
    <w:abstractNumId w:val="8"/>
  </w:num>
  <w:num w:numId="10">
    <w:abstractNumId w:val="26"/>
  </w:num>
  <w:num w:numId="11">
    <w:abstractNumId w:val="14"/>
  </w:num>
  <w:num w:numId="12">
    <w:abstractNumId w:val="21"/>
  </w:num>
  <w:num w:numId="13">
    <w:abstractNumId w:val="0"/>
  </w:num>
  <w:num w:numId="14">
    <w:abstractNumId w:val="0"/>
  </w:num>
  <w:num w:numId="15">
    <w:abstractNumId w:val="20"/>
  </w:num>
  <w:num w:numId="16">
    <w:abstractNumId w:val="15"/>
  </w:num>
  <w:num w:numId="17">
    <w:abstractNumId w:val="0"/>
  </w:num>
  <w:num w:numId="18">
    <w:abstractNumId w:val="0"/>
  </w:num>
  <w:num w:numId="19">
    <w:abstractNumId w:val="23"/>
  </w:num>
  <w:num w:numId="20">
    <w:abstractNumId w:val="7"/>
  </w:num>
  <w:num w:numId="21">
    <w:abstractNumId w:val="18"/>
  </w:num>
  <w:num w:numId="22">
    <w:abstractNumId w:val="12"/>
  </w:num>
  <w:num w:numId="23">
    <w:abstractNumId w:val="13"/>
  </w:num>
  <w:num w:numId="24">
    <w:abstractNumId w:val="27"/>
  </w:num>
  <w:num w:numId="25">
    <w:abstractNumId w:val="17"/>
  </w:num>
  <w:num w:numId="2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7">
    <w:abstractNumId w:val="0"/>
  </w:num>
  <w:num w:numId="28">
    <w:abstractNumId w:val="2"/>
  </w:num>
  <w:num w:numId="29">
    <w:abstractNumId w:val="6"/>
  </w:num>
  <w:num w:numId="30">
    <w:abstractNumId w:val="16"/>
  </w:num>
  <w:num w:numId="31">
    <w:abstractNumId w:val="24"/>
  </w:num>
  <w:num w:numId="32">
    <w:abstractNumId w:val="4"/>
  </w:num>
  <w:num w:numId="33">
    <w:abstractNumId w:val="0"/>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2061"/>
    <w:rsid w:val="00011CB0"/>
    <w:rsid w:val="000142E0"/>
    <w:rsid w:val="00014C93"/>
    <w:rsid w:val="00015E18"/>
    <w:rsid w:val="00017B56"/>
    <w:rsid w:val="000232FA"/>
    <w:rsid w:val="00023DE9"/>
    <w:rsid w:val="0002450A"/>
    <w:rsid w:val="000247C5"/>
    <w:rsid w:val="00024D79"/>
    <w:rsid w:val="000257FE"/>
    <w:rsid w:val="0002700A"/>
    <w:rsid w:val="00027072"/>
    <w:rsid w:val="00027441"/>
    <w:rsid w:val="00031589"/>
    <w:rsid w:val="00032038"/>
    <w:rsid w:val="0003271A"/>
    <w:rsid w:val="00032BAA"/>
    <w:rsid w:val="00034E35"/>
    <w:rsid w:val="00036505"/>
    <w:rsid w:val="00037A85"/>
    <w:rsid w:val="000402AE"/>
    <w:rsid w:val="00041C4A"/>
    <w:rsid w:val="0004205F"/>
    <w:rsid w:val="000421E0"/>
    <w:rsid w:val="00050002"/>
    <w:rsid w:val="0005110E"/>
    <w:rsid w:val="0005170F"/>
    <w:rsid w:val="0005495B"/>
    <w:rsid w:val="00055D63"/>
    <w:rsid w:val="00056079"/>
    <w:rsid w:val="00056B3E"/>
    <w:rsid w:val="00057592"/>
    <w:rsid w:val="00063DFF"/>
    <w:rsid w:val="00063F30"/>
    <w:rsid w:val="00064EDE"/>
    <w:rsid w:val="00066DC7"/>
    <w:rsid w:val="0007015C"/>
    <w:rsid w:val="00070AAE"/>
    <w:rsid w:val="00070FEE"/>
    <w:rsid w:val="0007146F"/>
    <w:rsid w:val="00071F4C"/>
    <w:rsid w:val="00073491"/>
    <w:rsid w:val="000764E8"/>
    <w:rsid w:val="00076BA9"/>
    <w:rsid w:val="00083845"/>
    <w:rsid w:val="000911BF"/>
    <w:rsid w:val="00092425"/>
    <w:rsid w:val="000951A1"/>
    <w:rsid w:val="000956DB"/>
    <w:rsid w:val="00096786"/>
    <w:rsid w:val="000A007B"/>
    <w:rsid w:val="000A03BD"/>
    <w:rsid w:val="000A1218"/>
    <w:rsid w:val="000A558D"/>
    <w:rsid w:val="000A74DC"/>
    <w:rsid w:val="000A7BA8"/>
    <w:rsid w:val="000B01F7"/>
    <w:rsid w:val="000B19C4"/>
    <w:rsid w:val="000B1AE6"/>
    <w:rsid w:val="000B5831"/>
    <w:rsid w:val="000B7D8A"/>
    <w:rsid w:val="000C18CA"/>
    <w:rsid w:val="000C3942"/>
    <w:rsid w:val="000C43E2"/>
    <w:rsid w:val="000C6D0B"/>
    <w:rsid w:val="000D2F8F"/>
    <w:rsid w:val="000D65AC"/>
    <w:rsid w:val="000D7878"/>
    <w:rsid w:val="000E37FD"/>
    <w:rsid w:val="000E447F"/>
    <w:rsid w:val="000E56EA"/>
    <w:rsid w:val="000E5FFD"/>
    <w:rsid w:val="000E6108"/>
    <w:rsid w:val="000F2BDB"/>
    <w:rsid w:val="000F53B7"/>
    <w:rsid w:val="000F679A"/>
    <w:rsid w:val="001000A8"/>
    <w:rsid w:val="001016BE"/>
    <w:rsid w:val="00104B7A"/>
    <w:rsid w:val="00106358"/>
    <w:rsid w:val="001106FB"/>
    <w:rsid w:val="00113B00"/>
    <w:rsid w:val="001140AE"/>
    <w:rsid w:val="001167A1"/>
    <w:rsid w:val="00116A1C"/>
    <w:rsid w:val="001179DB"/>
    <w:rsid w:val="00117AA8"/>
    <w:rsid w:val="00120215"/>
    <w:rsid w:val="00120BA5"/>
    <w:rsid w:val="00124D7C"/>
    <w:rsid w:val="00126D3E"/>
    <w:rsid w:val="001271C3"/>
    <w:rsid w:val="00133EE7"/>
    <w:rsid w:val="001400C7"/>
    <w:rsid w:val="001445A7"/>
    <w:rsid w:val="001455A1"/>
    <w:rsid w:val="00150AD8"/>
    <w:rsid w:val="001513FD"/>
    <w:rsid w:val="00153032"/>
    <w:rsid w:val="001543FE"/>
    <w:rsid w:val="00155B53"/>
    <w:rsid w:val="00163106"/>
    <w:rsid w:val="00164813"/>
    <w:rsid w:val="001744F9"/>
    <w:rsid w:val="00174763"/>
    <w:rsid w:val="00175EC3"/>
    <w:rsid w:val="001760E9"/>
    <w:rsid w:val="0018231C"/>
    <w:rsid w:val="00182F92"/>
    <w:rsid w:val="001861B4"/>
    <w:rsid w:val="001865D3"/>
    <w:rsid w:val="00191597"/>
    <w:rsid w:val="001951FD"/>
    <w:rsid w:val="0019715D"/>
    <w:rsid w:val="001A0AD4"/>
    <w:rsid w:val="001A2273"/>
    <w:rsid w:val="001A7476"/>
    <w:rsid w:val="001A7FFE"/>
    <w:rsid w:val="001B10DA"/>
    <w:rsid w:val="001B6460"/>
    <w:rsid w:val="001C226F"/>
    <w:rsid w:val="001C3412"/>
    <w:rsid w:val="001C4EDC"/>
    <w:rsid w:val="001C5D5C"/>
    <w:rsid w:val="001D1F54"/>
    <w:rsid w:val="001D2636"/>
    <w:rsid w:val="001D6FFF"/>
    <w:rsid w:val="001D770D"/>
    <w:rsid w:val="001E0F0C"/>
    <w:rsid w:val="001E2286"/>
    <w:rsid w:val="001E6413"/>
    <w:rsid w:val="001F1433"/>
    <w:rsid w:val="001F1862"/>
    <w:rsid w:val="001F1C2E"/>
    <w:rsid w:val="001F3E4F"/>
    <w:rsid w:val="001F56CE"/>
    <w:rsid w:val="001F6FD5"/>
    <w:rsid w:val="001F773D"/>
    <w:rsid w:val="00200222"/>
    <w:rsid w:val="0020062C"/>
    <w:rsid w:val="002037FC"/>
    <w:rsid w:val="00203BF4"/>
    <w:rsid w:val="002043D7"/>
    <w:rsid w:val="002049FA"/>
    <w:rsid w:val="00205D0D"/>
    <w:rsid w:val="00215520"/>
    <w:rsid w:val="0021590B"/>
    <w:rsid w:val="00215FAB"/>
    <w:rsid w:val="00221313"/>
    <w:rsid w:val="00224583"/>
    <w:rsid w:val="0022582C"/>
    <w:rsid w:val="00225BCA"/>
    <w:rsid w:val="00225C52"/>
    <w:rsid w:val="00226DC1"/>
    <w:rsid w:val="00227E12"/>
    <w:rsid w:val="00232374"/>
    <w:rsid w:val="002326F4"/>
    <w:rsid w:val="002328D2"/>
    <w:rsid w:val="00237481"/>
    <w:rsid w:val="00242666"/>
    <w:rsid w:val="00245A60"/>
    <w:rsid w:val="00245CC6"/>
    <w:rsid w:val="00245CD4"/>
    <w:rsid w:val="00247E02"/>
    <w:rsid w:val="00251418"/>
    <w:rsid w:val="00255669"/>
    <w:rsid w:val="00256F0A"/>
    <w:rsid w:val="00261903"/>
    <w:rsid w:val="00261FDB"/>
    <w:rsid w:val="00270828"/>
    <w:rsid w:val="002737D4"/>
    <w:rsid w:val="00274DCF"/>
    <w:rsid w:val="00276CC9"/>
    <w:rsid w:val="002776B9"/>
    <w:rsid w:val="002859C4"/>
    <w:rsid w:val="00291154"/>
    <w:rsid w:val="00292D44"/>
    <w:rsid w:val="00293765"/>
    <w:rsid w:val="00293E9C"/>
    <w:rsid w:val="00295B97"/>
    <w:rsid w:val="002962DA"/>
    <w:rsid w:val="002A2F38"/>
    <w:rsid w:val="002A417C"/>
    <w:rsid w:val="002A417D"/>
    <w:rsid w:val="002A48BC"/>
    <w:rsid w:val="002A6192"/>
    <w:rsid w:val="002A696A"/>
    <w:rsid w:val="002B09A7"/>
    <w:rsid w:val="002B1961"/>
    <w:rsid w:val="002B2BA3"/>
    <w:rsid w:val="002B5031"/>
    <w:rsid w:val="002B75A5"/>
    <w:rsid w:val="002B7981"/>
    <w:rsid w:val="002C0E2F"/>
    <w:rsid w:val="002C2466"/>
    <w:rsid w:val="002C24B9"/>
    <w:rsid w:val="002C2B80"/>
    <w:rsid w:val="002C4B6E"/>
    <w:rsid w:val="002C5F52"/>
    <w:rsid w:val="002D03B9"/>
    <w:rsid w:val="002D3FFF"/>
    <w:rsid w:val="002D4382"/>
    <w:rsid w:val="002D4C38"/>
    <w:rsid w:val="002D5A51"/>
    <w:rsid w:val="002E01B5"/>
    <w:rsid w:val="002E44D6"/>
    <w:rsid w:val="002E459D"/>
    <w:rsid w:val="002E5473"/>
    <w:rsid w:val="002E62B0"/>
    <w:rsid w:val="002F32E6"/>
    <w:rsid w:val="002F63EB"/>
    <w:rsid w:val="00302E45"/>
    <w:rsid w:val="00305834"/>
    <w:rsid w:val="00311562"/>
    <w:rsid w:val="003123CB"/>
    <w:rsid w:val="00316474"/>
    <w:rsid w:val="003165A9"/>
    <w:rsid w:val="0032154F"/>
    <w:rsid w:val="0032266E"/>
    <w:rsid w:val="003227CC"/>
    <w:rsid w:val="0032340F"/>
    <w:rsid w:val="00323A05"/>
    <w:rsid w:val="003262D8"/>
    <w:rsid w:val="00326919"/>
    <w:rsid w:val="00326F5F"/>
    <w:rsid w:val="00331ACB"/>
    <w:rsid w:val="00331C12"/>
    <w:rsid w:val="00333F1A"/>
    <w:rsid w:val="00340F46"/>
    <w:rsid w:val="00342F72"/>
    <w:rsid w:val="00343E1E"/>
    <w:rsid w:val="003505DD"/>
    <w:rsid w:val="00350A12"/>
    <w:rsid w:val="00350F5C"/>
    <w:rsid w:val="003527B4"/>
    <w:rsid w:val="00353D37"/>
    <w:rsid w:val="00360C81"/>
    <w:rsid w:val="00361E48"/>
    <w:rsid w:val="0036641A"/>
    <w:rsid w:val="00370548"/>
    <w:rsid w:val="00370CCB"/>
    <w:rsid w:val="00376574"/>
    <w:rsid w:val="00394949"/>
    <w:rsid w:val="00396061"/>
    <w:rsid w:val="003965BB"/>
    <w:rsid w:val="00396CC5"/>
    <w:rsid w:val="003A0DB7"/>
    <w:rsid w:val="003A7071"/>
    <w:rsid w:val="003B0516"/>
    <w:rsid w:val="003B2007"/>
    <w:rsid w:val="003B3C5F"/>
    <w:rsid w:val="003B3D68"/>
    <w:rsid w:val="003B6760"/>
    <w:rsid w:val="003C07C5"/>
    <w:rsid w:val="003C0E5B"/>
    <w:rsid w:val="003C0FF2"/>
    <w:rsid w:val="003C2647"/>
    <w:rsid w:val="003C3F66"/>
    <w:rsid w:val="003C4172"/>
    <w:rsid w:val="003C4D5B"/>
    <w:rsid w:val="003C5614"/>
    <w:rsid w:val="003D1DE5"/>
    <w:rsid w:val="003D33F7"/>
    <w:rsid w:val="003D4576"/>
    <w:rsid w:val="003D4F68"/>
    <w:rsid w:val="003D5339"/>
    <w:rsid w:val="003D57BD"/>
    <w:rsid w:val="003D76E2"/>
    <w:rsid w:val="003E2757"/>
    <w:rsid w:val="003E5137"/>
    <w:rsid w:val="003E674F"/>
    <w:rsid w:val="003E692C"/>
    <w:rsid w:val="003F0159"/>
    <w:rsid w:val="003F17D6"/>
    <w:rsid w:val="003F2D36"/>
    <w:rsid w:val="003F510A"/>
    <w:rsid w:val="003F6382"/>
    <w:rsid w:val="003F78A9"/>
    <w:rsid w:val="0040019C"/>
    <w:rsid w:val="00400A1F"/>
    <w:rsid w:val="00402A19"/>
    <w:rsid w:val="00403406"/>
    <w:rsid w:val="004047A6"/>
    <w:rsid w:val="004047B1"/>
    <w:rsid w:val="00405802"/>
    <w:rsid w:val="00405FD9"/>
    <w:rsid w:val="0040654F"/>
    <w:rsid w:val="00406DDB"/>
    <w:rsid w:val="00407760"/>
    <w:rsid w:val="004109E7"/>
    <w:rsid w:val="00413EA0"/>
    <w:rsid w:val="004146D0"/>
    <w:rsid w:val="00426ECD"/>
    <w:rsid w:val="00427161"/>
    <w:rsid w:val="004331B4"/>
    <w:rsid w:val="004415E2"/>
    <w:rsid w:val="00441E45"/>
    <w:rsid w:val="004429E2"/>
    <w:rsid w:val="004442D3"/>
    <w:rsid w:val="0044618A"/>
    <w:rsid w:val="004511AE"/>
    <w:rsid w:val="00456E3C"/>
    <w:rsid w:val="00462B31"/>
    <w:rsid w:val="00463300"/>
    <w:rsid w:val="004646AF"/>
    <w:rsid w:val="0046631E"/>
    <w:rsid w:val="00467BE4"/>
    <w:rsid w:val="00470719"/>
    <w:rsid w:val="00472A79"/>
    <w:rsid w:val="00472E72"/>
    <w:rsid w:val="004734C7"/>
    <w:rsid w:val="004755C3"/>
    <w:rsid w:val="00477361"/>
    <w:rsid w:val="004904F9"/>
    <w:rsid w:val="00492ED3"/>
    <w:rsid w:val="0049347F"/>
    <w:rsid w:val="004971E8"/>
    <w:rsid w:val="004A46D9"/>
    <w:rsid w:val="004A5CD7"/>
    <w:rsid w:val="004B2250"/>
    <w:rsid w:val="004B344F"/>
    <w:rsid w:val="004B7248"/>
    <w:rsid w:val="004B72DD"/>
    <w:rsid w:val="004C1E12"/>
    <w:rsid w:val="004C2872"/>
    <w:rsid w:val="004C40E4"/>
    <w:rsid w:val="004D2E64"/>
    <w:rsid w:val="004D65FF"/>
    <w:rsid w:val="004D7AC0"/>
    <w:rsid w:val="004E0C44"/>
    <w:rsid w:val="004E114D"/>
    <w:rsid w:val="004E3304"/>
    <w:rsid w:val="004F2430"/>
    <w:rsid w:val="004F68A8"/>
    <w:rsid w:val="00502B04"/>
    <w:rsid w:val="00502C82"/>
    <w:rsid w:val="005030F7"/>
    <w:rsid w:val="00507FBD"/>
    <w:rsid w:val="00510903"/>
    <w:rsid w:val="00511FAC"/>
    <w:rsid w:val="00512BE2"/>
    <w:rsid w:val="00516FB9"/>
    <w:rsid w:val="005224FE"/>
    <w:rsid w:val="00530644"/>
    <w:rsid w:val="00530A77"/>
    <w:rsid w:val="00531E0B"/>
    <w:rsid w:val="00533AA9"/>
    <w:rsid w:val="00533BF2"/>
    <w:rsid w:val="0053502B"/>
    <w:rsid w:val="0054010D"/>
    <w:rsid w:val="00542C6F"/>
    <w:rsid w:val="005445DD"/>
    <w:rsid w:val="00546842"/>
    <w:rsid w:val="005475DA"/>
    <w:rsid w:val="00550800"/>
    <w:rsid w:val="0055106D"/>
    <w:rsid w:val="00552022"/>
    <w:rsid w:val="00554499"/>
    <w:rsid w:val="00555A39"/>
    <w:rsid w:val="00560174"/>
    <w:rsid w:val="00564924"/>
    <w:rsid w:val="00565C6E"/>
    <w:rsid w:val="00571FEB"/>
    <w:rsid w:val="00577672"/>
    <w:rsid w:val="00582A42"/>
    <w:rsid w:val="00584D91"/>
    <w:rsid w:val="00585857"/>
    <w:rsid w:val="0058593B"/>
    <w:rsid w:val="00586B4B"/>
    <w:rsid w:val="00590BDD"/>
    <w:rsid w:val="00594140"/>
    <w:rsid w:val="0059647B"/>
    <w:rsid w:val="005A3E6D"/>
    <w:rsid w:val="005A67F3"/>
    <w:rsid w:val="005A6946"/>
    <w:rsid w:val="005A755F"/>
    <w:rsid w:val="005B0E27"/>
    <w:rsid w:val="005B3012"/>
    <w:rsid w:val="005B5038"/>
    <w:rsid w:val="005C0363"/>
    <w:rsid w:val="005C0454"/>
    <w:rsid w:val="005C6297"/>
    <w:rsid w:val="005C7C47"/>
    <w:rsid w:val="005D55F5"/>
    <w:rsid w:val="005D621C"/>
    <w:rsid w:val="005D6E4D"/>
    <w:rsid w:val="005D76AC"/>
    <w:rsid w:val="005D7939"/>
    <w:rsid w:val="005E23CD"/>
    <w:rsid w:val="005E2C02"/>
    <w:rsid w:val="005E3426"/>
    <w:rsid w:val="005E56F3"/>
    <w:rsid w:val="005E682E"/>
    <w:rsid w:val="005E764B"/>
    <w:rsid w:val="005F4FFC"/>
    <w:rsid w:val="005F78D7"/>
    <w:rsid w:val="005F7E48"/>
    <w:rsid w:val="00600A25"/>
    <w:rsid w:val="00601E6B"/>
    <w:rsid w:val="006025C9"/>
    <w:rsid w:val="00607A25"/>
    <w:rsid w:val="00607F17"/>
    <w:rsid w:val="006119BD"/>
    <w:rsid w:val="006125A8"/>
    <w:rsid w:val="00613467"/>
    <w:rsid w:val="0061692F"/>
    <w:rsid w:val="0062138E"/>
    <w:rsid w:val="006223FA"/>
    <w:rsid w:val="00622822"/>
    <w:rsid w:val="00624785"/>
    <w:rsid w:val="00627B8F"/>
    <w:rsid w:val="00627D71"/>
    <w:rsid w:val="00630047"/>
    <w:rsid w:val="00630928"/>
    <w:rsid w:val="00631509"/>
    <w:rsid w:val="00632139"/>
    <w:rsid w:val="006324DA"/>
    <w:rsid w:val="006334BE"/>
    <w:rsid w:val="00634C0F"/>
    <w:rsid w:val="00640656"/>
    <w:rsid w:val="00641262"/>
    <w:rsid w:val="00645723"/>
    <w:rsid w:val="00650DB1"/>
    <w:rsid w:val="006549AE"/>
    <w:rsid w:val="006568C8"/>
    <w:rsid w:val="006604D8"/>
    <w:rsid w:val="00662436"/>
    <w:rsid w:val="0066408C"/>
    <w:rsid w:val="006669FA"/>
    <w:rsid w:val="00666A72"/>
    <w:rsid w:val="00670347"/>
    <w:rsid w:val="00675177"/>
    <w:rsid w:val="00676CBB"/>
    <w:rsid w:val="00677979"/>
    <w:rsid w:val="00681B23"/>
    <w:rsid w:val="0068241A"/>
    <w:rsid w:val="006849A6"/>
    <w:rsid w:val="00687C49"/>
    <w:rsid w:val="0069051C"/>
    <w:rsid w:val="00691356"/>
    <w:rsid w:val="00693DE6"/>
    <w:rsid w:val="006967AE"/>
    <w:rsid w:val="006A1317"/>
    <w:rsid w:val="006A3A88"/>
    <w:rsid w:val="006A42C1"/>
    <w:rsid w:val="006A5AA8"/>
    <w:rsid w:val="006B106B"/>
    <w:rsid w:val="006B265F"/>
    <w:rsid w:val="006C4311"/>
    <w:rsid w:val="006C4ED2"/>
    <w:rsid w:val="006D32E3"/>
    <w:rsid w:val="006D4847"/>
    <w:rsid w:val="006D6086"/>
    <w:rsid w:val="006E0E88"/>
    <w:rsid w:val="006E3078"/>
    <w:rsid w:val="006E3F60"/>
    <w:rsid w:val="006E6434"/>
    <w:rsid w:val="006F1B2E"/>
    <w:rsid w:val="006F2BFD"/>
    <w:rsid w:val="006F3409"/>
    <w:rsid w:val="00700030"/>
    <w:rsid w:val="00701CBA"/>
    <w:rsid w:val="007037CE"/>
    <w:rsid w:val="00704C1E"/>
    <w:rsid w:val="00705674"/>
    <w:rsid w:val="0070677E"/>
    <w:rsid w:val="007105B2"/>
    <w:rsid w:val="007150C5"/>
    <w:rsid w:val="00715A60"/>
    <w:rsid w:val="007179BC"/>
    <w:rsid w:val="00720D22"/>
    <w:rsid w:val="00721342"/>
    <w:rsid w:val="00721386"/>
    <w:rsid w:val="00721B7D"/>
    <w:rsid w:val="00726054"/>
    <w:rsid w:val="00727B0D"/>
    <w:rsid w:val="007327CD"/>
    <w:rsid w:val="00732CC4"/>
    <w:rsid w:val="00733A55"/>
    <w:rsid w:val="00735256"/>
    <w:rsid w:val="00737766"/>
    <w:rsid w:val="007425D2"/>
    <w:rsid w:val="0074379C"/>
    <w:rsid w:val="00745EAA"/>
    <w:rsid w:val="00746B35"/>
    <w:rsid w:val="00750BF7"/>
    <w:rsid w:val="0075250B"/>
    <w:rsid w:val="00753F2A"/>
    <w:rsid w:val="00756F3D"/>
    <w:rsid w:val="00760B02"/>
    <w:rsid w:val="00760C0A"/>
    <w:rsid w:val="0076429F"/>
    <w:rsid w:val="00765C4F"/>
    <w:rsid w:val="00771110"/>
    <w:rsid w:val="00775FDA"/>
    <w:rsid w:val="0077736D"/>
    <w:rsid w:val="0077792F"/>
    <w:rsid w:val="00781B32"/>
    <w:rsid w:val="007830DD"/>
    <w:rsid w:val="00785F4A"/>
    <w:rsid w:val="00797F54"/>
    <w:rsid w:val="007A0970"/>
    <w:rsid w:val="007A1548"/>
    <w:rsid w:val="007B21C5"/>
    <w:rsid w:val="007B231B"/>
    <w:rsid w:val="007B4C34"/>
    <w:rsid w:val="007B4C38"/>
    <w:rsid w:val="007B7C40"/>
    <w:rsid w:val="007C11A7"/>
    <w:rsid w:val="007C58EF"/>
    <w:rsid w:val="007C7CE2"/>
    <w:rsid w:val="007D1564"/>
    <w:rsid w:val="007D42D1"/>
    <w:rsid w:val="007D5174"/>
    <w:rsid w:val="007E0CE8"/>
    <w:rsid w:val="007E3FFA"/>
    <w:rsid w:val="007E70D2"/>
    <w:rsid w:val="007E7A4F"/>
    <w:rsid w:val="007E7DE3"/>
    <w:rsid w:val="007F0BB7"/>
    <w:rsid w:val="007F1F20"/>
    <w:rsid w:val="007F2119"/>
    <w:rsid w:val="007F292F"/>
    <w:rsid w:val="007F7DBA"/>
    <w:rsid w:val="00804736"/>
    <w:rsid w:val="0080501D"/>
    <w:rsid w:val="008102E2"/>
    <w:rsid w:val="008103DE"/>
    <w:rsid w:val="00812594"/>
    <w:rsid w:val="00813A00"/>
    <w:rsid w:val="00814E33"/>
    <w:rsid w:val="008159E1"/>
    <w:rsid w:val="00816A45"/>
    <w:rsid w:val="008172B0"/>
    <w:rsid w:val="00822ED8"/>
    <w:rsid w:val="00824647"/>
    <w:rsid w:val="00824DCF"/>
    <w:rsid w:val="0082509A"/>
    <w:rsid w:val="00827B0E"/>
    <w:rsid w:val="008327B1"/>
    <w:rsid w:val="00833E27"/>
    <w:rsid w:val="00835925"/>
    <w:rsid w:val="00836740"/>
    <w:rsid w:val="00841374"/>
    <w:rsid w:val="0084226D"/>
    <w:rsid w:val="00842465"/>
    <w:rsid w:val="00842BDD"/>
    <w:rsid w:val="00842C71"/>
    <w:rsid w:val="00844B87"/>
    <w:rsid w:val="00847094"/>
    <w:rsid w:val="00847288"/>
    <w:rsid w:val="00847B19"/>
    <w:rsid w:val="0085096C"/>
    <w:rsid w:val="00855196"/>
    <w:rsid w:val="00855772"/>
    <w:rsid w:val="0086045C"/>
    <w:rsid w:val="008608BA"/>
    <w:rsid w:val="00861942"/>
    <w:rsid w:val="00862DC9"/>
    <w:rsid w:val="0086458A"/>
    <w:rsid w:val="008737C0"/>
    <w:rsid w:val="008745F7"/>
    <w:rsid w:val="00881E9B"/>
    <w:rsid w:val="0088219D"/>
    <w:rsid w:val="00882D7E"/>
    <w:rsid w:val="00883682"/>
    <w:rsid w:val="0088465F"/>
    <w:rsid w:val="00884879"/>
    <w:rsid w:val="008854AE"/>
    <w:rsid w:val="00886448"/>
    <w:rsid w:val="008927A3"/>
    <w:rsid w:val="0089333A"/>
    <w:rsid w:val="008946BF"/>
    <w:rsid w:val="00895C48"/>
    <w:rsid w:val="00896F71"/>
    <w:rsid w:val="008A0B15"/>
    <w:rsid w:val="008A4C14"/>
    <w:rsid w:val="008A6537"/>
    <w:rsid w:val="008B2544"/>
    <w:rsid w:val="008B26C6"/>
    <w:rsid w:val="008B2708"/>
    <w:rsid w:val="008B47C5"/>
    <w:rsid w:val="008B66DD"/>
    <w:rsid w:val="008B7198"/>
    <w:rsid w:val="008B72DD"/>
    <w:rsid w:val="008C18DE"/>
    <w:rsid w:val="008C3E09"/>
    <w:rsid w:val="008C5DFD"/>
    <w:rsid w:val="008D2131"/>
    <w:rsid w:val="008D5213"/>
    <w:rsid w:val="008E0C2F"/>
    <w:rsid w:val="008E2A2F"/>
    <w:rsid w:val="008E2CDD"/>
    <w:rsid w:val="008E5076"/>
    <w:rsid w:val="008E679C"/>
    <w:rsid w:val="008E7C2A"/>
    <w:rsid w:val="008F1627"/>
    <w:rsid w:val="00900BFC"/>
    <w:rsid w:val="009011ED"/>
    <w:rsid w:val="009049FC"/>
    <w:rsid w:val="009109F5"/>
    <w:rsid w:val="00912E0E"/>
    <w:rsid w:val="00912F6B"/>
    <w:rsid w:val="00914265"/>
    <w:rsid w:val="009150E9"/>
    <w:rsid w:val="009173E7"/>
    <w:rsid w:val="009177FF"/>
    <w:rsid w:val="00931584"/>
    <w:rsid w:val="00934472"/>
    <w:rsid w:val="009357C2"/>
    <w:rsid w:val="00942238"/>
    <w:rsid w:val="0094733C"/>
    <w:rsid w:val="00947E08"/>
    <w:rsid w:val="0095386D"/>
    <w:rsid w:val="0095396D"/>
    <w:rsid w:val="0096099A"/>
    <w:rsid w:val="00961956"/>
    <w:rsid w:val="00961F3C"/>
    <w:rsid w:val="0096721E"/>
    <w:rsid w:val="00967517"/>
    <w:rsid w:val="00970971"/>
    <w:rsid w:val="00971495"/>
    <w:rsid w:val="00974EE4"/>
    <w:rsid w:val="0097659B"/>
    <w:rsid w:val="00986C7F"/>
    <w:rsid w:val="00987507"/>
    <w:rsid w:val="009954A1"/>
    <w:rsid w:val="009A3E0E"/>
    <w:rsid w:val="009B0E36"/>
    <w:rsid w:val="009B2ADD"/>
    <w:rsid w:val="009B37E5"/>
    <w:rsid w:val="009B6B5D"/>
    <w:rsid w:val="009B70E7"/>
    <w:rsid w:val="009B72AB"/>
    <w:rsid w:val="009C1329"/>
    <w:rsid w:val="009C513E"/>
    <w:rsid w:val="009C574C"/>
    <w:rsid w:val="009C75E4"/>
    <w:rsid w:val="009D07F4"/>
    <w:rsid w:val="009D1CA2"/>
    <w:rsid w:val="009D2CD0"/>
    <w:rsid w:val="009D388E"/>
    <w:rsid w:val="009D5CC6"/>
    <w:rsid w:val="009E4E92"/>
    <w:rsid w:val="009E6BA2"/>
    <w:rsid w:val="009E70A3"/>
    <w:rsid w:val="009E7942"/>
    <w:rsid w:val="009F39C6"/>
    <w:rsid w:val="009F3BC5"/>
    <w:rsid w:val="009F4EF7"/>
    <w:rsid w:val="009F5F78"/>
    <w:rsid w:val="009F706B"/>
    <w:rsid w:val="00A00F37"/>
    <w:rsid w:val="00A0410F"/>
    <w:rsid w:val="00A048E9"/>
    <w:rsid w:val="00A049D5"/>
    <w:rsid w:val="00A06E9E"/>
    <w:rsid w:val="00A10A98"/>
    <w:rsid w:val="00A20E9D"/>
    <w:rsid w:val="00A23F52"/>
    <w:rsid w:val="00A26217"/>
    <w:rsid w:val="00A30792"/>
    <w:rsid w:val="00A30B84"/>
    <w:rsid w:val="00A3344B"/>
    <w:rsid w:val="00A367AA"/>
    <w:rsid w:val="00A37880"/>
    <w:rsid w:val="00A45B92"/>
    <w:rsid w:val="00A45EC3"/>
    <w:rsid w:val="00A46122"/>
    <w:rsid w:val="00A47CF5"/>
    <w:rsid w:val="00A51F03"/>
    <w:rsid w:val="00A51F67"/>
    <w:rsid w:val="00A522D4"/>
    <w:rsid w:val="00A5507B"/>
    <w:rsid w:val="00A61524"/>
    <w:rsid w:val="00A62F57"/>
    <w:rsid w:val="00A63413"/>
    <w:rsid w:val="00A6556C"/>
    <w:rsid w:val="00A659B5"/>
    <w:rsid w:val="00A661BB"/>
    <w:rsid w:val="00A720CF"/>
    <w:rsid w:val="00A743EB"/>
    <w:rsid w:val="00A74B4C"/>
    <w:rsid w:val="00A763E7"/>
    <w:rsid w:val="00A827D2"/>
    <w:rsid w:val="00A847C3"/>
    <w:rsid w:val="00A86E2C"/>
    <w:rsid w:val="00A9462E"/>
    <w:rsid w:val="00A94E45"/>
    <w:rsid w:val="00AA05F8"/>
    <w:rsid w:val="00AA22BE"/>
    <w:rsid w:val="00AA5C1D"/>
    <w:rsid w:val="00AA5C61"/>
    <w:rsid w:val="00AA6795"/>
    <w:rsid w:val="00AA69BF"/>
    <w:rsid w:val="00AA7DA3"/>
    <w:rsid w:val="00AB0B62"/>
    <w:rsid w:val="00AB192A"/>
    <w:rsid w:val="00AB20C0"/>
    <w:rsid w:val="00AB3045"/>
    <w:rsid w:val="00AB4D68"/>
    <w:rsid w:val="00AB5E6A"/>
    <w:rsid w:val="00AB72EB"/>
    <w:rsid w:val="00AC567A"/>
    <w:rsid w:val="00AC7690"/>
    <w:rsid w:val="00AD1524"/>
    <w:rsid w:val="00AD3DB1"/>
    <w:rsid w:val="00AD6708"/>
    <w:rsid w:val="00AD75EB"/>
    <w:rsid w:val="00AE0A52"/>
    <w:rsid w:val="00AE2E3C"/>
    <w:rsid w:val="00AE4F16"/>
    <w:rsid w:val="00AF10D4"/>
    <w:rsid w:val="00AF1233"/>
    <w:rsid w:val="00AF2C37"/>
    <w:rsid w:val="00AF45AD"/>
    <w:rsid w:val="00AF4F10"/>
    <w:rsid w:val="00AF5A72"/>
    <w:rsid w:val="00B00DCF"/>
    <w:rsid w:val="00B0229E"/>
    <w:rsid w:val="00B02467"/>
    <w:rsid w:val="00B0753C"/>
    <w:rsid w:val="00B10582"/>
    <w:rsid w:val="00B10934"/>
    <w:rsid w:val="00B11964"/>
    <w:rsid w:val="00B13B9C"/>
    <w:rsid w:val="00B1403C"/>
    <w:rsid w:val="00B24B60"/>
    <w:rsid w:val="00B24C28"/>
    <w:rsid w:val="00B2754C"/>
    <w:rsid w:val="00B30118"/>
    <w:rsid w:val="00B339AC"/>
    <w:rsid w:val="00B34E93"/>
    <w:rsid w:val="00B35908"/>
    <w:rsid w:val="00B40093"/>
    <w:rsid w:val="00B40158"/>
    <w:rsid w:val="00B41E79"/>
    <w:rsid w:val="00B42E2F"/>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332F"/>
    <w:rsid w:val="00B6406F"/>
    <w:rsid w:val="00B656FE"/>
    <w:rsid w:val="00B67EDA"/>
    <w:rsid w:val="00B73746"/>
    <w:rsid w:val="00B7530C"/>
    <w:rsid w:val="00B76922"/>
    <w:rsid w:val="00B77513"/>
    <w:rsid w:val="00B77F1B"/>
    <w:rsid w:val="00B81D0F"/>
    <w:rsid w:val="00B83A51"/>
    <w:rsid w:val="00B83E7B"/>
    <w:rsid w:val="00B85573"/>
    <w:rsid w:val="00B876EC"/>
    <w:rsid w:val="00B90D85"/>
    <w:rsid w:val="00B92B86"/>
    <w:rsid w:val="00B9707A"/>
    <w:rsid w:val="00B9776A"/>
    <w:rsid w:val="00B97AA6"/>
    <w:rsid w:val="00BA051D"/>
    <w:rsid w:val="00BA494E"/>
    <w:rsid w:val="00BA51ED"/>
    <w:rsid w:val="00BA579D"/>
    <w:rsid w:val="00BA60C9"/>
    <w:rsid w:val="00BB054C"/>
    <w:rsid w:val="00BB1EE2"/>
    <w:rsid w:val="00BB37C1"/>
    <w:rsid w:val="00BB3A55"/>
    <w:rsid w:val="00BB3AF7"/>
    <w:rsid w:val="00BB739D"/>
    <w:rsid w:val="00BC1767"/>
    <w:rsid w:val="00BC29C8"/>
    <w:rsid w:val="00BC3670"/>
    <w:rsid w:val="00BC375B"/>
    <w:rsid w:val="00BC3FCE"/>
    <w:rsid w:val="00BC41D9"/>
    <w:rsid w:val="00BD00EB"/>
    <w:rsid w:val="00BD1E0C"/>
    <w:rsid w:val="00BD436C"/>
    <w:rsid w:val="00BD4DBF"/>
    <w:rsid w:val="00BD6E79"/>
    <w:rsid w:val="00BD7550"/>
    <w:rsid w:val="00BD7A8C"/>
    <w:rsid w:val="00BE12B3"/>
    <w:rsid w:val="00BE40C9"/>
    <w:rsid w:val="00BE5754"/>
    <w:rsid w:val="00BE6D5A"/>
    <w:rsid w:val="00BF27C9"/>
    <w:rsid w:val="00BF4607"/>
    <w:rsid w:val="00BF6653"/>
    <w:rsid w:val="00C005B2"/>
    <w:rsid w:val="00C00B1F"/>
    <w:rsid w:val="00C0119D"/>
    <w:rsid w:val="00C10C77"/>
    <w:rsid w:val="00C23683"/>
    <w:rsid w:val="00C259DF"/>
    <w:rsid w:val="00C25DB3"/>
    <w:rsid w:val="00C331A1"/>
    <w:rsid w:val="00C34B35"/>
    <w:rsid w:val="00C37AC2"/>
    <w:rsid w:val="00C437AB"/>
    <w:rsid w:val="00C445FE"/>
    <w:rsid w:val="00C44A5C"/>
    <w:rsid w:val="00C46E4F"/>
    <w:rsid w:val="00C508EF"/>
    <w:rsid w:val="00C554BB"/>
    <w:rsid w:val="00C600B5"/>
    <w:rsid w:val="00C60AE2"/>
    <w:rsid w:val="00C61E75"/>
    <w:rsid w:val="00C64EEF"/>
    <w:rsid w:val="00C65A95"/>
    <w:rsid w:val="00C677AD"/>
    <w:rsid w:val="00C70E54"/>
    <w:rsid w:val="00C71AB7"/>
    <w:rsid w:val="00C752C7"/>
    <w:rsid w:val="00C7574C"/>
    <w:rsid w:val="00C76C46"/>
    <w:rsid w:val="00C76D56"/>
    <w:rsid w:val="00C80321"/>
    <w:rsid w:val="00C834A5"/>
    <w:rsid w:val="00C8431E"/>
    <w:rsid w:val="00C86F74"/>
    <w:rsid w:val="00C87097"/>
    <w:rsid w:val="00C92102"/>
    <w:rsid w:val="00C95751"/>
    <w:rsid w:val="00C9679B"/>
    <w:rsid w:val="00C96BF2"/>
    <w:rsid w:val="00C97966"/>
    <w:rsid w:val="00CA1127"/>
    <w:rsid w:val="00CA3848"/>
    <w:rsid w:val="00CA573A"/>
    <w:rsid w:val="00CA684E"/>
    <w:rsid w:val="00CA685D"/>
    <w:rsid w:val="00CA6928"/>
    <w:rsid w:val="00CA7D13"/>
    <w:rsid w:val="00CB0CBA"/>
    <w:rsid w:val="00CB1215"/>
    <w:rsid w:val="00CB1D03"/>
    <w:rsid w:val="00CB2A8A"/>
    <w:rsid w:val="00CB3335"/>
    <w:rsid w:val="00CB3574"/>
    <w:rsid w:val="00CB4448"/>
    <w:rsid w:val="00CB6509"/>
    <w:rsid w:val="00CC25F9"/>
    <w:rsid w:val="00CC521C"/>
    <w:rsid w:val="00CD1982"/>
    <w:rsid w:val="00CD1F25"/>
    <w:rsid w:val="00CD7E1B"/>
    <w:rsid w:val="00CD7F66"/>
    <w:rsid w:val="00CE0EA4"/>
    <w:rsid w:val="00CE23CC"/>
    <w:rsid w:val="00CE48CB"/>
    <w:rsid w:val="00CE7111"/>
    <w:rsid w:val="00CF2F88"/>
    <w:rsid w:val="00CF3D01"/>
    <w:rsid w:val="00CF5AC7"/>
    <w:rsid w:val="00CF7381"/>
    <w:rsid w:val="00CF7F58"/>
    <w:rsid w:val="00D0023B"/>
    <w:rsid w:val="00D007F3"/>
    <w:rsid w:val="00D00BF8"/>
    <w:rsid w:val="00D014A8"/>
    <w:rsid w:val="00D01E10"/>
    <w:rsid w:val="00D0461E"/>
    <w:rsid w:val="00D04678"/>
    <w:rsid w:val="00D13F40"/>
    <w:rsid w:val="00D145C1"/>
    <w:rsid w:val="00D205F2"/>
    <w:rsid w:val="00D20C54"/>
    <w:rsid w:val="00D243A3"/>
    <w:rsid w:val="00D24601"/>
    <w:rsid w:val="00D327F0"/>
    <w:rsid w:val="00D35512"/>
    <w:rsid w:val="00D35C97"/>
    <w:rsid w:val="00D41F72"/>
    <w:rsid w:val="00D423EB"/>
    <w:rsid w:val="00D442EE"/>
    <w:rsid w:val="00D47085"/>
    <w:rsid w:val="00D534BA"/>
    <w:rsid w:val="00D55B4C"/>
    <w:rsid w:val="00D61100"/>
    <w:rsid w:val="00D61B08"/>
    <w:rsid w:val="00D630B8"/>
    <w:rsid w:val="00D67CAD"/>
    <w:rsid w:val="00D70F4B"/>
    <w:rsid w:val="00D761CD"/>
    <w:rsid w:val="00D76363"/>
    <w:rsid w:val="00D80558"/>
    <w:rsid w:val="00D80C88"/>
    <w:rsid w:val="00D8145F"/>
    <w:rsid w:val="00D82C3A"/>
    <w:rsid w:val="00D84FBD"/>
    <w:rsid w:val="00D85838"/>
    <w:rsid w:val="00D85D67"/>
    <w:rsid w:val="00D86432"/>
    <w:rsid w:val="00D91EA9"/>
    <w:rsid w:val="00D92EBC"/>
    <w:rsid w:val="00D93D43"/>
    <w:rsid w:val="00D944B2"/>
    <w:rsid w:val="00D979E8"/>
    <w:rsid w:val="00DA2D88"/>
    <w:rsid w:val="00DA608B"/>
    <w:rsid w:val="00DB2B61"/>
    <w:rsid w:val="00DB34D6"/>
    <w:rsid w:val="00DB55DE"/>
    <w:rsid w:val="00DB5B6E"/>
    <w:rsid w:val="00DB6D98"/>
    <w:rsid w:val="00DC057E"/>
    <w:rsid w:val="00DC097D"/>
    <w:rsid w:val="00DC17CF"/>
    <w:rsid w:val="00DC28F0"/>
    <w:rsid w:val="00DC3563"/>
    <w:rsid w:val="00DC53E9"/>
    <w:rsid w:val="00DD23A2"/>
    <w:rsid w:val="00DD2512"/>
    <w:rsid w:val="00DD289C"/>
    <w:rsid w:val="00DD53BD"/>
    <w:rsid w:val="00DE010C"/>
    <w:rsid w:val="00DE308B"/>
    <w:rsid w:val="00DE3CA7"/>
    <w:rsid w:val="00DE65D0"/>
    <w:rsid w:val="00DE78E2"/>
    <w:rsid w:val="00DF25DF"/>
    <w:rsid w:val="00DF2640"/>
    <w:rsid w:val="00DF2B94"/>
    <w:rsid w:val="00DF349B"/>
    <w:rsid w:val="00DF3AB4"/>
    <w:rsid w:val="00DF3AB5"/>
    <w:rsid w:val="00DF3ABC"/>
    <w:rsid w:val="00DF590D"/>
    <w:rsid w:val="00E00CD3"/>
    <w:rsid w:val="00E02E1A"/>
    <w:rsid w:val="00E060CF"/>
    <w:rsid w:val="00E0620E"/>
    <w:rsid w:val="00E06456"/>
    <w:rsid w:val="00E074E2"/>
    <w:rsid w:val="00E119DF"/>
    <w:rsid w:val="00E11C18"/>
    <w:rsid w:val="00E15330"/>
    <w:rsid w:val="00E20579"/>
    <w:rsid w:val="00E207F0"/>
    <w:rsid w:val="00E20AAE"/>
    <w:rsid w:val="00E20FC5"/>
    <w:rsid w:val="00E211D9"/>
    <w:rsid w:val="00E21482"/>
    <w:rsid w:val="00E227B2"/>
    <w:rsid w:val="00E24CDF"/>
    <w:rsid w:val="00E26F29"/>
    <w:rsid w:val="00E302BC"/>
    <w:rsid w:val="00E31954"/>
    <w:rsid w:val="00E33923"/>
    <w:rsid w:val="00E33D03"/>
    <w:rsid w:val="00E34279"/>
    <w:rsid w:val="00E36007"/>
    <w:rsid w:val="00E36EA1"/>
    <w:rsid w:val="00E4196E"/>
    <w:rsid w:val="00E4355F"/>
    <w:rsid w:val="00E461E1"/>
    <w:rsid w:val="00E53870"/>
    <w:rsid w:val="00E54548"/>
    <w:rsid w:val="00E568E1"/>
    <w:rsid w:val="00E61540"/>
    <w:rsid w:val="00E63571"/>
    <w:rsid w:val="00E642C0"/>
    <w:rsid w:val="00E64300"/>
    <w:rsid w:val="00E65D01"/>
    <w:rsid w:val="00E66A9B"/>
    <w:rsid w:val="00E72E7D"/>
    <w:rsid w:val="00E7466E"/>
    <w:rsid w:val="00E775D4"/>
    <w:rsid w:val="00E81FDD"/>
    <w:rsid w:val="00E86232"/>
    <w:rsid w:val="00E87122"/>
    <w:rsid w:val="00E9792C"/>
    <w:rsid w:val="00EA1181"/>
    <w:rsid w:val="00EA2799"/>
    <w:rsid w:val="00EA2EC0"/>
    <w:rsid w:val="00EA403A"/>
    <w:rsid w:val="00EA74E6"/>
    <w:rsid w:val="00EA76FF"/>
    <w:rsid w:val="00EB051C"/>
    <w:rsid w:val="00EC533C"/>
    <w:rsid w:val="00EC6B43"/>
    <w:rsid w:val="00EC7156"/>
    <w:rsid w:val="00EC78C3"/>
    <w:rsid w:val="00EC79EC"/>
    <w:rsid w:val="00ED20B6"/>
    <w:rsid w:val="00ED2A6A"/>
    <w:rsid w:val="00ED377B"/>
    <w:rsid w:val="00ED441B"/>
    <w:rsid w:val="00ED7BC2"/>
    <w:rsid w:val="00EE1E04"/>
    <w:rsid w:val="00EE7F61"/>
    <w:rsid w:val="00EF0853"/>
    <w:rsid w:val="00EF6631"/>
    <w:rsid w:val="00EF688F"/>
    <w:rsid w:val="00F00603"/>
    <w:rsid w:val="00F0060E"/>
    <w:rsid w:val="00F01CF2"/>
    <w:rsid w:val="00F01E91"/>
    <w:rsid w:val="00F03155"/>
    <w:rsid w:val="00F03950"/>
    <w:rsid w:val="00F049D6"/>
    <w:rsid w:val="00F13607"/>
    <w:rsid w:val="00F161F9"/>
    <w:rsid w:val="00F173C9"/>
    <w:rsid w:val="00F2127E"/>
    <w:rsid w:val="00F25F17"/>
    <w:rsid w:val="00F27206"/>
    <w:rsid w:val="00F31F11"/>
    <w:rsid w:val="00F3200A"/>
    <w:rsid w:val="00F324AC"/>
    <w:rsid w:val="00F32577"/>
    <w:rsid w:val="00F33DD2"/>
    <w:rsid w:val="00F359DE"/>
    <w:rsid w:val="00F37E4A"/>
    <w:rsid w:val="00F423CE"/>
    <w:rsid w:val="00F443A0"/>
    <w:rsid w:val="00F4549F"/>
    <w:rsid w:val="00F471FB"/>
    <w:rsid w:val="00F47818"/>
    <w:rsid w:val="00F508B3"/>
    <w:rsid w:val="00F512BB"/>
    <w:rsid w:val="00F51327"/>
    <w:rsid w:val="00F545CF"/>
    <w:rsid w:val="00F63F2A"/>
    <w:rsid w:val="00F646EF"/>
    <w:rsid w:val="00F71666"/>
    <w:rsid w:val="00F72D85"/>
    <w:rsid w:val="00F804C6"/>
    <w:rsid w:val="00F80F3B"/>
    <w:rsid w:val="00F841DB"/>
    <w:rsid w:val="00F856AC"/>
    <w:rsid w:val="00F86531"/>
    <w:rsid w:val="00F86EB5"/>
    <w:rsid w:val="00F86F23"/>
    <w:rsid w:val="00F916E1"/>
    <w:rsid w:val="00F929FB"/>
    <w:rsid w:val="00F941D5"/>
    <w:rsid w:val="00F946E1"/>
    <w:rsid w:val="00F94A84"/>
    <w:rsid w:val="00F9553E"/>
    <w:rsid w:val="00F95D18"/>
    <w:rsid w:val="00FA0183"/>
    <w:rsid w:val="00FA0704"/>
    <w:rsid w:val="00FA0D13"/>
    <w:rsid w:val="00FB044B"/>
    <w:rsid w:val="00FB1C7A"/>
    <w:rsid w:val="00FB24BA"/>
    <w:rsid w:val="00FB55E3"/>
    <w:rsid w:val="00FC2BE8"/>
    <w:rsid w:val="00FD3685"/>
    <w:rsid w:val="00FD3A69"/>
    <w:rsid w:val="00FD3EB9"/>
    <w:rsid w:val="00FE044C"/>
    <w:rsid w:val="00FE234C"/>
    <w:rsid w:val="00FE68B2"/>
    <w:rsid w:val="00FE7250"/>
    <w:rsid w:val="00FF16D1"/>
    <w:rsid w:val="00FF24B5"/>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7D"/>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nl-N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ilvia.Staffa@eesc.europa.eu" TargetMode="External"/><Relationship Id="rId39" Type="http://schemas.openxmlformats.org/officeDocument/2006/relationships/footer" Target="footer4.xml"/><Relationship Id="rId21" Type="http://schemas.openxmlformats.org/officeDocument/2006/relationships/hyperlink" Target="mailto:Alessia.Cova@eesc.europa.eu" TargetMode="External"/><Relationship Id="rId34" Type="http://schemas.openxmlformats.org/officeDocument/2006/relationships/hyperlink" Target="mailto:Giorgiaandrea.Bordignon@eesc.europa.eu" TargetMode="External"/><Relationship Id="rId42" Type="http://schemas.openxmlformats.org/officeDocument/2006/relationships/footer" Target="footer6.xml"/><Relationship Id="rId47"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mailto:Juri.Soosaar@eesc.europa.eu" TargetMode="External"/><Relationship Id="rId29" Type="http://schemas.openxmlformats.org/officeDocument/2006/relationships/hyperlink" Target="mailto:Raquel.Ferreiradasilva@eesc.europa.eu" TargetMode="External"/><Relationship Id="rId41" Type="http://schemas.openxmlformats.org/officeDocument/2006/relationships/header" Target="header6.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essia.Cova@eesc.europa.eu" TargetMode="External"/><Relationship Id="rId32" Type="http://schemas.openxmlformats.org/officeDocument/2006/relationships/hyperlink" Target="mailto:Caroline.Verhelst@eesc.europa.eu"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abrina.Borg@eesc.europa.eu" TargetMode="External"/><Relationship Id="rId28" Type="http://schemas.openxmlformats.org/officeDocument/2006/relationships/hyperlink" Target="mailto:Raul.Murielcarrasco@eesc.europa.eu" TargetMode="External"/><Relationship Id="rId36" Type="http://schemas.openxmlformats.org/officeDocument/2006/relationships/hyperlink" Target="mailto:Giorgiaandrea.Bordignon@eesc.europa.e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Caroline.Verhelst@eesc.europa.eu" TargetMode="External"/><Relationship Id="rId44"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abrina.Borg@eesc.europa.eu" TargetMode="External"/><Relationship Id="rId27" Type="http://schemas.openxmlformats.org/officeDocument/2006/relationships/hyperlink" Target="mailto:Igor.Caldeira@eesc.europa.eu" TargetMode="External"/><Relationship Id="rId30" Type="http://schemas.openxmlformats.org/officeDocument/2006/relationships/hyperlink" Target="mailto:Dalila.Bernard@eesc.europa.eu" TargetMode="External"/><Relationship Id="rId35" Type="http://schemas.openxmlformats.org/officeDocument/2006/relationships/hyperlink" Target="mailto:Agota.Bazsik@eesc.europa.eu"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webSettings" Target="webSettings.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David.Hoic@eesc.europa.eu" TargetMode="External"/><Relationship Id="rId38" Type="http://schemas.openxmlformats.org/officeDocument/2006/relationships/header" Target="header5.xml"/><Relationship Id="rId46"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22:323:SOM:NL:HTML" TargetMode="External"/><Relationship Id="rId2" Type="http://schemas.openxmlformats.org/officeDocument/2006/relationships/hyperlink" Target="https://eur-lex.europa.eu/legal-content/NL/TXT/?uri=uriserv%3AOJ.C_.2015.230.01.0091.01.NLD&amp;toc=OJ%3AC%3A2015%3A230%3ATOC" TargetMode="External"/><Relationship Id="rId1" Type="http://schemas.openxmlformats.org/officeDocument/2006/relationships/hyperlink" Target="https://eur-lex.europa.eu/legal-content/NL/TXT/?uri=CELEX%3A62016CJ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B0B8D40B797884EA0DC4175FDD89B23" ma:contentTypeVersion="4" ma:contentTypeDescription="Defines the documents for Document Manager V2" ma:contentTypeScope="" ma:versionID="952cba59bcf1b7f38c1a6b8007e27c88">
  <xsd:schema xmlns:xsd="http://www.w3.org/2001/XMLSchema" xmlns:xs="http://www.w3.org/2001/XMLSchema" xmlns:p="http://schemas.microsoft.com/office/2006/metadata/properties" xmlns:ns2="56a5413d-c261-4a00-870c-a20d3379ae6d" xmlns:ns3="http://schemas.microsoft.com/sharepoint/v3/fields" xmlns:ns4="5e8f28df-38cd-4f6e-b090-faa878e96575" targetNamespace="http://schemas.microsoft.com/office/2006/metadata/properties" ma:root="true" ma:fieldsID="ec80a07d03044182adc026ce7d9a8928" ns2:_="" ns3:_="" ns4:_="">
    <xsd:import namespace="56a5413d-c261-4a00-870c-a20d3379ae6d"/>
    <xsd:import namespace="http://schemas.microsoft.com/sharepoint/v3/fields"/>
    <xsd:import namespace="5e8f28df-38cd-4f6e-b090-faa878e965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f28df-38cd-4f6e-b090-faa878e9657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XMKEDVFMMJCW-1587818345-2763</_dlc_DocId>
    <_dlc_DocIdUrl xmlns="56a5413d-c261-4a00-870c-a20d3379ae6d">
      <Url>http://dm2016/eesc/2023/_layouts/15/DocIdRedir.aspx?ID=XMKEDVFMMJCW-1587818345-2763</Url>
      <Description>XMKEDVFMMJCW-1587818345-2763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2023-03-31T12:00:00+00:00</ProductionDate>
    <DocumentNumber xmlns="5e8f28df-38cd-4f6e-b090-faa878e96575">1103</DocumentNumber>
    <FicheYear xmlns="56a5413d-c261-4a00-870c-a20d3379ae6d" xsi:nil="true"/>
    <DocumentVersion xmlns="56a5413d-c261-4a00-870c-a20d3379ae6d">1</DocumentVersion>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2023-04-26T12:00:00+00:00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4266</FicheNumber>
    <OriginalSender xmlns="56a5413d-c261-4a00-870c-a20d3379ae6d">
      <UserInfo>
        <DisplayName>Bialkowska Anna Maria</DisplayName>
        <AccountId>1714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e8f28df-38cd-4f6e-b090-faa878e96575">578</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2491C68-0A78-4B1C-91AE-55D11D18F864}"/>
</file>

<file path=customXml/itemProps2.xml><?xml version="1.0" encoding="utf-8"?>
<ds:datastoreItem xmlns:ds="http://schemas.openxmlformats.org/officeDocument/2006/customXml" ds:itemID="{779A667B-3A8D-4AA2-B0C7-8F9244137A9E}"/>
</file>

<file path=customXml/itemProps3.xml><?xml version="1.0" encoding="utf-8"?>
<ds:datastoreItem xmlns:ds="http://schemas.openxmlformats.org/officeDocument/2006/customXml" ds:itemID="{7239FAB9-5A73-4E00-A6ED-B72E25E54615}"/>
</file>

<file path=customXml/itemProps4.xml><?xml version="1.0" encoding="utf-8"?>
<ds:datastoreItem xmlns:ds="http://schemas.openxmlformats.org/officeDocument/2006/customXml" ds:itemID="{87D3ECEF-B095-4C23-8225-9BC328227AEC}"/>
</file>

<file path=docProps/app.xml><?xml version="1.0" encoding="utf-8"?>
<Properties xmlns="http://schemas.openxmlformats.org/officeDocument/2006/extended-properties" xmlns:vt="http://schemas.openxmlformats.org/officeDocument/2006/docPropsVTypes">
  <Template>Normal.dotm</Template>
  <TotalTime>0</TotalTime>
  <Pages>24</Pages>
  <Words>7094</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Summary of opinions February plenary 2023</vt:lpstr>
    </vt:vector>
  </TitlesOfParts>
  <Company>CESE-CdR</Company>
  <LinksUpToDate>false</LinksUpToDate>
  <CharactersWithSpaces>47442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goedgekeurde adviezen - zitting in maart 2023</dc:title>
  <dc:subject>TCD</dc:subject>
  <dc:creator>Nieddu Emma</dc:creator>
  <cp:keywords>EESC-2023-01103-00-01-TCD-TRA-EN</cp:keywords>
  <dc:description>Rapporteur:  - Original language: EN - Date of document: 31/03/2023 - Date of meeting: 00/26/2023 09:00 - External documents:  - Administrator: MME TAMASAUSKIENE Julija</dc:description>
  <cp:lastModifiedBy>Bialkowska Anna Maria</cp:lastModifiedBy>
  <cp:revision>10</cp:revision>
  <cp:lastPrinted>2022-12-02T08:55:00Z</cp:lastPrinted>
  <dcterms:created xsi:type="dcterms:W3CDTF">2023-03-31T07:41:00Z</dcterms:created>
  <dcterms:modified xsi:type="dcterms:W3CDTF">2023-03-31T15:25:00Z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31/03/2023, 29/03/2023, 07/03/2023, 11/01/2023, 10/01/2023, 29/03/2022, 04/03/2022, 15/12/2021, 13/09/2021, 03/09/2021, 28/06/2021</vt:lpwstr>
  </property>
  <property fmtid="{D5CDD505-2E9C-101B-9397-08002B2CF9AE}" pid="4" name="Pref_Time">
    <vt:lpwstr>09:40:51, 11:29:17, 10:27:54, 10:12:15, 11:41:25, 14:21:50, 16:54:06, 17:56:36, 14:13:00, 10:08:10, 08:41:48</vt:lpwstr>
  </property>
  <property fmtid="{D5CDD505-2E9C-101B-9397-08002B2CF9AE}" pid="5" name="Pref_User">
    <vt:lpwstr>jhvi, jhvi, enied, pacup, enied, jhvi, enied, hnic, amett, enied, enied</vt:lpwstr>
  </property>
  <property fmtid="{D5CDD505-2E9C-101B-9397-08002B2CF9AE}" pid="6" name="Pref_FileName">
    <vt:lpwstr>EESC-2023-01103-00-01-TCD-ORI.docx, EESC-2023-01103-00-00-TCD-ORI.docx, EESC-2023-00570-00-00-TCD-ORI.docx, EESC-2022-05401-00-01-TCD-TRA.docx, EESC-2022-05401-00-00-TCD-ORI.docx, EESC-2022-01223-00-00-TCD-ORI.docx, EESC-2022-00391-00-00-TCD-ORI.docx, EES</vt:lpwstr>
  </property>
  <property fmtid="{D5CDD505-2E9C-101B-9397-08002B2CF9AE}" pid="7" name="ContentTypeId">
    <vt:lpwstr>0x010100EA97B91038054C99906057A708A1480A002B0B8D40B797884EA0DC4175FDD89B23</vt:lpwstr>
  </property>
  <property fmtid="{D5CDD505-2E9C-101B-9397-08002B2CF9AE}" pid="8" name="_dlc_DocIdItemGuid">
    <vt:lpwstr>eff43636-1333-4afb-a600-3b97c39cece5</vt:lpwstr>
  </property>
  <property fmtid="{D5CDD505-2E9C-101B-9397-08002B2CF9AE}" pid="9" name="AvailableTranslations">
    <vt:lpwstr>16;#DE|f6b31e5a-26fa-4935-b661-318e46daf27e;#44;#BG|1a1b3951-7821-4e6a-85f5-5673fc08bd2c;#33;#LV|46f7e311-5d9f-4663-b433-18aeccb7ace7;#31;#NL|55c6556c-b4f4-441d-9acf-c498d4f838bd;#30;#IT|0774613c-01ed-4e5d-a25d-11d2388de825;#25;#ES|e7a6b05b-ae16-40c8-add9-68b64b03aeba;#45;#ET|ff6c3f4c-b02c-4c3c-ab07-2c37995a7a0a;#21;#SV|c2ed69e7-a339-43d7-8f22-d93680a92aa0;#24;#PL|1e03da61-4678-4e07-b136-b5024ca9197b;#39;#LT|a7ff5ce7-6123-4f68-865a-a57c31810414;#5;#EN|f2175f21-25d7-44a3-96da-d6a61b075e1b;#46;#HR|2f555653-ed1a-4fe6-8362-9082d95989e5;#37;#CS|72f9705b-0217-4fd3-bea2-cbc7ed80e26e;#38;#EL|6d4f4d51-af9b-4650-94b4-4276bee85c91;#35;#SL|98a412ae-eb01-49e9-ae3d-585a81724cfc;#41;#HU|6b229040-c589-4408-b4c1-4285663d20a8;#40;#RO|feb747a2-64cd-4299-af12-4833ddc30497;#10;#FR|d2afafd3-4c81-4f60-8f52-ee33f2f54ff3;#42;#FI|87606a43-d45f-42d6-b8c9-e1a3457db5b7;#32;#PT|50ccc04a-eadd-42ae-a0cb-acaf45f812ba;#34;#SK|46d9fce0-ef79-4f71-b89b-cd6aa82426b8;#43;#DA|5d49c027-8956-412b-aa16-e85a0f96ad0e</vt:lpwstr>
  </property>
  <property fmtid="{D5CDD505-2E9C-101B-9397-08002B2CF9AE}" pid="10" name="DocumentType_0">
    <vt:lpwstr>TCD|cd9d6eb6-3f4f-424a-b2d1-57c9d450eaaf</vt:lpwstr>
  </property>
  <property fmtid="{D5CDD505-2E9C-101B-9397-08002B2CF9AE}" pid="11" name="MeetingNumber">
    <vt:i4>578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1103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2023-04-26T12:00:00Z</vt:filetime>
  </property>
  <property fmtid="{D5CDD505-2E9C-101B-9397-08002B2CF9AE}" pid="29" name="AvailableTranslations_0">
    <vt:lpwstr>ES|e7a6b05b-ae16-40c8-add9-68b64b03aeba;SV|c2ed69e7-a339-43d7-8f22-d93680a92aa0;EN|f2175f21-25d7-44a3-96da-d6a61b075e1b;SL|98a412ae-eb01-49e9-ae3d-585a81724cfc;RO|feb747a2-64cd-4299-af12-4833ddc30497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SL|98a412ae-eb01-49e9-ae3d-585a81724cfc;#9;#Unrestricted|826e22d7-d029-4ec0-a450-0c28ff673572;#59;#SPL-CES|32d8cb1f-c9ec-4365-95c7-8385a18618ac;#7;#Final|ea5e6674-7b27-4bac-b091-73adbb394efe;#40;#RO|feb747a2-64cd-4299-af12-4833ddc30497;#5;#EN|f2175f21-25d7-44a3-96da-d6a61b075e1b;#21;#SV|c2ed69e7-a339-43d7-8f22-d93680a92aa0;#3;#TRA|150d2a88-1431-44e6-a8ca-0bb753ab8672;#25;#ES|e7a6b05b-ae16-40c8-add9-68b64b03aeba;#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4266</vt:i4>
  </property>
  <property fmtid="{D5CDD505-2E9C-101B-9397-08002B2CF9AE}" pid="37" name="DocumentLanguage">
    <vt:lpwstr>31;#NL|55c6556c-b4f4-441d-9acf-c498d4f838bd</vt:lpwstr>
  </property>
  <property fmtid="{D5CDD505-2E9C-101B-9397-08002B2CF9AE}" pid="38" name="_docset_NoMedatataSyncRequired">
    <vt:lpwstr>False</vt:lpwstr>
  </property>
</Properties>
</file>